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B7F5" w14:textId="6988D0B0" w:rsidR="00C82A63" w:rsidRDefault="007F04C2" w:rsidP="00C82A63">
      <w:pPr>
        <w:jc w:val="center"/>
        <w:rPr>
          <w:b/>
          <w:sz w:val="32"/>
        </w:rPr>
      </w:pPr>
      <w:r>
        <w:rPr>
          <w:b/>
          <w:sz w:val="32"/>
        </w:rPr>
        <w:t xml:space="preserve">FFLUX: </w:t>
      </w:r>
      <w:r w:rsidR="00C82A63" w:rsidRPr="00C82A63">
        <w:rPr>
          <w:b/>
          <w:sz w:val="32"/>
        </w:rPr>
        <w:t xml:space="preserve">Transferability of </w:t>
      </w:r>
      <w:r w:rsidR="00D7211C">
        <w:rPr>
          <w:b/>
          <w:sz w:val="32"/>
        </w:rPr>
        <w:t>P</w:t>
      </w:r>
      <w:r w:rsidR="00C82A63" w:rsidRPr="00C82A63">
        <w:rPr>
          <w:b/>
          <w:sz w:val="32"/>
        </w:rPr>
        <w:t xml:space="preserve">olarizable </w:t>
      </w:r>
      <w:r w:rsidR="00D7211C">
        <w:rPr>
          <w:b/>
          <w:sz w:val="32"/>
        </w:rPr>
        <w:t>M</w:t>
      </w:r>
      <w:r w:rsidR="00C82A63" w:rsidRPr="00C82A63">
        <w:rPr>
          <w:b/>
          <w:sz w:val="32"/>
        </w:rPr>
        <w:t xml:space="preserve">achine-learned </w:t>
      </w:r>
      <w:r w:rsidR="00D7211C">
        <w:rPr>
          <w:b/>
          <w:sz w:val="32"/>
        </w:rPr>
        <w:t>E</w:t>
      </w:r>
      <w:r w:rsidR="00C82A63" w:rsidRPr="00C82A63">
        <w:rPr>
          <w:b/>
          <w:sz w:val="32"/>
        </w:rPr>
        <w:t xml:space="preserve">lectrostatics </w:t>
      </w:r>
      <w:bookmarkStart w:id="0" w:name="_GoBack"/>
      <w:r w:rsidR="00C82A63" w:rsidRPr="00C82A63">
        <w:rPr>
          <w:b/>
          <w:sz w:val="32"/>
        </w:rPr>
        <w:t xml:space="preserve">in </w:t>
      </w:r>
      <w:r w:rsidR="00D7211C">
        <w:rPr>
          <w:b/>
          <w:sz w:val="32"/>
        </w:rPr>
        <w:t>P</w:t>
      </w:r>
      <w:r w:rsidR="00C82A63" w:rsidRPr="00C82A63">
        <w:rPr>
          <w:b/>
          <w:sz w:val="32"/>
        </w:rPr>
        <w:t xml:space="preserve">eptide </w:t>
      </w:r>
      <w:r w:rsidR="00D7211C">
        <w:rPr>
          <w:b/>
          <w:sz w:val="32"/>
        </w:rPr>
        <w:t>C</w:t>
      </w:r>
      <w:r w:rsidR="00C82A63" w:rsidRPr="00C82A63">
        <w:rPr>
          <w:b/>
          <w:sz w:val="32"/>
        </w:rPr>
        <w:t>hains</w:t>
      </w:r>
    </w:p>
    <w:bookmarkEnd w:id="0"/>
    <w:p w14:paraId="63D4FCA1" w14:textId="77777777" w:rsidR="00C82A63" w:rsidRPr="00C82A63" w:rsidRDefault="00C82A63" w:rsidP="00C82A63">
      <w:pPr>
        <w:jc w:val="center"/>
        <w:rPr>
          <w:b/>
          <w:sz w:val="32"/>
        </w:rPr>
      </w:pPr>
    </w:p>
    <w:p w14:paraId="7CECA964" w14:textId="11A7BE60" w:rsidR="00C82A63" w:rsidRPr="00D7211C" w:rsidRDefault="00C82A63" w:rsidP="00C82A63">
      <w:pPr>
        <w:jc w:val="center"/>
        <w:rPr>
          <w:sz w:val="24"/>
          <w:szCs w:val="24"/>
        </w:rPr>
      </w:pPr>
      <w:r w:rsidRPr="00D7211C">
        <w:rPr>
          <w:sz w:val="24"/>
          <w:szCs w:val="24"/>
        </w:rPr>
        <w:t xml:space="preserve">Timothy </w:t>
      </w:r>
      <w:r w:rsidR="007C10AF" w:rsidRPr="00D7211C">
        <w:rPr>
          <w:sz w:val="24"/>
          <w:szCs w:val="24"/>
        </w:rPr>
        <w:t xml:space="preserve">L. </w:t>
      </w:r>
      <w:r w:rsidRPr="00D7211C">
        <w:rPr>
          <w:sz w:val="24"/>
          <w:szCs w:val="24"/>
        </w:rPr>
        <w:t>Fletcher and Paul L.A. Popelier</w:t>
      </w:r>
      <w:r w:rsidR="00D7211C">
        <w:rPr>
          <w:sz w:val="24"/>
          <w:szCs w:val="24"/>
        </w:rPr>
        <w:t>*</w:t>
      </w:r>
    </w:p>
    <w:p w14:paraId="1E2B59AA" w14:textId="77777777" w:rsidR="00C82A63" w:rsidRDefault="00C82A63" w:rsidP="00C82A63">
      <w:pPr>
        <w:jc w:val="center"/>
        <w:rPr>
          <w:b/>
          <w:sz w:val="24"/>
          <w:szCs w:val="24"/>
        </w:rPr>
      </w:pPr>
    </w:p>
    <w:p w14:paraId="001B9DD0" w14:textId="77777777" w:rsidR="00C82A63" w:rsidRDefault="00C82A63" w:rsidP="00C82A63">
      <w:pPr>
        <w:jc w:val="center"/>
        <w:rPr>
          <w:sz w:val="20"/>
          <w:szCs w:val="20"/>
        </w:rPr>
      </w:pPr>
      <w:r w:rsidRPr="00A4729D">
        <w:rPr>
          <w:sz w:val="20"/>
          <w:szCs w:val="20"/>
        </w:rPr>
        <w:t>Manchester Institute of Biotechnology (MIB), 131 Princess Street, Ma</w:t>
      </w:r>
      <w:r>
        <w:rPr>
          <w:sz w:val="20"/>
          <w:szCs w:val="20"/>
        </w:rPr>
        <w:t>nchester M1 7DN, Great Britain</w:t>
      </w:r>
    </w:p>
    <w:p w14:paraId="3E81D9E1" w14:textId="77777777" w:rsidR="00C82A63" w:rsidRDefault="00C82A63" w:rsidP="00C82A63">
      <w:pPr>
        <w:jc w:val="center"/>
        <w:rPr>
          <w:sz w:val="20"/>
          <w:szCs w:val="20"/>
        </w:rPr>
      </w:pPr>
      <w:proofErr w:type="gramStart"/>
      <w:r>
        <w:rPr>
          <w:sz w:val="20"/>
          <w:szCs w:val="20"/>
        </w:rPr>
        <w:t>and</w:t>
      </w:r>
      <w:proofErr w:type="gramEnd"/>
    </w:p>
    <w:p w14:paraId="169051C0" w14:textId="77777777" w:rsidR="00C82A63" w:rsidRPr="00A4729D" w:rsidRDefault="00C82A63" w:rsidP="00C82A63">
      <w:pPr>
        <w:jc w:val="center"/>
        <w:rPr>
          <w:sz w:val="20"/>
          <w:szCs w:val="20"/>
        </w:rPr>
      </w:pPr>
      <w:r w:rsidRPr="00A4729D">
        <w:rPr>
          <w:sz w:val="20"/>
          <w:szCs w:val="20"/>
        </w:rPr>
        <w:t xml:space="preserve">School of Chemistry, University of Manchester, Oxford Road, Manchester M13 9PL, </w:t>
      </w:r>
      <w:r>
        <w:rPr>
          <w:sz w:val="20"/>
          <w:szCs w:val="20"/>
        </w:rPr>
        <w:t>Great Britain</w:t>
      </w:r>
      <w:r w:rsidRPr="00A4729D">
        <w:rPr>
          <w:sz w:val="20"/>
          <w:szCs w:val="20"/>
        </w:rPr>
        <w:t xml:space="preserve"> </w:t>
      </w:r>
    </w:p>
    <w:p w14:paraId="399CFFC7" w14:textId="77777777" w:rsidR="0038414F" w:rsidRDefault="0038414F">
      <w:pPr>
        <w:rPr>
          <w:b/>
        </w:rPr>
      </w:pPr>
    </w:p>
    <w:p w14:paraId="570D44A4" w14:textId="77777777" w:rsidR="00C82A63" w:rsidRDefault="00C82A63">
      <w:pPr>
        <w:rPr>
          <w:b/>
        </w:rPr>
      </w:pPr>
    </w:p>
    <w:p w14:paraId="330F2F21" w14:textId="77777777" w:rsidR="00C82A63" w:rsidRDefault="00C82A63">
      <w:pPr>
        <w:rPr>
          <w:b/>
        </w:rPr>
      </w:pPr>
    </w:p>
    <w:p w14:paraId="688FDFE0" w14:textId="77777777" w:rsidR="000A02C8" w:rsidRDefault="00C82A63" w:rsidP="000A02C8">
      <w:pPr>
        <w:pBdr>
          <w:top w:val="single" w:sz="6" w:space="1" w:color="auto"/>
          <w:bottom w:val="single" w:sz="6" w:space="1" w:color="auto"/>
        </w:pBdr>
        <w:rPr>
          <w:b/>
        </w:rPr>
      </w:pPr>
      <w:r w:rsidRPr="00491BE1">
        <w:rPr>
          <w:b/>
        </w:rPr>
        <w:t>ABSTRACT:</w:t>
      </w:r>
    </w:p>
    <w:p w14:paraId="728C7AE0" w14:textId="77777777" w:rsidR="00E1627E" w:rsidRDefault="00E1627E" w:rsidP="005E670C">
      <w:pPr>
        <w:pBdr>
          <w:top w:val="single" w:sz="6" w:space="1" w:color="auto"/>
          <w:bottom w:val="single" w:sz="6" w:space="1" w:color="auto"/>
        </w:pBdr>
        <w:spacing w:after="0" w:line="360" w:lineRule="auto"/>
        <w:jc w:val="both"/>
      </w:pPr>
      <w:r>
        <w:t xml:space="preserve">The fully polarizable, multipolar </w:t>
      </w:r>
      <w:r w:rsidR="008342AE">
        <w:t xml:space="preserve">and atomistic </w:t>
      </w:r>
      <w:r>
        <w:t xml:space="preserve">force field </w:t>
      </w:r>
      <w:r w:rsidR="008342AE">
        <w:t xml:space="preserve">protein </w:t>
      </w:r>
      <w:r>
        <w:t xml:space="preserve">FFLUX </w:t>
      </w:r>
      <w:r w:rsidR="001375F3">
        <w:t xml:space="preserve">is </w:t>
      </w:r>
      <w:r w:rsidR="008342AE">
        <w:t xml:space="preserve">being </w:t>
      </w:r>
      <w:r w:rsidR="001375F3">
        <w:t>built from machine learning (i.e. kriging) models</w:t>
      </w:r>
      <w:r w:rsidR="00332D95">
        <w:t>,</w:t>
      </w:r>
      <w:r w:rsidR="001375F3">
        <w:t xml:space="preserve"> each </w:t>
      </w:r>
      <w:r w:rsidR="00332D95">
        <w:t xml:space="preserve">of which </w:t>
      </w:r>
      <w:r w:rsidR="001375F3">
        <w:t>predict</w:t>
      </w:r>
      <w:r w:rsidR="00332D95">
        <w:t>s</w:t>
      </w:r>
      <w:r w:rsidR="001375F3">
        <w:t xml:space="preserve"> an atomic property. Each atom of a given protein geometry needs to be assigned such a kriging model</w:t>
      </w:r>
      <w:r w:rsidR="00332D95">
        <w:t xml:space="preserve">. </w:t>
      </w:r>
      <w:r w:rsidR="008342AE">
        <w:t xml:space="preserve">Such a knowledgeable atom needs to be informed about a sufficiently large environment around it. The resulting complexity can be tackled by collecting </w:t>
      </w:r>
      <w:r w:rsidR="009F082C">
        <w:t xml:space="preserve">the 20 natural </w:t>
      </w:r>
      <w:r w:rsidR="008342AE">
        <w:t xml:space="preserve">amino acids into </w:t>
      </w:r>
      <w:r w:rsidR="009F082C">
        <w:t xml:space="preserve">a few </w:t>
      </w:r>
      <w:r w:rsidR="008342AE">
        <w:t xml:space="preserve">groups. Using substituted </w:t>
      </w:r>
      <w:proofErr w:type="spellStart"/>
      <w:r w:rsidR="008342AE">
        <w:t>deca-alanines</w:t>
      </w:r>
      <w:proofErr w:type="spellEnd"/>
      <w:r w:rsidR="008342AE">
        <w:t xml:space="preserve"> we present the proof-of-concept that a given atom’s charge can be modelled by a few kriging models only.</w:t>
      </w:r>
    </w:p>
    <w:p w14:paraId="1252CFCD" w14:textId="77777777" w:rsidR="00E1627E" w:rsidRDefault="00E1627E" w:rsidP="005E670C">
      <w:pPr>
        <w:pBdr>
          <w:top w:val="single" w:sz="6" w:space="1" w:color="auto"/>
          <w:bottom w:val="single" w:sz="6" w:space="1" w:color="auto"/>
        </w:pBdr>
        <w:spacing w:after="0" w:line="360" w:lineRule="auto"/>
        <w:jc w:val="both"/>
      </w:pPr>
    </w:p>
    <w:p w14:paraId="6B3F238B" w14:textId="77777777" w:rsidR="00D7211C" w:rsidRDefault="00D7211C">
      <w:pPr>
        <w:rPr>
          <w:b/>
          <w:sz w:val="24"/>
        </w:rPr>
      </w:pPr>
    </w:p>
    <w:p w14:paraId="70436DF3" w14:textId="77777777" w:rsidR="00D7211C" w:rsidRDefault="00D7211C">
      <w:pPr>
        <w:rPr>
          <w:b/>
          <w:sz w:val="24"/>
        </w:rPr>
      </w:pPr>
    </w:p>
    <w:p w14:paraId="0DFA98A8" w14:textId="136FCE8B" w:rsidR="008342AE" w:rsidRDefault="00D7211C">
      <w:pPr>
        <w:rPr>
          <w:b/>
          <w:sz w:val="24"/>
        </w:rPr>
      </w:pPr>
      <w:r>
        <w:rPr>
          <w:b/>
          <w:sz w:val="24"/>
        </w:rPr>
        <w:t xml:space="preserve">Corresponding author: E-mail: </w:t>
      </w:r>
      <w:hyperlink r:id="rId9" w:history="1">
        <w:r w:rsidRPr="00A36B2F">
          <w:rPr>
            <w:rStyle w:val="Hyperlink"/>
            <w:b/>
            <w:sz w:val="24"/>
          </w:rPr>
          <w:t>pla@manchester.ac.uk</w:t>
        </w:r>
      </w:hyperlink>
    </w:p>
    <w:p w14:paraId="635EF6C6" w14:textId="77777777" w:rsidR="00D7211C" w:rsidRDefault="00D7211C">
      <w:pPr>
        <w:rPr>
          <w:b/>
          <w:sz w:val="24"/>
        </w:rPr>
      </w:pPr>
    </w:p>
    <w:p w14:paraId="5F30E5A6" w14:textId="77777777" w:rsidR="00D7211C" w:rsidRDefault="00D7211C">
      <w:pPr>
        <w:rPr>
          <w:b/>
          <w:sz w:val="24"/>
        </w:rPr>
      </w:pPr>
    </w:p>
    <w:p w14:paraId="71E6FEB3" w14:textId="77777777" w:rsidR="00D7211C" w:rsidRDefault="00D7211C">
      <w:pPr>
        <w:rPr>
          <w:b/>
          <w:sz w:val="24"/>
        </w:rPr>
      </w:pPr>
    </w:p>
    <w:p w14:paraId="45C5FA5C" w14:textId="77777777" w:rsidR="00D7211C" w:rsidRDefault="00D7211C">
      <w:pPr>
        <w:rPr>
          <w:b/>
          <w:sz w:val="24"/>
        </w:rPr>
      </w:pPr>
    </w:p>
    <w:p w14:paraId="57227376" w14:textId="77777777" w:rsidR="00D7211C" w:rsidRDefault="00D7211C">
      <w:pPr>
        <w:rPr>
          <w:b/>
          <w:sz w:val="24"/>
        </w:rPr>
      </w:pPr>
    </w:p>
    <w:p w14:paraId="61BF2CD0" w14:textId="77777777" w:rsidR="00F03B70" w:rsidRPr="0020249A" w:rsidRDefault="00F03B70" w:rsidP="0020249A">
      <w:pPr>
        <w:pStyle w:val="ListParagraph"/>
        <w:numPr>
          <w:ilvl w:val="0"/>
          <w:numId w:val="5"/>
        </w:numPr>
        <w:spacing w:after="0" w:line="360" w:lineRule="auto"/>
        <w:rPr>
          <w:b/>
        </w:rPr>
      </w:pPr>
      <w:r w:rsidRPr="0020249A">
        <w:rPr>
          <w:b/>
        </w:rPr>
        <w:lastRenderedPageBreak/>
        <w:t>Introduction</w:t>
      </w:r>
    </w:p>
    <w:p w14:paraId="7E2701D9" w14:textId="0E175917" w:rsidR="00AB24C9" w:rsidRPr="00AB24C9" w:rsidRDefault="00006275" w:rsidP="00AB24C9">
      <w:pPr>
        <w:autoSpaceDE w:val="0"/>
        <w:autoSpaceDN w:val="0"/>
        <w:adjustRightInd w:val="0"/>
        <w:spacing w:after="120" w:line="360" w:lineRule="auto"/>
        <w:jc w:val="both"/>
        <w:rPr>
          <w:rFonts w:cs="Arial"/>
        </w:rPr>
      </w:pPr>
      <w:r w:rsidRPr="00DB5408">
        <w:rPr>
          <w:rFonts w:cs="Arial"/>
        </w:rPr>
        <w:t xml:space="preserve">      Force fields are still the predominant way to power molecular dynamics simulations in the life sciences. While such force fields have already delivered challenging applications, </w:t>
      </w:r>
      <w:r w:rsidR="00BF7E65" w:rsidRPr="00DB5408">
        <w:rPr>
          <w:rFonts w:cs="Arial"/>
        </w:rPr>
        <w:t>the literature accumulates</w:t>
      </w:r>
      <w:r w:rsidRPr="00DB5408">
        <w:rPr>
          <w:rFonts w:cs="Arial"/>
        </w:rPr>
        <w:t xml:space="preserve"> evidence that </w:t>
      </w:r>
      <w:r w:rsidR="00DB5408" w:rsidRPr="00DB5408">
        <w:rPr>
          <w:rFonts w:cs="Arial"/>
        </w:rPr>
        <w:t xml:space="preserve">these </w:t>
      </w:r>
      <w:r w:rsidRPr="00DB5408">
        <w:rPr>
          <w:rFonts w:cs="Arial"/>
        </w:rPr>
        <w:t xml:space="preserve">force fields need to be improved in order for their </w:t>
      </w:r>
      <w:r w:rsidR="00BF7E65" w:rsidRPr="00DB5408">
        <w:rPr>
          <w:rFonts w:cs="Arial"/>
        </w:rPr>
        <w:t xml:space="preserve">predictions </w:t>
      </w:r>
      <w:r w:rsidRPr="00DB5408">
        <w:rPr>
          <w:rFonts w:cs="Arial"/>
        </w:rPr>
        <w:t xml:space="preserve">to be more </w:t>
      </w:r>
      <w:r w:rsidR="00BF7E65" w:rsidRPr="00DB5408">
        <w:rPr>
          <w:rFonts w:cs="Arial"/>
        </w:rPr>
        <w:t>reliable compared to experiment</w:t>
      </w:r>
      <w:r w:rsidRPr="00DB5408">
        <w:rPr>
          <w:rFonts w:cs="Arial"/>
        </w:rPr>
        <w:t xml:space="preserve">. </w:t>
      </w:r>
      <w:r w:rsidR="00BF7E65" w:rsidRPr="00DB5408">
        <w:rPr>
          <w:rFonts w:cs="Arial"/>
        </w:rPr>
        <w:t xml:space="preserve">Moreover, there is a need for the </w:t>
      </w:r>
      <w:r w:rsidR="00DD3A20" w:rsidRPr="00DB5408">
        <w:rPr>
          <w:rFonts w:cs="Arial"/>
        </w:rPr>
        <w:t>structural and dynamic outcome of v</w:t>
      </w:r>
      <w:r w:rsidR="00BF7E65" w:rsidRPr="00DB5408">
        <w:rPr>
          <w:rFonts w:cs="Arial"/>
        </w:rPr>
        <w:t xml:space="preserve">arious </w:t>
      </w:r>
      <w:r w:rsidR="00DD3A20" w:rsidRPr="00DB5408">
        <w:rPr>
          <w:rFonts w:cs="Arial"/>
        </w:rPr>
        <w:t xml:space="preserve">current force fields to be more consistent. A disconcerting </w:t>
      </w:r>
      <w:r w:rsidR="00AB24C9">
        <w:rPr>
          <w:rFonts w:cs="Arial"/>
        </w:rPr>
        <w:t xml:space="preserve">recent </w:t>
      </w:r>
      <w:r w:rsidR="00DD3A20" w:rsidRPr="00DB5408">
        <w:rPr>
          <w:rFonts w:cs="Arial"/>
        </w:rPr>
        <w:t>example</w:t>
      </w:r>
      <w:r w:rsidR="004D4B19">
        <w:rPr>
          <w:rFonts w:cs="Arial"/>
        </w:rPr>
        <w:fldChar w:fldCharType="begin"/>
      </w:r>
      <w:r w:rsidR="00D12C1D">
        <w:rPr>
          <w:rFonts w:cs="Arial"/>
        </w:rPr>
        <w:instrText xml:space="preserve"> ADDIN EN.CITE &lt;EndNote&gt;&lt;Cite&gt;&lt;Author&gt;Rauscher&lt;/Author&gt;&lt;Year&gt;2015&lt;/Year&gt;&lt;RecNum&gt;7108&lt;/RecNum&gt;&lt;DisplayText&gt;&lt;style face="superscript"&gt;1&lt;/style&gt;&lt;/DisplayText&gt;&lt;record&gt;&lt;rec-number&gt;7108&lt;/rec-number&gt;&lt;foreign-keys&gt;&lt;key app="EN" db-id="t25z50tvn5wv5he905wvarvjr5xzsaxpadra" timestamp="0"&gt;7108&lt;/key&gt;&lt;/foreign-keys&gt;&lt;ref-type name="Journal Article"&gt;17&lt;/ref-type&gt;&lt;contributors&gt;&lt;authors&gt;&lt;author&gt;Rauscher,S.&lt;/author&gt;&lt;author&gt;Gapsys, V.&lt;/author&gt;&lt;author&gt;Gajda, M.J.&lt;/author&gt;&lt;author&gt;Zweckstetter, M.&lt;/author&gt;&lt;author&gt;de Groot, B.L.&lt;/author&gt;&lt;author&gt;Grubmüller, H.&lt;/author&gt;&lt;/authors&gt;&lt;/contributors&gt;&lt;titles&gt;&lt;title&gt;Structural Ensembles of Intrinsically Disordered Proteins Depend Strongly on Force Field: A Comparison to Experiment&lt;/title&gt;&lt;secondary-title&gt;J.Chem.Theor.Comput.&lt;/secondary-title&gt;&lt;/titles&gt;&lt;periodical&gt;&lt;full-title&gt;J.Chem.Theor.Comput.&lt;/full-title&gt;&lt;/periodical&gt;&lt;pages&gt;5513-5524&lt;/pages&gt;&lt;volume&gt;11&lt;/volume&gt;&lt;dates&gt;&lt;year&gt;2015&lt;/year&gt;&lt;/dates&gt;&lt;urls&gt;&lt;/urls&gt;&lt;/record&gt;&lt;/Cite&gt;&lt;/EndNote&gt;</w:instrText>
      </w:r>
      <w:r w:rsidR="004D4B19">
        <w:rPr>
          <w:rFonts w:cs="Arial"/>
        </w:rPr>
        <w:fldChar w:fldCharType="separate"/>
      </w:r>
      <w:r w:rsidR="00D12C1D" w:rsidRPr="00D12C1D">
        <w:rPr>
          <w:rFonts w:cs="Arial"/>
          <w:noProof/>
          <w:vertAlign w:val="superscript"/>
        </w:rPr>
        <w:t>1</w:t>
      </w:r>
      <w:r w:rsidR="004D4B19">
        <w:rPr>
          <w:rFonts w:cs="Arial"/>
        </w:rPr>
        <w:fldChar w:fldCharType="end"/>
      </w:r>
      <w:r w:rsidR="00DD3A20" w:rsidRPr="00DB5408">
        <w:rPr>
          <w:rFonts w:cs="Arial"/>
        </w:rPr>
        <w:t xml:space="preserve"> </w:t>
      </w:r>
      <w:r w:rsidR="00AB24C9">
        <w:rPr>
          <w:rFonts w:cs="Arial"/>
        </w:rPr>
        <w:t>is that of the divergence of structural ensembles of intrinsically disordered proteins. The differences in chain dimensions, hydrogen bonding and secondary structure content were unexpectedly large between the eight all-atom empirical force fields investigated.</w:t>
      </w:r>
      <w:r w:rsidR="00DB5408" w:rsidRPr="00DB5408">
        <w:rPr>
          <w:rFonts w:cs="Arial"/>
        </w:rPr>
        <w:t xml:space="preserve"> An older but equally alarming example is that of Stock </w:t>
      </w:r>
      <w:r w:rsidR="00DB5408" w:rsidRPr="00DB5408">
        <w:rPr>
          <w:rFonts w:cs="Arial"/>
          <w:i/>
        </w:rPr>
        <w:t>et al.</w:t>
      </w:r>
      <w:r w:rsidR="004D4B19">
        <w:rPr>
          <w:rFonts w:cs="Arial"/>
        </w:rPr>
        <w:fldChar w:fldCharType="begin"/>
      </w:r>
      <w:r w:rsidR="00D12C1D">
        <w:rPr>
          <w:rFonts w:cs="Arial"/>
        </w:rPr>
        <w:instrText xml:space="preserve"> ADDIN EN.CITE &lt;EndNote&gt;&lt;Cite&gt;&lt;Author&gt;Mu&lt;/Author&gt;&lt;Year&gt;2003&lt;/Year&gt;&lt;RecNum&gt;2763&lt;/RecNum&gt;&lt;DisplayText&gt;&lt;style face="superscript"&gt;2&lt;/style&gt;&lt;/DisplayText&gt;&lt;record&gt;&lt;rec-number&gt;2763&lt;/rec-number&gt;&lt;foreign-keys&gt;&lt;key app="EN" db-id="t25z50tvn5wv5he905wvarvjr5xzsaxpadra" timestamp="0"&gt;2763&lt;/key&gt;&lt;/foreign-keys&gt;&lt;ref-type name="Journal Article"&gt;17&lt;/ref-type&gt;&lt;contributors&gt;&lt;authors&gt;&lt;author&gt;Mu, Y.&lt;/author&gt;&lt;author&gt;Kosov, D.S.&lt;/author&gt;&lt;author&gt;Stock, G.&lt;/author&gt;&lt;/authors&gt;&lt;/contributors&gt;&lt;titles&gt;&lt;title&gt;Conformational dynamics of trialanine in water. 2. Comparison of AMBER, CHARMM, GROMOS, and OPLS force fields to NMR and infrared experiments&lt;/title&gt;&lt;secondary-title&gt;J.Phys.Chem.B&lt;/secondary-title&gt;&lt;/titles&gt;&lt;pages&gt;5064-5073&lt;/pages&gt;&lt;volume&gt;107&lt;/volume&gt;&lt;dates&gt;&lt;year&gt;2003&lt;/year&gt;&lt;/dates&gt;&lt;urls&gt;&lt;/urls&gt;&lt;/record&gt;&lt;/Cite&gt;&lt;/EndNote&gt;</w:instrText>
      </w:r>
      <w:r w:rsidR="004D4B19">
        <w:rPr>
          <w:rFonts w:cs="Arial"/>
        </w:rPr>
        <w:fldChar w:fldCharType="separate"/>
      </w:r>
      <w:r w:rsidR="00D12C1D" w:rsidRPr="00D12C1D">
        <w:rPr>
          <w:rFonts w:cs="Arial"/>
          <w:noProof/>
          <w:vertAlign w:val="superscript"/>
        </w:rPr>
        <w:t>2</w:t>
      </w:r>
      <w:r w:rsidR="004D4B19">
        <w:rPr>
          <w:rFonts w:cs="Arial"/>
        </w:rPr>
        <w:fldChar w:fldCharType="end"/>
      </w:r>
      <w:r w:rsidR="00DB5408" w:rsidRPr="00DB5408">
        <w:rPr>
          <w:rFonts w:cs="Arial"/>
        </w:rPr>
        <w:t xml:space="preserve"> who </w:t>
      </w:r>
      <w:r w:rsidR="00AB24C9">
        <w:rPr>
          <w:rFonts w:cs="Arial"/>
        </w:rPr>
        <w:t xml:space="preserve">found that </w:t>
      </w:r>
      <w:r w:rsidR="00AB24C9" w:rsidRPr="00AB24C9">
        <w:rPr>
          <w:rFonts w:cs="Times New Roman"/>
        </w:rPr>
        <w:t xml:space="preserve">lifetimes of the conformational states </w:t>
      </w:r>
      <w:r w:rsidR="00AB24C9">
        <w:rPr>
          <w:rFonts w:cs="Times New Roman"/>
        </w:rPr>
        <w:t xml:space="preserve">of </w:t>
      </w:r>
      <w:r w:rsidR="00AB24C9" w:rsidRPr="00AB24C9">
        <w:rPr>
          <w:rFonts w:cs="Arial"/>
        </w:rPr>
        <w:t xml:space="preserve">the paradigm </w:t>
      </w:r>
      <w:proofErr w:type="spellStart"/>
      <w:r w:rsidR="00AB24C9" w:rsidRPr="00AB24C9">
        <w:rPr>
          <w:rFonts w:cs="Arial"/>
        </w:rPr>
        <w:t>oligopeptide</w:t>
      </w:r>
      <w:proofErr w:type="spellEnd"/>
      <w:r w:rsidR="00AB24C9" w:rsidRPr="00AB24C9">
        <w:rPr>
          <w:rFonts w:cs="Arial"/>
        </w:rPr>
        <w:t xml:space="preserve"> </w:t>
      </w:r>
      <w:proofErr w:type="spellStart"/>
      <w:r w:rsidR="00AB24C9" w:rsidRPr="00AB24C9">
        <w:rPr>
          <w:rFonts w:cs="Arial"/>
        </w:rPr>
        <w:t>trialanine</w:t>
      </w:r>
      <w:proofErr w:type="spellEnd"/>
      <w:r w:rsidR="00AB24C9" w:rsidRPr="00AB24C9">
        <w:rPr>
          <w:rFonts w:cs="Arial"/>
        </w:rPr>
        <w:t xml:space="preserve"> </w:t>
      </w:r>
      <w:r w:rsidR="00AB24C9" w:rsidRPr="00AB24C9">
        <w:rPr>
          <w:rFonts w:cs="Times New Roman"/>
        </w:rPr>
        <w:t>differ by</w:t>
      </w:r>
      <w:r w:rsidR="00AB24C9">
        <w:rPr>
          <w:rFonts w:cs="Times New Roman"/>
        </w:rPr>
        <w:t xml:space="preserve"> </w:t>
      </w:r>
      <w:r w:rsidR="00AB24C9" w:rsidRPr="00AB24C9">
        <w:rPr>
          <w:rFonts w:cs="Times New Roman"/>
        </w:rPr>
        <w:t>more than an order of magnitude</w:t>
      </w:r>
      <w:r w:rsidR="00AB24C9">
        <w:rPr>
          <w:rFonts w:cs="Times New Roman"/>
        </w:rPr>
        <w:t>, depending</w:t>
      </w:r>
      <w:r w:rsidR="00AB24C9" w:rsidRPr="00AB24C9">
        <w:rPr>
          <w:rFonts w:cs="Times New Roman"/>
        </w:rPr>
        <w:t xml:space="preserve"> on which </w:t>
      </w:r>
      <w:r w:rsidR="00AB24C9">
        <w:rPr>
          <w:rFonts w:cs="Times New Roman"/>
        </w:rPr>
        <w:t>of the</w:t>
      </w:r>
      <w:r w:rsidR="00AB24C9">
        <w:rPr>
          <w:rFonts w:cs="Arial"/>
        </w:rPr>
        <w:t xml:space="preserve"> six different force fields (versions of AMBER, </w:t>
      </w:r>
      <w:r w:rsidR="00AB24C9" w:rsidRPr="00AB24C9">
        <w:rPr>
          <w:rFonts w:cs="Arial"/>
        </w:rPr>
        <w:t xml:space="preserve">CHARMM, GROMOS and OPLS) </w:t>
      </w:r>
      <w:r w:rsidR="00AB24C9">
        <w:rPr>
          <w:rFonts w:cs="Arial"/>
        </w:rPr>
        <w:t>was used.</w:t>
      </w:r>
    </w:p>
    <w:p w14:paraId="397EDD51" w14:textId="7E878F66" w:rsidR="00006275" w:rsidRPr="00D0356F" w:rsidRDefault="00DB5408" w:rsidP="00DB5408">
      <w:pPr>
        <w:spacing w:after="120" w:line="360" w:lineRule="auto"/>
        <w:jc w:val="both"/>
        <w:rPr>
          <w:rFonts w:cs="Arial"/>
        </w:rPr>
      </w:pPr>
      <w:r w:rsidRPr="00D0356F">
        <w:rPr>
          <w:rFonts w:cs="Arial"/>
        </w:rPr>
        <w:t xml:space="preserve">     </w:t>
      </w:r>
      <w:r w:rsidR="00006275" w:rsidRPr="00D0356F">
        <w:rPr>
          <w:rFonts w:cs="Arial"/>
        </w:rPr>
        <w:t>Work towards th</w:t>
      </w:r>
      <w:r w:rsidR="004A45A5" w:rsidRPr="00D0356F">
        <w:rPr>
          <w:rFonts w:cs="Arial"/>
        </w:rPr>
        <w:t>e</w:t>
      </w:r>
      <w:r w:rsidR="00006275" w:rsidRPr="00D0356F">
        <w:rPr>
          <w:rFonts w:cs="Arial"/>
        </w:rPr>
        <w:t xml:space="preserve"> goal</w:t>
      </w:r>
      <w:r w:rsidR="004A45A5" w:rsidRPr="00D0356F">
        <w:rPr>
          <w:rFonts w:cs="Arial"/>
        </w:rPr>
        <w:t xml:space="preserve"> of increased consistency and reliability </w:t>
      </w:r>
      <w:r w:rsidR="00006275" w:rsidRPr="00D0356F">
        <w:rPr>
          <w:rFonts w:cs="Arial"/>
        </w:rPr>
        <w:t xml:space="preserve">started </w:t>
      </w:r>
      <w:r w:rsidR="00794149">
        <w:rPr>
          <w:rFonts w:cs="Arial"/>
        </w:rPr>
        <w:t>many years</w:t>
      </w:r>
      <w:r w:rsidR="00006275" w:rsidRPr="00D0356F">
        <w:rPr>
          <w:rFonts w:cs="Arial"/>
        </w:rPr>
        <w:t xml:space="preserve"> ago </w:t>
      </w:r>
      <w:r w:rsidR="00794149">
        <w:rPr>
          <w:rFonts w:cs="Arial"/>
        </w:rPr>
        <w:t>culminating in</w:t>
      </w:r>
      <w:r w:rsidR="00006275" w:rsidRPr="00D0356F">
        <w:rPr>
          <w:rFonts w:cs="Arial"/>
        </w:rPr>
        <w:t xml:space="preserve"> next-generations force field such as XED</w:t>
      </w:r>
      <w:r w:rsidR="004D4B19">
        <w:rPr>
          <w:rFonts w:cs="Arial"/>
        </w:rPr>
        <w:fldChar w:fldCharType="begin"/>
      </w:r>
      <w:r w:rsidR="00D12C1D">
        <w:rPr>
          <w:rFonts w:cs="Arial"/>
        </w:rPr>
        <w:instrText xml:space="preserve"> ADDIN EN.CITE &lt;EndNote&gt;&lt;Cite&gt;&lt;Author&gt;Vinter&lt;/Author&gt;&lt;Year&gt;1994&lt;/Year&gt;&lt;RecNum&gt;4134&lt;/RecNum&gt;&lt;DisplayText&gt;&lt;style face="superscript"&gt;3&lt;/style&gt;&lt;/DisplayText&gt;&lt;record&gt;&lt;rec-number&gt;4134&lt;/rec-number&gt;&lt;foreign-keys&gt;&lt;key app="EN" db-id="t25z50tvn5wv5he905wvarvjr5xzsaxpadra" timestamp="0"&gt;4134&lt;/key&gt;&lt;/foreign-keys&gt;&lt;ref-type name="Journal Article"&gt;17&lt;/ref-type&gt;&lt;contributors&gt;&lt;authors&gt;&lt;author&gt;Vinter, J.G.&lt;/author&gt;&lt;/authors&gt;&lt;/contributors&gt;&lt;titles&gt;&lt;title&gt;Extended Electron Distributions Applied to the Molecular Mechanics of some Intermolecular Interactions&lt;/title&gt;&lt;secondary-title&gt;J.Comput.Aided Mol. Des.&lt;/secondary-title&gt;&lt;/titles&gt;&lt;pages&gt;653-668&lt;/pages&gt;&lt;volume&gt;8&lt;/volume&gt;&lt;dates&gt;&lt;year&gt;1994&lt;/year&gt;&lt;/dates&gt;&lt;urls&gt;&lt;/urls&gt;&lt;/record&gt;&lt;/Cite&gt;&lt;/EndNote&gt;</w:instrText>
      </w:r>
      <w:r w:rsidR="004D4B19">
        <w:rPr>
          <w:rFonts w:cs="Arial"/>
        </w:rPr>
        <w:fldChar w:fldCharType="separate"/>
      </w:r>
      <w:r w:rsidR="00D12C1D" w:rsidRPr="00D12C1D">
        <w:rPr>
          <w:rFonts w:cs="Arial"/>
          <w:noProof/>
          <w:vertAlign w:val="superscript"/>
        </w:rPr>
        <w:t>3</w:t>
      </w:r>
      <w:r w:rsidR="004D4B19">
        <w:rPr>
          <w:rFonts w:cs="Arial"/>
        </w:rPr>
        <w:fldChar w:fldCharType="end"/>
      </w:r>
      <w:r w:rsidR="00006275" w:rsidRPr="00D0356F">
        <w:rPr>
          <w:rFonts w:cs="Arial"/>
        </w:rPr>
        <w:t>, AMOEBA</w:t>
      </w:r>
      <w:r w:rsidR="004D4B19">
        <w:rPr>
          <w:rFonts w:cs="Arial"/>
        </w:rPr>
        <w:fldChar w:fldCharType="begin"/>
      </w:r>
      <w:r w:rsidR="00D12C1D">
        <w:rPr>
          <w:rFonts w:cs="Arial"/>
        </w:rPr>
        <w:instrText xml:space="preserve"> ADDIN EN.CITE &lt;EndNote&gt;&lt;Cite&gt;&lt;Author&gt;Ren&lt;/Author&gt;&lt;Year&gt;2011&lt;/Year&gt;&lt;RecNum&gt;5957&lt;/RecNum&gt;&lt;DisplayText&gt;&lt;style face="superscript"&gt;4&lt;/style&gt;&lt;/DisplayText&gt;&lt;record&gt;&lt;rec-number&gt;5957&lt;/rec-number&gt;&lt;foreign-keys&gt;&lt;key app="EN" db-id="t25z50tvn5wv5he905wvarvjr5xzsaxpadra" timestamp="0"&gt;5957&lt;/key&gt;&lt;/foreign-keys&gt;&lt;ref-type name="Journal Article"&gt;17&lt;/ref-type&gt;&lt;contributors&gt;&lt;authors&gt;&lt;author&gt;Ren, P.Y.&lt;/author&gt;&lt;author&gt;Wu, C.J.&lt;/author&gt;&lt;author&gt;Ponder, J.W.&lt;/author&gt;&lt;/authors&gt;&lt;/contributors&gt;&lt;auth-address&gt;[Ren, Pengyu] Univ Texas Austin, Dept Biomed Engn, Austin, TX 78712 USA. [Wu, Chuanjie; Ponder, Jay W.] Washington Univ, Dept Chem, St Louis, MO 63130 USA. [Wu, Chuanjie; Ponder, Jay W.] Washington Univ, Dept Biochem &amp;amp; Mol Biophys, St Louis, MO 63130 USA.&amp;#xD;Ren, PY (reprint author), Univ Texas Austin, Dept Biomed Engn, Austin, TX 78712 USA.&amp;#xD;pren@mail.utexas.edu; ponder@dasher.wustl.edu&lt;/auth-address&gt;&lt;titles&gt;&lt;title&gt;Polarizable Atomic Multipole-Based Molecular Mechanics for Organic Molecules&lt;/title&gt;&lt;secondary-title&gt;J.Chem.Theory Comput.&lt;/secondary-title&gt;&lt;alt-title&gt;J. Chem. Theory Comput.&lt;/alt-title&gt;&lt;/titles&gt;&lt;pages&gt;3143-3161&lt;/pages&gt;&lt;volume&gt;7&lt;/volume&gt;&lt;number&gt;10&lt;/number&gt;&lt;keywords&gt;&lt;keyword&gt;initio quantum-chemistry&lt;/keyword&gt;&lt;keyword&gt;classical drude oscillator&lt;/keyword&gt;&lt;keyword&gt;charge&lt;/keyword&gt;&lt;keyword&gt;force-fields&lt;/keyword&gt;&lt;keyword&gt;intermolecular potential function&lt;/keyword&gt;&lt;keyword&gt;hydration&lt;/keyword&gt;&lt;keyword&gt;free-energies&lt;/keyword&gt;&lt;keyword&gt;side-chain analogs&lt;/keyword&gt;&lt;keyword&gt;large basis-sets&lt;/keyword&gt;&lt;keyword&gt;center-dot-o=c&lt;/keyword&gt;&lt;keyword&gt;fluctuating-charge&lt;/keyword&gt;&lt;keyword&gt;dynamics simulations&lt;/keyword&gt;&lt;/keywords&gt;&lt;dates&gt;&lt;year&gt;2011&lt;/year&gt;&lt;pub-dates&gt;&lt;date&gt;Oct&lt;/date&gt;&lt;/pub-dates&gt;&lt;/dates&gt;&lt;isbn&gt;1549-9618&lt;/isbn&gt;&lt;accession-num&gt;WOS:000295655000015&lt;/accession-num&gt;&lt;work-type&gt;Article&lt;/work-type&gt;&lt;urls&gt;&lt;related-urls&gt;&lt;url&gt;&amp;lt;Go to ISI&amp;gt;://WOS:000295655000015&lt;/url&gt;&lt;/related-urls&gt;&lt;/urls&gt;&lt;electronic-resource-num&gt;10.1021/ct200304d&lt;/electronic-resource-num&gt;&lt;language&gt;English&lt;/language&gt;&lt;/record&gt;&lt;/Cite&gt;&lt;/EndNote&gt;</w:instrText>
      </w:r>
      <w:r w:rsidR="004D4B19">
        <w:rPr>
          <w:rFonts w:cs="Arial"/>
        </w:rPr>
        <w:fldChar w:fldCharType="separate"/>
      </w:r>
      <w:r w:rsidR="00D12C1D" w:rsidRPr="00D12C1D">
        <w:rPr>
          <w:rFonts w:cs="Arial"/>
          <w:noProof/>
          <w:vertAlign w:val="superscript"/>
        </w:rPr>
        <w:t>4</w:t>
      </w:r>
      <w:r w:rsidR="004D4B19">
        <w:rPr>
          <w:rFonts w:cs="Arial"/>
        </w:rPr>
        <w:fldChar w:fldCharType="end"/>
      </w:r>
      <w:r w:rsidR="00006275" w:rsidRPr="00D0356F">
        <w:rPr>
          <w:rFonts w:cs="Arial"/>
        </w:rPr>
        <w:t xml:space="preserve"> and SIBFA</w:t>
      </w:r>
      <w:r w:rsidR="004D4B19">
        <w:rPr>
          <w:rFonts w:cs="Arial"/>
        </w:rPr>
        <w:fldChar w:fldCharType="begin"/>
      </w:r>
      <w:r w:rsidR="00D12C1D">
        <w:rPr>
          <w:rFonts w:cs="Arial"/>
        </w:rPr>
        <w:instrText xml:space="preserve"> ADDIN EN.CITE &lt;EndNote&gt;&lt;Cite&gt;&lt;Author&gt;Gresh&lt;/Author&gt;&lt;Year&gt;2007&lt;/Year&gt;&lt;RecNum&gt;6773&lt;/RecNum&gt;&lt;DisplayText&gt;&lt;style face="superscript"&gt;5&lt;/style&gt;&lt;/DisplayText&gt;&lt;record&gt;&lt;rec-number&gt;6773&lt;/rec-number&gt;&lt;foreign-keys&gt;&lt;key app="EN" db-id="t25z50tvn5wv5he905wvarvjr5xzsaxpadra" timestamp="0"&gt;6773&lt;/key&gt;&lt;/foreign-keys&gt;&lt;ref-type name="Journal Article"&gt;17&lt;/ref-type&gt;&lt;contributors&gt;&lt;authors&gt;&lt;author&gt;Gresh, N.&lt;/author&gt;&lt;author&gt;Cisneros, G.A.&lt;/author&gt;&lt;author&gt;Darden, T.A.&lt;/author&gt;&lt;author&gt;Piquemal, J.-P.&lt;/author&gt;&lt;/authors&gt;&lt;/contributors&gt;&lt;titles&gt;&lt;title&gt;Anisotropic, polarizable molecular mechanics studies of inter- and intramoecular interactions and ligand-macromolecule complexes. A bottom-up strategy.&lt;/title&gt;&lt;secondary-title&gt;J.Chem.Theory Comput.&lt;/secondary-title&gt;&lt;/titles&gt;&lt;pages&gt;1960-1986&lt;/pages&gt;&lt;volume&gt;3&lt;/volume&gt;&lt;dates&gt;&lt;year&gt;2007&lt;/year&gt;&lt;/dates&gt;&lt;urls&gt;&lt;/urls&gt;&lt;/record&gt;&lt;/Cite&gt;&lt;/EndNote&gt;</w:instrText>
      </w:r>
      <w:r w:rsidR="004D4B19">
        <w:rPr>
          <w:rFonts w:cs="Arial"/>
        </w:rPr>
        <w:fldChar w:fldCharType="separate"/>
      </w:r>
      <w:r w:rsidR="00D12C1D" w:rsidRPr="00D12C1D">
        <w:rPr>
          <w:rFonts w:cs="Arial"/>
          <w:noProof/>
          <w:vertAlign w:val="superscript"/>
        </w:rPr>
        <w:t>5</w:t>
      </w:r>
      <w:r w:rsidR="004D4B19">
        <w:rPr>
          <w:rFonts w:cs="Arial"/>
        </w:rPr>
        <w:fldChar w:fldCharType="end"/>
      </w:r>
      <w:r w:rsidR="00006275" w:rsidRPr="00D0356F">
        <w:rPr>
          <w:rFonts w:cs="Arial"/>
        </w:rPr>
        <w:t xml:space="preserve">. </w:t>
      </w:r>
      <w:r w:rsidR="004A45A5" w:rsidRPr="00D0356F">
        <w:rPr>
          <w:rFonts w:cs="Arial"/>
        </w:rPr>
        <w:t xml:space="preserve">These </w:t>
      </w:r>
      <w:r w:rsidR="00D0356F" w:rsidRPr="00D0356F">
        <w:rPr>
          <w:rFonts w:cs="Arial"/>
        </w:rPr>
        <w:t>force fields all share multipolar electrostatics, which delivers much improved accuracy</w:t>
      </w:r>
      <w:r w:rsidR="004D4B19">
        <w:rPr>
          <w:rFonts w:cs="Arial"/>
        </w:rPr>
        <w:fldChar w:fldCharType="begin"/>
      </w:r>
      <w:r w:rsidR="00D12C1D">
        <w:rPr>
          <w:rFonts w:cs="Arial"/>
        </w:rPr>
        <w:instrText xml:space="preserve"> ADDIN EN.CITE &lt;EndNote&gt;&lt;Cite&gt;&lt;Author&gt;Cardamone&lt;/Author&gt;&lt;Year&gt;2014&lt;/Year&gt;&lt;RecNum&gt;6641&lt;/RecNum&gt;&lt;DisplayText&gt;&lt;style face="superscript"&gt;6&lt;/style&gt;&lt;/DisplayText&gt;&lt;record&gt;&lt;rec-number&gt;6641&lt;/rec-number&gt;&lt;foreign-keys&gt;&lt;key app="EN" db-id="t25z50tvn5wv5he905wvarvjr5xzsaxpadra" timestamp="0"&gt;6641&lt;/key&gt;&lt;/foreign-keys&gt;&lt;ref-type name="Journal Article"&gt;17&lt;/ref-type&gt;&lt;contributors&gt;&lt;authors&gt;&lt;author&gt;Cardamone, S.&lt;/author&gt;&lt;author&gt;Hughes, T.J.&lt;/author&gt;&lt;author&gt;Popelier, P.L.A.&lt;/author&gt;&lt;/authors&gt;&lt;/contributors&gt;&lt;titles&gt;&lt;title&gt;Multipolar Electrostatics&lt;/title&gt;&lt;secondary-title&gt;Phys.Chem.Chem.Phys.&lt;/secondary-title&gt;&lt;/titles&gt;&lt;periodical&gt;&lt;full-title&gt;Phys.Chem.Chem.Phys.&lt;/full-title&gt;&lt;/periodical&gt;&lt;pages&gt;10367-10387&lt;/pages&gt;&lt;volume&gt;16&lt;/volume&gt;&lt;dates&gt;&lt;year&gt;2014&lt;/year&gt;&lt;/dates&gt;&lt;urls&gt;&lt;/urls&gt;&lt;/record&gt;&lt;/Cite&gt;&lt;/EndNote&gt;</w:instrText>
      </w:r>
      <w:r w:rsidR="004D4B19">
        <w:rPr>
          <w:rFonts w:cs="Arial"/>
        </w:rPr>
        <w:fldChar w:fldCharType="separate"/>
      </w:r>
      <w:r w:rsidR="00D12C1D" w:rsidRPr="00D12C1D">
        <w:rPr>
          <w:rFonts w:cs="Arial"/>
          <w:noProof/>
          <w:vertAlign w:val="superscript"/>
        </w:rPr>
        <w:t>6</w:t>
      </w:r>
      <w:r w:rsidR="004D4B19">
        <w:rPr>
          <w:rFonts w:cs="Arial"/>
        </w:rPr>
        <w:fldChar w:fldCharType="end"/>
      </w:r>
      <w:r w:rsidR="00D0356F" w:rsidRPr="00D0356F">
        <w:rPr>
          <w:rFonts w:cs="Arial"/>
        </w:rPr>
        <w:t xml:space="preserve"> </w:t>
      </w:r>
      <w:r w:rsidR="00794149">
        <w:rPr>
          <w:rFonts w:cs="Arial"/>
        </w:rPr>
        <w:t xml:space="preserve">compared to the </w:t>
      </w:r>
      <w:r w:rsidR="00D0356F" w:rsidRPr="00D0356F">
        <w:rPr>
          <w:rFonts w:cs="Arial"/>
        </w:rPr>
        <w:t>electrostatics represented by the traditional point charge approach of CHARMM and AMBER.</w:t>
      </w:r>
      <w:r w:rsidR="00D0356F" w:rsidRPr="00D0356F">
        <w:rPr>
          <w:rFonts w:cs="Arial"/>
          <w:color w:val="000000"/>
        </w:rPr>
        <w:t xml:space="preserve"> Further research into the accuracy of force-field potentials, particularly electrostatic terms, has been urged</w:t>
      </w:r>
      <w:r w:rsidR="004D4B19">
        <w:rPr>
          <w:rFonts w:cs="Arial"/>
          <w:color w:val="000000"/>
        </w:rPr>
        <w:fldChar w:fldCharType="begin"/>
      </w:r>
      <w:r w:rsidR="00D12C1D">
        <w:rPr>
          <w:rFonts w:cs="Arial"/>
          <w:color w:val="000000"/>
        </w:rPr>
        <w:instrText xml:space="preserve"> ADDIN EN.CITE &lt;EndNote&gt;&lt;Cite&gt;&lt;Author&gt;Ponder&lt;/Author&gt;&lt;Year&gt;2003&lt;/Year&gt;&lt;RecNum&gt;2881&lt;/RecNum&gt;&lt;DisplayText&gt;&lt;style face="superscript"&gt;7&lt;/style&gt;&lt;/DisplayText&gt;&lt;record&gt;&lt;rec-number&gt;2881&lt;/rec-number&gt;&lt;foreign-keys&gt;&lt;key app="EN" db-id="t25z50tvn5wv5he905wvarvjr5xzsaxpadra" timestamp="0"&gt;2881&lt;/key&gt;&lt;/foreign-keys&gt;&lt;ref-type name="Journal Article"&gt;17&lt;/ref-type&gt;&lt;contributors&gt;&lt;authors&gt;&lt;author&gt;Ponder, J.W.&lt;/author&gt;&lt;author&gt;Case, D.A.&lt;/author&gt;&lt;/authors&gt;&lt;/contributors&gt;&lt;titles&gt;&lt;title&gt;Force Fields for Protein Simulations&lt;/title&gt;&lt;secondary-title&gt;Adv. Protein Chem.&lt;/secondary-title&gt;&lt;/titles&gt;&lt;pages&gt;27-85&lt;/pages&gt;&lt;volume&gt;66&lt;/volume&gt;&lt;dates&gt;&lt;year&gt;2003&lt;/year&gt;&lt;/dates&gt;&lt;urls&gt;&lt;/urls&gt;&lt;/record&gt;&lt;/Cite&gt;&lt;/EndNote&gt;</w:instrText>
      </w:r>
      <w:r w:rsidR="004D4B19">
        <w:rPr>
          <w:rFonts w:cs="Arial"/>
          <w:color w:val="000000"/>
        </w:rPr>
        <w:fldChar w:fldCharType="separate"/>
      </w:r>
      <w:r w:rsidR="00D12C1D" w:rsidRPr="00D12C1D">
        <w:rPr>
          <w:rFonts w:cs="Arial"/>
          <w:noProof/>
          <w:color w:val="000000"/>
          <w:vertAlign w:val="superscript"/>
        </w:rPr>
        <w:t>7</w:t>
      </w:r>
      <w:r w:rsidR="004D4B19">
        <w:rPr>
          <w:rFonts w:cs="Arial"/>
          <w:color w:val="000000"/>
        </w:rPr>
        <w:fldChar w:fldCharType="end"/>
      </w:r>
      <w:r w:rsidR="00D0356F" w:rsidRPr="00D0356F">
        <w:rPr>
          <w:rFonts w:cs="Arial"/>
          <w:color w:val="000000"/>
        </w:rPr>
        <w:t xml:space="preserve"> already </w:t>
      </w:r>
      <w:r w:rsidR="00794149">
        <w:rPr>
          <w:rFonts w:cs="Arial"/>
          <w:color w:val="000000"/>
        </w:rPr>
        <w:t xml:space="preserve">more than a decade </w:t>
      </w:r>
      <w:r w:rsidR="00D0356F" w:rsidRPr="00D0356F">
        <w:rPr>
          <w:rFonts w:cs="Arial"/>
          <w:color w:val="000000"/>
        </w:rPr>
        <w:t xml:space="preserve">ago. </w:t>
      </w:r>
      <w:r w:rsidR="00006275" w:rsidRPr="00D0356F">
        <w:rPr>
          <w:rFonts w:cs="Arial"/>
        </w:rPr>
        <w:t xml:space="preserve">However, a force field’s architecture can be </w:t>
      </w:r>
      <w:r w:rsidR="00794149">
        <w:rPr>
          <w:rFonts w:cs="Arial"/>
        </w:rPr>
        <w:t>aligned even better with</w:t>
      </w:r>
      <w:r w:rsidR="00006275" w:rsidRPr="00D0356F">
        <w:rPr>
          <w:rFonts w:cs="Arial"/>
        </w:rPr>
        <w:t xml:space="preserve"> quantum mechanics, which ultimately governs matter at </w:t>
      </w:r>
      <w:r w:rsidR="00794149">
        <w:rPr>
          <w:rFonts w:cs="Arial"/>
        </w:rPr>
        <w:t>atomic</w:t>
      </w:r>
      <w:r w:rsidR="00006275" w:rsidRPr="00D0356F">
        <w:rPr>
          <w:rFonts w:cs="Arial"/>
        </w:rPr>
        <w:t xml:space="preserve"> scale. This is the strategy behind the development of a novel force field called FFLUX</w:t>
      </w:r>
      <w:r w:rsidR="004D4B19">
        <w:rPr>
          <w:rFonts w:cs="Arial"/>
        </w:rPr>
        <w:fldChar w:fldCharType="begin"/>
      </w:r>
      <w:r w:rsidR="00D12C1D">
        <w:rPr>
          <w:rFonts w:cs="Arial"/>
        </w:rPr>
        <w:instrText xml:space="preserve"> ADDIN EN.CITE &lt;EndNote&gt;&lt;Cite&gt;&lt;Author&gt;Popelier&lt;/Author&gt;&lt;Year&gt;2016&lt;/Year&gt;&lt;RecNum&gt;7077&lt;/RecNum&gt;&lt;DisplayText&gt;&lt;style face="superscript"&gt;8&lt;/style&gt;&lt;/DisplayText&gt;&lt;record&gt;&lt;rec-number&gt;7077&lt;/rec-number&gt;&lt;foreign-keys&gt;&lt;key app="EN" db-id="t25z50tvn5wv5he905wvarvjr5xzsaxpadra" timestamp="0"&gt;7077&lt;/key&gt;&lt;/foreign-keys&gt;&lt;ref-type name="Journal Article"&gt;17&lt;/ref-type&gt;&lt;contributors&gt;&lt;authors&gt;&lt;author&gt;Popelier, P.L.A.&lt;/author&gt;&lt;/authors&gt;&lt;/contributors&gt;&lt;titles&gt;&lt;title&gt;Molecular Simulation by Knowledgeable Quantum Atoms&lt;/title&gt;&lt;secondary-title&gt;Phys.Scr.&lt;/secondary-title&gt;&lt;/titles&gt;&lt;pages&gt;033007&lt;/pages&gt;&lt;volume&gt;91&lt;/volume&gt;&lt;dates&gt;&lt;year&gt;2016&lt;/year&gt;&lt;/dates&gt;&lt;urls&gt;&lt;/urls&gt;&lt;/record&gt;&lt;/Cite&gt;&lt;/EndNote&gt;</w:instrText>
      </w:r>
      <w:r w:rsidR="004D4B19">
        <w:rPr>
          <w:rFonts w:cs="Arial"/>
        </w:rPr>
        <w:fldChar w:fldCharType="separate"/>
      </w:r>
      <w:r w:rsidR="00D12C1D" w:rsidRPr="00D12C1D">
        <w:rPr>
          <w:rFonts w:cs="Arial"/>
          <w:noProof/>
          <w:vertAlign w:val="superscript"/>
        </w:rPr>
        <w:t>8</w:t>
      </w:r>
      <w:r w:rsidR="004D4B19">
        <w:rPr>
          <w:rFonts w:cs="Arial"/>
        </w:rPr>
        <w:fldChar w:fldCharType="end"/>
      </w:r>
      <w:r w:rsidR="007C6371">
        <w:rPr>
          <w:rFonts w:cs="Arial"/>
        </w:rPr>
        <w:t xml:space="preserve"> formerly called QCTFF</w:t>
      </w:r>
      <w:r w:rsidR="004D4B19">
        <w:rPr>
          <w:rFonts w:cs="Arial"/>
        </w:rPr>
        <w:fldChar w:fldCharType="begin"/>
      </w:r>
      <w:r w:rsidR="00D12C1D">
        <w:rPr>
          <w:rFonts w:cs="Arial"/>
        </w:rPr>
        <w:instrText xml:space="preserve"> ADDIN EN.CITE &lt;EndNote&gt;&lt;Cite&gt;&lt;Author&gt;Popelier&lt;/Author&gt;&lt;Year&gt;2015&lt;/Year&gt;&lt;RecNum&gt;6912&lt;/RecNum&gt;&lt;DisplayText&gt;&lt;style face="superscript"&gt;9&lt;/style&gt;&lt;/DisplayText&gt;&lt;record&gt;&lt;rec-number&gt;6912&lt;/rec-number&gt;&lt;foreign-keys&gt;&lt;key app="EN" db-id="t25z50tvn5wv5he905wvarvjr5xzsaxpadra" timestamp="0"&gt;6912&lt;/key&gt;&lt;/foreign-keys&gt;&lt;ref-type name="Journal Article"&gt;17&lt;/ref-type&gt;&lt;contributors&gt;&lt;authors&gt;&lt;author&gt;Popelier, P.L.A.&lt;/author&gt;&lt;/authors&gt;&lt;/contributors&gt;&lt;titles&gt;&lt;title&gt;QCTFF: On the Construction of a Novel Protein Force Field&lt;/title&gt;&lt;secondary-title&gt;Int.J.Quant.Chem.&lt;/secondary-title&gt;&lt;/titles&gt;&lt;pages&gt;1005–1011&lt;/pages&gt;&lt;volume&gt;115&lt;/volume&gt;&lt;dates&gt;&lt;year&gt;2015&lt;/year&gt;&lt;/dates&gt;&lt;urls&gt;&lt;/urls&gt;&lt;/record&gt;&lt;/Cite&gt;&lt;/EndNote&gt;</w:instrText>
      </w:r>
      <w:r w:rsidR="004D4B19">
        <w:rPr>
          <w:rFonts w:cs="Arial"/>
        </w:rPr>
        <w:fldChar w:fldCharType="separate"/>
      </w:r>
      <w:r w:rsidR="00D12C1D" w:rsidRPr="00D12C1D">
        <w:rPr>
          <w:rFonts w:cs="Arial"/>
          <w:noProof/>
          <w:vertAlign w:val="superscript"/>
        </w:rPr>
        <w:t>9</w:t>
      </w:r>
      <w:r w:rsidR="004D4B19">
        <w:rPr>
          <w:rFonts w:cs="Arial"/>
        </w:rPr>
        <w:fldChar w:fldCharType="end"/>
      </w:r>
      <w:r w:rsidR="007C6371">
        <w:rPr>
          <w:rFonts w:cs="Arial"/>
        </w:rPr>
        <w:t xml:space="preserve"> because of its foundation upon Quantum Chemical Topology</w:t>
      </w:r>
      <w:r w:rsidR="00601BE3">
        <w:rPr>
          <w:rFonts w:cs="Arial"/>
        </w:rPr>
        <w:t xml:space="preserve"> (QCT)</w:t>
      </w:r>
      <w:r w:rsidR="004D4B19">
        <w:rPr>
          <w:rFonts w:cs="Arial"/>
        </w:rPr>
        <w:fldChar w:fldCharType="begin">
          <w:fldData xml:space="preserve">PEVuZE5vdGU+PENpdGU+PEF1dGhvcj5Qb3BlbGllcjwvQXV0aG9yPjxZZWFyPjIwMTY8L1llYXI+
PFJlY051bT42OTEzPC9SZWNOdW0+PERpc3BsYXlUZXh0PjxzdHlsZSBmYWNlPSJzdXBlcnNjcmlw
dCI+MTAtMTI8L3N0eWxlPjwvRGlzcGxheVRleHQ+PHJlY29yZD48cmVjLW51bWJlcj42OTEzPC9y
ZWMtbnVtYmVyPjxmb3JlaWduLWtleXM+PGtleSBhcHA9IkVOIiBkYi1pZD0idDI1ejUwdHZuNXd2
NWhlOTA1d3ZhcnZqcjV4enNheHBhZHJhIiB0aW1lc3RhbXA9IjAiPjY5MTM8L2tleT48L2ZvcmVp
Z24ta2V5cz48cmVmLXR5cGUgbmFtZT0iQm9vayBTZWN0aW9uIj41PC9yZWYtdHlwZT48Y29udHJp
YnV0b3JzPjxhdXRob3JzPjxhdXRob3I+UG9wZWxpZXIsIFAuTC5BLjwvYXV0aG9yPjwvYXV0aG9y
cz48c2Vjb25kYXJ5LWF1dGhvcnM+PGF1dGhvcj5DaGF1dmluLCBSLjwvYXV0aG9yPjxhdXRob3I+
TGVwZXRpdCwgQy48L2F1dGhvcj48YXV0aG9yPkFsaWtoYW5pLCBFLjwvYXV0aG9yPjxhdXRob3I+
U2lsdmksIEIuPC9hdXRob3I+PC9zZWNvbmRhcnktYXV0aG9ycz48L2NvbnRyaWJ1dG9ycz48dGl0
bGVzPjx0aXRsZT5PbiBRdWFudHVtIENoZW1pY2FsIFRvcG9sb2d5PC90aXRsZT48c2Vjb25kYXJ5
LXRpdGxlPkNoYWxsZW5nZXMgYW5kIEFkdmFuY2VzIGluIENvbXB1dGF0aW9uYWwgQ2hlbWlzdHJ5
IGFuZCBQaHlzaWNzICBkZWRpY2F0ZWQgdG8gJnF1b3Q7QXBwbGljYXRpb25zIG9mIFRvcG9sb2dp
Y2FsIE1ldGhvZHMgaW4gTW9sZWN1bGFyIENoZW1pc3RyeSZxdW90Ozwvc2Vjb25kYXJ5LXRpdGxl
PjwvdGl0bGVzPjxwYWdlcz4yMy01MjwvcGFnZXM+PHNlY3Rpb24+Mjwvc2VjdGlvbj48ZGF0ZXM+
PHllYXI+MjAxNjwveWVhcj48L2RhdGVzPjxwdWItbG9jYXRpb24+U3dpdHplcmxhbmQ8L3B1Yi1s
b2NhdGlvbj48cHVibGlzaGVyPlNwcmluZ2VyPC9wdWJsaXNoZXI+PHVybHM+PC91cmxzPjwvcmVj
b3JkPjwvQ2l0ZT48Q2l0ZT48QXV0aG9yPlBvcGVsaWVyPC9BdXRob3I+PFllYXI+MjAxNDwvWWVh
cj48UmVjTnVtPjY1ODc8L1JlY051bT48cmVjb3JkPjxyZWMtbnVtYmVyPjY1ODc8L3JlYy1udW1i
ZXI+PGZvcmVpZ24ta2V5cz48a2V5IGFwcD0iRU4iIGRiLWlkPSJ0MjV6NTB0dm41d3Y1aGU5MDV3
dmFydmpyNXh6c2F4cGFkcmEiIHRpbWVzdGFtcD0iMCI+NjU4Nzwva2V5PjwvZm9yZWlnbi1rZXlz
PjxyZWYtdHlwZSBuYW1lPSJCb29rIFNlY3Rpb24iPjU8L3JlZi10eXBlPjxjb250cmlidXRvcnM+
PGF1dGhvcnM+PGF1dGhvcj5Qb3BlbGllciwgUC5MLkEuPC9hdXRob3I+PC9hdXRob3JzPjxzZWNv
bmRhcnktYXV0aG9ycz48YXV0aG9yPkZyZW5raW5nLEcuIDwvYXV0aG9yPjxhdXRob3I+U2hhaWss
IFMuPC9hdXRob3I+PC9zZWNvbmRhcnktYXV0aG9ycz48L2NvbnRyaWJ1dG9ycz48dGl0bGVzPjx0
aXRsZT5UaGUgUXVhbnR1bSBUaGVvcnkgb2YgQXRvbXMgaW4gTW9sZWN1bGVzPC90aXRsZT48c2Vj
b25kYXJ5LXRpdGxlPlRoZSBOYXR1cmUgb2YgdGhlIENoZW1pY2FsIEJvbmQgUmV2aXNpdGVkPC9z
ZWNvbmRhcnktdGl0bGU+PC90aXRsZXM+PHBhZ2VzPjI3MS0zMDg8L3BhZ2VzPjxzZWN0aW9uPjg8
L3NlY3Rpb24+PGRhdGVzPjx5ZWFyPjIwMTQ8L3llYXI+PC9kYXRlcz48cHVibGlzaGVyPldpbGV5
LVZDSCwgQ2hhcHRlciA4PC9wdWJsaXNoZXI+PHVybHM+PC91cmxzPjwvcmVjb3JkPjwvQ2l0ZT48
Q2l0ZT48QXV0aG9yPkJhZGVyPC9BdXRob3I+PFllYXI+MTk5MDwvWWVhcj48UmVjTnVtPjc1Njg8
L1JlY051bT48cmVjb3JkPjxyZWMtbnVtYmVyPjc1Njg8L3JlYy1udW1iZXI+PGZvcmVpZ24ta2V5
cz48a2V5IGFwcD0iRU4iIGRiLWlkPSJ0MjV6NTB0dm41d3Y1aGU5MDV3dmFydmpyNXh6c2F4cGFk
cmEiIHRpbWVzdGFtcD0iMCI+NzU2ODwva2V5PjwvZm9yZWlnbi1rZXlzPjxyZWYtdHlwZSBuYW1l
PSJCb29rIj42PC9yZWYtdHlwZT48Y29udHJpYnV0b3JzPjxhdXRob3JzPjxhdXRob3I+QmFkZXIs
IFIuRi5XLjwvYXV0aG9yPjwvYXV0aG9ycz48L2NvbnRyaWJ1dG9ycz48dGl0bGVzPjx0aXRsZT5B
dG9tcyBpbiBNb2xlY3VsZXMuIEEgUXVhbnR1bSBUaGVvcnkuPC90aXRsZT48L3RpdGxlcz48ZGF0
ZXM+PHllYXI+MTk5MDwveWVhcj48L2RhdGVzPjxwdWItbG9jYXRpb24+T3hmb3JkLCBHcmVhdCBC
cml0YWluPC9wdWItbG9jYXRpb24+PHB1Ymxpc2hlcj5PeGZvcmQgVW5pdi4gUHJlc3M8L3B1Ymxp
c2hlcj48dXJscz48L3VybHM+PC9yZWNvcmQ+PC9DaXRlPjwvRW5kTm90ZT4A
</w:fldData>
        </w:fldChar>
      </w:r>
      <w:r w:rsidR="00D12C1D">
        <w:rPr>
          <w:rFonts w:cs="Arial"/>
        </w:rPr>
        <w:instrText xml:space="preserve"> ADDIN EN.CITE </w:instrText>
      </w:r>
      <w:r w:rsidR="00D12C1D">
        <w:rPr>
          <w:rFonts w:cs="Arial"/>
        </w:rPr>
        <w:fldChar w:fldCharType="begin">
          <w:fldData xml:space="preserve">PEVuZE5vdGU+PENpdGU+PEF1dGhvcj5Qb3BlbGllcjwvQXV0aG9yPjxZZWFyPjIwMTY8L1llYXI+
PFJlY051bT42OTEzPC9SZWNOdW0+PERpc3BsYXlUZXh0PjxzdHlsZSBmYWNlPSJzdXBlcnNjcmlw
dCI+MTAtMTI8L3N0eWxlPjwvRGlzcGxheVRleHQ+PHJlY29yZD48cmVjLW51bWJlcj42OTEzPC9y
ZWMtbnVtYmVyPjxmb3JlaWduLWtleXM+PGtleSBhcHA9IkVOIiBkYi1pZD0idDI1ejUwdHZuNXd2
NWhlOTA1d3ZhcnZqcjV4enNheHBhZHJhIiB0aW1lc3RhbXA9IjAiPjY5MTM8L2tleT48L2ZvcmVp
Z24ta2V5cz48cmVmLXR5cGUgbmFtZT0iQm9vayBTZWN0aW9uIj41PC9yZWYtdHlwZT48Y29udHJp
YnV0b3JzPjxhdXRob3JzPjxhdXRob3I+UG9wZWxpZXIsIFAuTC5BLjwvYXV0aG9yPjwvYXV0aG9y
cz48c2Vjb25kYXJ5LWF1dGhvcnM+PGF1dGhvcj5DaGF1dmluLCBSLjwvYXV0aG9yPjxhdXRob3I+
TGVwZXRpdCwgQy48L2F1dGhvcj48YXV0aG9yPkFsaWtoYW5pLCBFLjwvYXV0aG9yPjxhdXRob3I+
U2lsdmksIEIuPC9hdXRob3I+PC9zZWNvbmRhcnktYXV0aG9ycz48L2NvbnRyaWJ1dG9ycz48dGl0
bGVzPjx0aXRsZT5PbiBRdWFudHVtIENoZW1pY2FsIFRvcG9sb2d5PC90aXRsZT48c2Vjb25kYXJ5
LXRpdGxlPkNoYWxsZW5nZXMgYW5kIEFkdmFuY2VzIGluIENvbXB1dGF0aW9uYWwgQ2hlbWlzdHJ5
IGFuZCBQaHlzaWNzICBkZWRpY2F0ZWQgdG8gJnF1b3Q7QXBwbGljYXRpb25zIG9mIFRvcG9sb2dp
Y2FsIE1ldGhvZHMgaW4gTW9sZWN1bGFyIENoZW1pc3RyeSZxdW90Ozwvc2Vjb25kYXJ5LXRpdGxl
PjwvdGl0bGVzPjxwYWdlcz4yMy01MjwvcGFnZXM+PHNlY3Rpb24+Mjwvc2VjdGlvbj48ZGF0ZXM+
PHllYXI+MjAxNjwveWVhcj48L2RhdGVzPjxwdWItbG9jYXRpb24+U3dpdHplcmxhbmQ8L3B1Yi1s
b2NhdGlvbj48cHVibGlzaGVyPlNwcmluZ2VyPC9wdWJsaXNoZXI+PHVybHM+PC91cmxzPjwvcmVj
b3JkPjwvQ2l0ZT48Q2l0ZT48QXV0aG9yPlBvcGVsaWVyPC9BdXRob3I+PFllYXI+MjAxNDwvWWVh
cj48UmVjTnVtPjY1ODc8L1JlY051bT48cmVjb3JkPjxyZWMtbnVtYmVyPjY1ODc8L3JlYy1udW1i
ZXI+PGZvcmVpZ24ta2V5cz48a2V5IGFwcD0iRU4iIGRiLWlkPSJ0MjV6NTB0dm41d3Y1aGU5MDV3
dmFydmpyNXh6c2F4cGFkcmEiIHRpbWVzdGFtcD0iMCI+NjU4Nzwva2V5PjwvZm9yZWlnbi1rZXlz
PjxyZWYtdHlwZSBuYW1lPSJCb29rIFNlY3Rpb24iPjU8L3JlZi10eXBlPjxjb250cmlidXRvcnM+
PGF1dGhvcnM+PGF1dGhvcj5Qb3BlbGllciwgUC5MLkEuPC9hdXRob3I+PC9hdXRob3JzPjxzZWNv
bmRhcnktYXV0aG9ycz48YXV0aG9yPkZyZW5raW5nLEcuIDwvYXV0aG9yPjxhdXRob3I+U2hhaWss
IFMuPC9hdXRob3I+PC9zZWNvbmRhcnktYXV0aG9ycz48L2NvbnRyaWJ1dG9ycz48dGl0bGVzPjx0
aXRsZT5UaGUgUXVhbnR1bSBUaGVvcnkgb2YgQXRvbXMgaW4gTW9sZWN1bGVzPC90aXRsZT48c2Vj
b25kYXJ5LXRpdGxlPlRoZSBOYXR1cmUgb2YgdGhlIENoZW1pY2FsIEJvbmQgUmV2aXNpdGVkPC9z
ZWNvbmRhcnktdGl0bGU+PC90aXRsZXM+PHBhZ2VzPjI3MS0zMDg8L3BhZ2VzPjxzZWN0aW9uPjg8
L3NlY3Rpb24+PGRhdGVzPjx5ZWFyPjIwMTQ8L3llYXI+PC9kYXRlcz48cHVibGlzaGVyPldpbGV5
LVZDSCwgQ2hhcHRlciA4PC9wdWJsaXNoZXI+PHVybHM+PC91cmxzPjwvcmVjb3JkPjwvQ2l0ZT48
Q2l0ZT48QXV0aG9yPkJhZGVyPC9BdXRob3I+PFllYXI+MTk5MDwvWWVhcj48UmVjTnVtPjc1Njg8
L1JlY051bT48cmVjb3JkPjxyZWMtbnVtYmVyPjc1Njg8L3JlYy1udW1iZXI+PGZvcmVpZ24ta2V5
cz48a2V5IGFwcD0iRU4iIGRiLWlkPSJ0MjV6NTB0dm41d3Y1aGU5MDV3dmFydmpyNXh6c2F4cGFk
cmEiIHRpbWVzdGFtcD0iMCI+NzU2ODwva2V5PjwvZm9yZWlnbi1rZXlzPjxyZWYtdHlwZSBuYW1l
PSJCb29rIj42PC9yZWYtdHlwZT48Y29udHJpYnV0b3JzPjxhdXRob3JzPjxhdXRob3I+QmFkZXIs
IFIuRi5XLjwvYXV0aG9yPjwvYXV0aG9ycz48L2NvbnRyaWJ1dG9ycz48dGl0bGVzPjx0aXRsZT5B
dG9tcyBpbiBNb2xlY3VsZXMuIEEgUXVhbnR1bSBUaGVvcnkuPC90aXRsZT48L3RpdGxlcz48ZGF0
ZXM+PHllYXI+MTk5MDwveWVhcj48L2RhdGVzPjxwdWItbG9jYXRpb24+T3hmb3JkLCBHcmVhdCBC
cml0YWluPC9wdWItbG9jYXRpb24+PHB1Ymxpc2hlcj5PeGZvcmQgVW5pdi4gUHJlc3M8L3B1Ymxp
c2hlcj48dXJscz48L3VybHM+PC9yZWNvcmQ+PC9DaXRlPjwvRW5kTm90ZT4A
</w:fldData>
        </w:fldChar>
      </w:r>
      <w:r w:rsidR="00D12C1D">
        <w:rPr>
          <w:rFonts w:cs="Arial"/>
        </w:rPr>
        <w:instrText xml:space="preserve"> ADDIN EN.CITE.DATA </w:instrText>
      </w:r>
      <w:r w:rsidR="00D12C1D">
        <w:rPr>
          <w:rFonts w:cs="Arial"/>
        </w:rPr>
      </w:r>
      <w:r w:rsidR="00D12C1D">
        <w:rPr>
          <w:rFonts w:cs="Arial"/>
        </w:rPr>
        <w:fldChar w:fldCharType="end"/>
      </w:r>
      <w:r w:rsidR="004D4B19">
        <w:rPr>
          <w:rFonts w:cs="Arial"/>
        </w:rPr>
      </w:r>
      <w:r w:rsidR="004D4B19">
        <w:rPr>
          <w:rFonts w:cs="Arial"/>
        </w:rPr>
        <w:fldChar w:fldCharType="separate"/>
      </w:r>
      <w:r w:rsidR="00D12C1D" w:rsidRPr="00D12C1D">
        <w:rPr>
          <w:rFonts w:cs="Arial"/>
          <w:noProof/>
          <w:vertAlign w:val="superscript"/>
        </w:rPr>
        <w:t>10-12</w:t>
      </w:r>
      <w:r w:rsidR="004D4B19">
        <w:rPr>
          <w:rFonts w:cs="Arial"/>
        </w:rPr>
        <w:fldChar w:fldCharType="end"/>
      </w:r>
      <w:r w:rsidR="00006275" w:rsidRPr="00D0356F">
        <w:rPr>
          <w:rFonts w:cs="Arial"/>
        </w:rPr>
        <w:t>.</w:t>
      </w:r>
      <w:r w:rsidR="00601BE3">
        <w:rPr>
          <w:rFonts w:cs="Arial"/>
        </w:rPr>
        <w:t xml:space="preserve"> This methodology partitions any system, whether a single molecule or an assembly of molecules (in the presence of ions, and with or without solvent molecules) into so-called topological atoms. This partitioning is parameter-free and the resulting atoms have finite boundaries</w:t>
      </w:r>
      <w:r w:rsidR="00895BBE">
        <w:rPr>
          <w:rFonts w:cs="Arial"/>
        </w:rPr>
        <w:t xml:space="preserve">. Topological atoms </w:t>
      </w:r>
      <w:r w:rsidR="00601BE3">
        <w:rPr>
          <w:rFonts w:cs="Arial"/>
        </w:rPr>
        <w:t xml:space="preserve">are space-filling: they do not overlap and </w:t>
      </w:r>
      <w:r w:rsidR="00895BBE">
        <w:rPr>
          <w:rFonts w:cs="Arial"/>
        </w:rPr>
        <w:t>leave no gaps between them. Their interior electron density is characterised by a set of atomic multipole moments. As one moves away from an atom, fewer multipole moments are necessary to describe their electron density, and hence electrostatic potential or electrostatic interaction energy with other atoms. In the limit, atomic monopole moments suffice at sufficiently long range. In a protein the vast majority of interatomic interactions are long range and hence calculated correctly with only “topological point charges” (i.e. monopole moments of topological atoms). However, at short range</w:t>
      </w:r>
      <w:r w:rsidR="00014B23">
        <w:rPr>
          <w:rFonts w:cs="Arial"/>
        </w:rPr>
        <w:t>, the atomic multipole moments are available such that</w:t>
      </w:r>
      <w:r w:rsidR="00895BBE">
        <w:rPr>
          <w:rFonts w:cs="Arial"/>
        </w:rPr>
        <w:t xml:space="preserve"> </w:t>
      </w:r>
      <w:r w:rsidR="00014B23">
        <w:rPr>
          <w:rFonts w:cs="Arial"/>
        </w:rPr>
        <w:t xml:space="preserve">the correct electrostatics </w:t>
      </w:r>
      <w:proofErr w:type="gramStart"/>
      <w:r w:rsidR="00014B23">
        <w:rPr>
          <w:rFonts w:cs="Arial"/>
        </w:rPr>
        <w:t>are</w:t>
      </w:r>
      <w:proofErr w:type="gramEnd"/>
      <w:r w:rsidR="00014B23">
        <w:rPr>
          <w:rFonts w:cs="Arial"/>
        </w:rPr>
        <w:t xml:space="preserve"> </w:t>
      </w:r>
      <w:r w:rsidR="00DA1296">
        <w:rPr>
          <w:rFonts w:cs="Arial"/>
        </w:rPr>
        <w:t>recovered</w:t>
      </w:r>
      <w:r w:rsidR="00014B23">
        <w:rPr>
          <w:rFonts w:cs="Arial"/>
        </w:rPr>
        <w:t xml:space="preserve">. </w:t>
      </w:r>
    </w:p>
    <w:p w14:paraId="4B1B3321" w14:textId="7A0BD082" w:rsidR="004D4B19" w:rsidRDefault="00006275" w:rsidP="004D4B19">
      <w:pPr>
        <w:spacing w:after="0" w:line="360" w:lineRule="auto"/>
        <w:jc w:val="both"/>
        <w:rPr>
          <w:rFonts w:cs="Arial"/>
        </w:rPr>
      </w:pPr>
      <w:r w:rsidRPr="00601BE3">
        <w:rPr>
          <w:rFonts w:cs="Arial"/>
        </w:rPr>
        <w:t xml:space="preserve">      Unlike popular force fields, such as AMBER or CHARMM, FFLUX “sees the electrons”</w:t>
      </w:r>
      <w:r w:rsidR="00601BE3">
        <w:rPr>
          <w:rFonts w:cs="Arial"/>
        </w:rPr>
        <w:t>. In other words</w:t>
      </w:r>
      <w:r w:rsidR="00DA1296">
        <w:rPr>
          <w:rFonts w:cs="Arial"/>
        </w:rPr>
        <w:t xml:space="preserve">, FFLUX </w:t>
      </w:r>
      <w:r w:rsidR="003A3C50">
        <w:rPr>
          <w:rFonts w:cs="Arial"/>
        </w:rPr>
        <w:t>“</w:t>
      </w:r>
      <w:r w:rsidR="00DA1296">
        <w:rPr>
          <w:rFonts w:cs="Arial"/>
        </w:rPr>
        <w:t>is aware</w:t>
      </w:r>
      <w:r w:rsidR="003A3C50">
        <w:rPr>
          <w:rFonts w:cs="Arial"/>
        </w:rPr>
        <w:t>”</w:t>
      </w:r>
      <w:r w:rsidR="00DA1296">
        <w:rPr>
          <w:rFonts w:cs="Arial"/>
        </w:rPr>
        <w:t xml:space="preserve"> of an atom’s electron density (through a set of multipole moments, up to </w:t>
      </w:r>
      <w:r w:rsidR="00DA1296">
        <w:rPr>
          <w:rFonts w:cs="Arial"/>
        </w:rPr>
        <w:lastRenderedPageBreak/>
        <w:t xml:space="preserve">the </w:t>
      </w:r>
      <w:proofErr w:type="spellStart"/>
      <w:r w:rsidR="00DA1296">
        <w:rPr>
          <w:rFonts w:cs="Arial"/>
        </w:rPr>
        <w:t>hexadecupole</w:t>
      </w:r>
      <w:proofErr w:type="spellEnd"/>
      <w:r w:rsidR="00DA1296">
        <w:rPr>
          <w:rFonts w:cs="Arial"/>
        </w:rPr>
        <w:t xml:space="preserve"> moment)</w:t>
      </w:r>
      <w:r w:rsidR="003A3C50">
        <w:rPr>
          <w:rFonts w:cs="Arial"/>
        </w:rPr>
        <w:t>. Moreover,</w:t>
      </w:r>
      <w:r w:rsidR="00DA1296">
        <w:rPr>
          <w:rFonts w:cs="Arial"/>
        </w:rPr>
        <w:t xml:space="preserve"> </w:t>
      </w:r>
      <w:r w:rsidR="003A3C50">
        <w:rPr>
          <w:rFonts w:cs="Arial"/>
        </w:rPr>
        <w:t>FFLUX is aware of an atom’s kinetic energy, the unique value of which is a paramount property that drove the original development</w:t>
      </w:r>
      <w:r w:rsidR="004D4B19">
        <w:rPr>
          <w:rFonts w:cs="Arial"/>
        </w:rPr>
        <w:fldChar w:fldCharType="begin"/>
      </w:r>
      <w:r w:rsidR="00D12C1D">
        <w:rPr>
          <w:rFonts w:cs="Arial"/>
        </w:rPr>
        <w:instrText xml:space="preserve"> ADDIN EN.CITE &lt;EndNote&gt;&lt;Cite&gt;&lt;Author&gt;Bader&lt;/Author&gt;&lt;Year&gt;1972&lt;/Year&gt;&lt;RecNum&gt;230&lt;/RecNum&gt;&lt;DisplayText&gt;&lt;style face="superscript"&gt;13&lt;/style&gt;&lt;/DisplayText&gt;&lt;record&gt;&lt;rec-number&gt;230&lt;/rec-number&gt;&lt;foreign-keys&gt;&lt;key app="EN" db-id="t25z50tvn5wv5he905wvarvjr5xzsaxpadra" timestamp="0"&gt;230&lt;/key&gt;&lt;/foreign-keys&gt;&lt;ref-type name="Journal Article"&gt;17&lt;/ref-type&gt;&lt;contributors&gt;&lt;authors&gt;&lt;author&gt;Bader, R.F.W.&lt;/author&gt;&lt;author&gt;Beddall, P.M.&lt;/author&gt;&lt;/authors&gt;&lt;/contributors&gt;&lt;titles&gt;&lt;title&gt;Virial Field Relationship for Molecular Charge Distributions and the Spatial Partitioning of Molecular Properties.&lt;/title&gt;&lt;secondary-title&gt;J.Chem.Phys.&lt;/secondary-title&gt;&lt;/titles&gt;&lt;periodical&gt;&lt;full-title&gt;J.Chem.Phys.&lt;/full-title&gt;&lt;/periodical&gt;&lt;pages&gt;3320-3329&lt;/pages&gt;&lt;volume&gt;56&lt;/volume&gt;&lt;dates&gt;&lt;year&gt;1972&lt;/year&gt;&lt;/dates&gt;&lt;urls&gt;&lt;/urls&gt;&lt;/record&gt;&lt;/Cite&gt;&lt;/EndNote&gt;</w:instrText>
      </w:r>
      <w:r w:rsidR="004D4B19">
        <w:rPr>
          <w:rFonts w:cs="Arial"/>
        </w:rPr>
        <w:fldChar w:fldCharType="separate"/>
      </w:r>
      <w:r w:rsidR="00D12C1D" w:rsidRPr="00D12C1D">
        <w:rPr>
          <w:rFonts w:cs="Arial"/>
          <w:noProof/>
          <w:vertAlign w:val="superscript"/>
        </w:rPr>
        <w:t>13</w:t>
      </w:r>
      <w:r w:rsidR="004D4B19">
        <w:rPr>
          <w:rFonts w:cs="Arial"/>
        </w:rPr>
        <w:fldChar w:fldCharType="end"/>
      </w:r>
      <w:r w:rsidR="003A3C50">
        <w:rPr>
          <w:rFonts w:cs="Arial"/>
        </w:rPr>
        <w:t xml:space="preserve"> of QCT.</w:t>
      </w:r>
      <w:r w:rsidR="00601BE3">
        <w:rPr>
          <w:rFonts w:cs="Arial"/>
        </w:rPr>
        <w:t xml:space="preserve"> </w:t>
      </w:r>
      <w:r w:rsidR="004D4B19">
        <w:rPr>
          <w:rFonts w:cs="Arial"/>
        </w:rPr>
        <w:t xml:space="preserve">In principle, </w:t>
      </w:r>
      <w:r w:rsidR="003A3C50">
        <w:rPr>
          <w:rFonts w:cs="Arial"/>
        </w:rPr>
        <w:t>FFLUX is also aware of the second-order reduced density matrix, which contains all exchange and electron correlation effects. As a result</w:t>
      </w:r>
      <w:r w:rsidR="00291FC3">
        <w:rPr>
          <w:rFonts w:cs="Arial"/>
        </w:rPr>
        <w:t>, FFLUX incorporates all necessary information to predict the energetic behaviour of covalent bonds, as well as a range of weaker inter-atomic interactions. FFLUX also has the capacity</w:t>
      </w:r>
      <w:r w:rsidR="004D4B19">
        <w:rPr>
          <w:rFonts w:cs="Arial"/>
        </w:rPr>
        <w:fldChar w:fldCharType="begin"/>
      </w:r>
      <w:r w:rsidR="00D12C1D">
        <w:rPr>
          <w:rFonts w:cs="Arial"/>
        </w:rPr>
        <w:instrText xml:space="preserve"> ADDIN EN.CITE &lt;EndNote&gt;&lt;Cite&gt;&lt;Author&gt;McDonagh&lt;/Author&gt;&lt;Year&gt;2016&lt;/Year&gt;&lt;RecNum&gt;7688&lt;/RecNum&gt;&lt;DisplayText&gt;&lt;style face="superscript"&gt;14&lt;/style&gt;&lt;/DisplayText&gt;&lt;record&gt;&lt;rec-number&gt;7688&lt;/rec-number&gt;&lt;foreign-keys&gt;&lt;key app="EN" db-id="t25z50tvn5wv5he905wvarvjr5xzsaxpadra" timestamp="0"&gt;7688&lt;/key&gt;&lt;/foreign-keys&gt;&lt;ref-type name="Journal Article"&gt;17&lt;/ref-type&gt;&lt;contributors&gt;&lt;authors&gt;&lt;author&gt;McDonagh, J.L.&lt;/author&gt;&lt;author&gt;Vincent, M.A.&lt;/author&gt;&lt;author&gt;Popelier, P.L.A.&lt;/author&gt;&lt;/authors&gt;&lt;/contributors&gt;&lt;titles&gt;&lt;title&gt;Partitioning Dynamic Electron Correlation Energy: Viewing Møller-Plesset Correlation Energies Through Interacting Quantum Atom (IQA) Energy Partitioning  &amp;#xD;&lt;/title&gt;&lt;secondary-title&gt;Chem.Phys.Lett.&lt;/secondary-title&gt;&lt;/titles&gt;&lt;periodical&gt;&lt;full-title&gt;Chem.Phys.Lett.&lt;/full-title&gt;&lt;/periodical&gt;&lt;pages&gt;228-234&lt;/pages&gt;&lt;volume&gt;662&lt;/volume&gt;&lt;dates&gt;&lt;year&gt;2016&lt;/year&gt;&lt;/dates&gt;&lt;urls&gt;&lt;/urls&gt;&lt;/record&gt;&lt;/Cite&gt;&lt;/EndNote&gt;</w:instrText>
      </w:r>
      <w:r w:rsidR="004D4B19">
        <w:rPr>
          <w:rFonts w:cs="Arial"/>
        </w:rPr>
        <w:fldChar w:fldCharType="separate"/>
      </w:r>
      <w:r w:rsidR="00D12C1D" w:rsidRPr="00D12C1D">
        <w:rPr>
          <w:rFonts w:cs="Arial"/>
          <w:noProof/>
          <w:vertAlign w:val="superscript"/>
        </w:rPr>
        <w:t>14</w:t>
      </w:r>
      <w:r w:rsidR="004D4B19">
        <w:rPr>
          <w:rFonts w:cs="Arial"/>
        </w:rPr>
        <w:fldChar w:fldCharType="end"/>
      </w:r>
      <w:r w:rsidR="00291FC3">
        <w:rPr>
          <w:rFonts w:cs="Arial"/>
        </w:rPr>
        <w:t xml:space="preserve"> to handle dispersion effects, without invoking </w:t>
      </w:r>
      <w:r w:rsidR="0020249A">
        <w:rPr>
          <w:rFonts w:cs="Arial"/>
        </w:rPr>
        <w:t xml:space="preserve">a </w:t>
      </w:r>
      <w:r w:rsidR="00291FC3">
        <w:rPr>
          <w:rFonts w:cs="Arial"/>
        </w:rPr>
        <w:t>Lennard-Jones</w:t>
      </w:r>
      <w:r w:rsidR="0020249A">
        <w:rPr>
          <w:rFonts w:cs="Arial"/>
        </w:rPr>
        <w:t>-</w:t>
      </w:r>
      <w:r w:rsidR="00291FC3">
        <w:rPr>
          <w:rFonts w:cs="Arial"/>
        </w:rPr>
        <w:t>like potential</w:t>
      </w:r>
      <w:r w:rsidR="0020249A">
        <w:rPr>
          <w:rFonts w:cs="Arial"/>
        </w:rPr>
        <w:t>, for example,</w:t>
      </w:r>
      <w:r w:rsidR="00291FC3">
        <w:rPr>
          <w:rFonts w:cs="Arial"/>
        </w:rPr>
        <w:t xml:space="preserve"> </w:t>
      </w:r>
      <w:r w:rsidR="0020249A">
        <w:rPr>
          <w:rFonts w:cs="Arial"/>
        </w:rPr>
        <w:t>which</w:t>
      </w:r>
      <w:r w:rsidR="00291FC3">
        <w:rPr>
          <w:rFonts w:cs="Arial"/>
        </w:rPr>
        <w:t xml:space="preserve"> </w:t>
      </w:r>
      <w:r w:rsidR="00DC341D">
        <w:rPr>
          <w:rFonts w:cs="Arial"/>
        </w:rPr>
        <w:t>amounts to</w:t>
      </w:r>
      <w:r w:rsidR="0020249A">
        <w:rPr>
          <w:rFonts w:cs="Arial"/>
        </w:rPr>
        <w:t xml:space="preserve"> an </w:t>
      </w:r>
      <w:r w:rsidR="00DC341D" w:rsidRPr="00DC341D">
        <w:rPr>
          <w:rFonts w:cs="Arial"/>
          <w:i/>
        </w:rPr>
        <w:t>ad hoc</w:t>
      </w:r>
      <w:r w:rsidR="00DC341D">
        <w:rPr>
          <w:rFonts w:cs="Arial"/>
        </w:rPr>
        <w:t xml:space="preserve"> </w:t>
      </w:r>
      <w:r w:rsidR="0020249A">
        <w:rPr>
          <w:rFonts w:cs="Arial"/>
        </w:rPr>
        <w:t>add-on</w:t>
      </w:r>
      <w:r w:rsidR="00DC341D">
        <w:rPr>
          <w:rFonts w:cs="Arial"/>
        </w:rPr>
        <w:t xml:space="preserve"> energy term</w:t>
      </w:r>
      <w:r w:rsidR="0020249A">
        <w:rPr>
          <w:rFonts w:cs="Arial"/>
        </w:rPr>
        <w:t xml:space="preserve">. </w:t>
      </w:r>
      <w:r w:rsidR="00BC2A08">
        <w:rPr>
          <w:rFonts w:cs="Arial"/>
        </w:rPr>
        <w:t xml:space="preserve">Finally, FFLUX </w:t>
      </w:r>
      <w:r w:rsidR="001C54D8">
        <w:rPr>
          <w:rFonts w:cs="Arial"/>
        </w:rPr>
        <w:t xml:space="preserve">stores the internal energy of an atom, which consists of </w:t>
      </w:r>
      <w:r w:rsidR="00DC341D">
        <w:rPr>
          <w:rFonts w:cs="Arial"/>
        </w:rPr>
        <w:t>its</w:t>
      </w:r>
      <w:r w:rsidR="001C54D8">
        <w:rPr>
          <w:rFonts w:cs="Arial"/>
        </w:rPr>
        <w:t xml:space="preserve"> kinetic energy and the Coulomb, exchange and correlation energy between its electrons, as well as their interaction energy with the</w:t>
      </w:r>
      <w:r w:rsidR="00DC341D">
        <w:rPr>
          <w:rFonts w:cs="Arial"/>
        </w:rPr>
        <w:t xml:space="preserve"> given atom’s</w:t>
      </w:r>
      <w:r w:rsidR="001C54D8">
        <w:rPr>
          <w:rFonts w:cs="Arial"/>
        </w:rPr>
        <w:t xml:space="preserve"> nucleus. </w:t>
      </w:r>
      <w:r w:rsidR="0020249A">
        <w:rPr>
          <w:rFonts w:cs="Arial"/>
        </w:rPr>
        <w:t xml:space="preserve">In summary, </w:t>
      </w:r>
      <w:r w:rsidR="0020249A" w:rsidRPr="004F6DD4">
        <w:rPr>
          <w:rFonts w:cs="Arial"/>
        </w:rPr>
        <w:t xml:space="preserve">at the heart of FFLUX are topological atoms </w:t>
      </w:r>
      <w:r w:rsidR="001C54D8" w:rsidRPr="004F6DD4">
        <w:rPr>
          <w:rFonts w:cs="Arial"/>
        </w:rPr>
        <w:t>supplemented with their intra-atomic energy and their full</w:t>
      </w:r>
      <w:r w:rsidRPr="004F6DD4">
        <w:rPr>
          <w:rFonts w:cs="Arial"/>
        </w:rPr>
        <w:t xml:space="preserve"> </w:t>
      </w:r>
      <w:r w:rsidR="001C54D8" w:rsidRPr="004F6DD4">
        <w:rPr>
          <w:rFonts w:cs="Arial"/>
        </w:rPr>
        <w:t xml:space="preserve">inter-atomic energy (both with specific </w:t>
      </w:r>
      <w:r w:rsidR="00DC341D" w:rsidRPr="004F6DD4">
        <w:rPr>
          <w:rFonts w:cs="Arial"/>
        </w:rPr>
        <w:t xml:space="preserve">other </w:t>
      </w:r>
      <w:r w:rsidR="001C54D8" w:rsidRPr="004F6DD4">
        <w:rPr>
          <w:rFonts w:cs="Arial"/>
        </w:rPr>
        <w:t>atoms or the full environment</w:t>
      </w:r>
      <w:r w:rsidR="00DC341D" w:rsidRPr="004F6DD4">
        <w:rPr>
          <w:rFonts w:cs="Arial"/>
        </w:rPr>
        <w:t xml:space="preserve"> of the atom of interest</w:t>
      </w:r>
      <w:r w:rsidR="001C54D8" w:rsidRPr="004F6DD4">
        <w:rPr>
          <w:rFonts w:cs="Arial"/>
        </w:rPr>
        <w:t>).</w:t>
      </w:r>
      <w:r w:rsidR="004F6DD4" w:rsidRPr="004F6DD4">
        <w:rPr>
          <w:rFonts w:cs="Arial"/>
        </w:rPr>
        <w:t xml:space="preserve"> </w:t>
      </w:r>
      <w:r w:rsidR="004F6DD4">
        <w:rPr>
          <w:rFonts w:cs="Arial"/>
        </w:rPr>
        <w:t>The various energy components are provided by a</w:t>
      </w:r>
      <w:r w:rsidR="004F6DD4" w:rsidRPr="004F6DD4">
        <w:rPr>
          <w:rFonts w:cs="Arial"/>
        </w:rPr>
        <w:t xml:space="preserve"> QCT method called </w:t>
      </w:r>
      <w:r w:rsidR="004F6DD4" w:rsidRPr="00FD00FA">
        <w:rPr>
          <w:rFonts w:cs="Arial"/>
        </w:rPr>
        <w:t>Interacting Quantum Atoms (IQA)</w:t>
      </w:r>
      <w:r w:rsidR="004D4B19">
        <w:rPr>
          <w:rFonts w:cs="Arial"/>
        </w:rPr>
        <w:fldChar w:fldCharType="begin"/>
      </w:r>
      <w:r w:rsidR="00D12C1D">
        <w:rPr>
          <w:rFonts w:cs="Arial"/>
        </w:rPr>
        <w:instrText xml:space="preserve"> ADDIN EN.CITE &lt;EndNote&gt;&lt;Cite&gt;&lt;Author&gt;Blanco&lt;/Author&gt;&lt;Year&gt;2005&lt;/Year&gt;&lt;RecNum&gt;7471&lt;/RecNum&gt;&lt;DisplayText&gt;&lt;style face="superscript"&gt;15&lt;/style&gt;&lt;/DisplayText&gt;&lt;record&gt;&lt;rec-number&gt;7471&lt;/rec-number&gt;&lt;foreign-keys&gt;&lt;key app="EN" db-id="t25z50tvn5wv5he905wvarvjr5xzsaxpadra" timestamp="0"&gt;7471&lt;/key&gt;&lt;/foreign-keys&gt;&lt;ref-type name="Journal Article"&gt;17&lt;/ref-type&gt;&lt;contributors&gt;&lt;authors&gt;&lt;author&gt;Blanco, M.A&lt;/author&gt;&lt;author&gt;Martín Pendás, A.&lt;/author&gt;&lt;author&gt;Francisco, E.&lt;/author&gt;&lt;/authors&gt;&lt;/contributors&gt;&lt;titles&gt;&lt;title&gt;Interacting quantum atoms: a correlated energy decomposition scheme based on the quantum theory of atoms in molecules&lt;/title&gt;&lt;secondary-title&gt;J.Chem.Theory Comput.&lt;/secondary-title&gt;&lt;/titles&gt;&lt;pages&gt;1096-1109&lt;/pages&gt;&lt;volume&gt;1&lt;/volume&gt;&lt;number&gt;6&lt;/number&gt;&lt;dates&gt;&lt;year&gt;2005&lt;/year&gt;&lt;/dates&gt;&lt;isbn&gt;1549-9618&lt;/isbn&gt;&lt;urls&gt;&lt;/urls&gt;&lt;/record&gt;&lt;/Cite&gt;&lt;/EndNote&gt;</w:instrText>
      </w:r>
      <w:r w:rsidR="004D4B19">
        <w:rPr>
          <w:rFonts w:cs="Arial"/>
        </w:rPr>
        <w:fldChar w:fldCharType="separate"/>
      </w:r>
      <w:r w:rsidR="00D12C1D" w:rsidRPr="00D12C1D">
        <w:rPr>
          <w:rFonts w:cs="Arial"/>
          <w:noProof/>
          <w:vertAlign w:val="superscript"/>
        </w:rPr>
        <w:t>15</w:t>
      </w:r>
      <w:r w:rsidR="004D4B19">
        <w:rPr>
          <w:rFonts w:cs="Arial"/>
        </w:rPr>
        <w:fldChar w:fldCharType="end"/>
      </w:r>
      <w:r w:rsidR="004F6DD4" w:rsidRPr="00FD00FA">
        <w:rPr>
          <w:rFonts w:cs="Arial"/>
        </w:rPr>
        <w:t xml:space="preserve">, </w:t>
      </w:r>
      <w:r w:rsidR="004F6DD4">
        <w:rPr>
          <w:rFonts w:cs="Arial"/>
        </w:rPr>
        <w:t>which has been outlined just above.</w:t>
      </w:r>
      <w:r w:rsidR="004D4B19" w:rsidRPr="004D4B19">
        <w:rPr>
          <w:rFonts w:cs="Arial"/>
        </w:rPr>
        <w:t xml:space="preserve"> </w:t>
      </w:r>
    </w:p>
    <w:p w14:paraId="52FD2D17" w14:textId="0222ADB5" w:rsidR="004F6DD4" w:rsidRDefault="004D4B19" w:rsidP="004D4B19">
      <w:pPr>
        <w:spacing w:after="0" w:line="360" w:lineRule="auto"/>
        <w:jc w:val="both"/>
        <w:rPr>
          <w:rFonts w:cs="Arial"/>
        </w:rPr>
      </w:pPr>
      <w:r>
        <w:rPr>
          <w:rFonts w:cs="Arial"/>
        </w:rPr>
        <w:t xml:space="preserve">       Note that in the current work we will only use the </w:t>
      </w:r>
      <w:proofErr w:type="spellStart"/>
      <w:r>
        <w:rPr>
          <w:rFonts w:cs="Arial"/>
        </w:rPr>
        <w:t>Hartree-Fock</w:t>
      </w:r>
      <w:proofErr w:type="spellEnd"/>
      <w:r>
        <w:rPr>
          <w:rFonts w:cs="Arial"/>
        </w:rPr>
        <w:t xml:space="preserve"> level of theory, </w:t>
      </w:r>
      <w:r w:rsidR="00C45954">
        <w:rPr>
          <w:rFonts w:cs="Arial"/>
        </w:rPr>
        <w:t>in view of the computational cost of generating many thousands of wave functions and IQA energy components. IQA has recently</w:t>
      </w:r>
      <w:r w:rsidR="00C45954">
        <w:rPr>
          <w:rFonts w:cs="Arial"/>
        </w:rPr>
        <w:fldChar w:fldCharType="begin"/>
      </w:r>
      <w:r w:rsidR="00D12C1D">
        <w:rPr>
          <w:rFonts w:cs="Arial"/>
        </w:rPr>
        <w:instrText xml:space="preserve"> ADDIN EN.CITE &lt;EndNote&gt;&lt;Cite&gt;&lt;Author&gt;Maxwell&lt;/Author&gt;&lt;Year&gt;2016&lt;/Year&gt;&lt;RecNum&gt;7079&lt;/RecNum&gt;&lt;DisplayText&gt;&lt;style face="superscript"&gt;16&lt;/style&gt;&lt;/DisplayText&gt;&lt;record&gt;&lt;rec-number&gt;7079&lt;/rec-number&gt;&lt;foreign-keys&gt;&lt;key app="EN" db-id="t25z50tvn5wv5he905wvarvjr5xzsaxpadra" timestamp="0"&gt;7079&lt;/key&gt;&lt;/foreign-keys&gt;&lt;ref-type name="Journal Article"&gt;17&lt;/ref-type&gt;&lt;contributors&gt;&lt;authors&gt;&lt;author&gt;Maxwell, P.&lt;/author&gt;&lt;author&gt;&lt;style face="normal" font="default" size="100%"&gt;Marti&lt;/style&gt;&lt;style face="normal" font="default" charset="162" size="100%"&gt;n Penda&lt;/style&gt;&lt;style face="normal" font="default" size="100%"&gt;s, A.&lt;/style&gt;&lt;/author&gt;&lt;author&gt;&lt;style face="normal" font="default" charset="162" size="100%"&gt;Popelier&lt;/style&gt;&lt;style face="normal" font="default" size="100%"&gt;, P.L.A.&lt;/style&gt;&lt;/author&gt;&lt;/authors&gt;&lt;/contributors&gt;&lt;titles&gt;&lt;title&gt;Extension of the interacting quantum atoms (IQA) approach to B3LYP level density functional theory.&lt;/title&gt;&lt;secondary-title&gt;PhysChemChemPhys&lt;/secondary-title&gt;&lt;/titles&gt;&lt;periodical&gt;&lt;full-title&gt;PhysChemChemPhys&lt;/full-title&gt;&lt;/periodical&gt;&lt;pages&gt;20986-21000&lt;/pages&gt;&lt;volume&gt;18&lt;/volume&gt;&lt;dates&gt;&lt;year&gt;2016&lt;/year&gt;&lt;/dates&gt;&lt;urls&gt;&lt;/urls&gt;&lt;/record&gt;&lt;/Cite&gt;&lt;/EndNote&gt;</w:instrText>
      </w:r>
      <w:r w:rsidR="00C45954">
        <w:rPr>
          <w:rFonts w:cs="Arial"/>
        </w:rPr>
        <w:fldChar w:fldCharType="separate"/>
      </w:r>
      <w:r w:rsidR="00D12C1D" w:rsidRPr="00D12C1D">
        <w:rPr>
          <w:rFonts w:cs="Arial"/>
          <w:noProof/>
          <w:vertAlign w:val="superscript"/>
        </w:rPr>
        <w:t>16</w:t>
      </w:r>
      <w:r w:rsidR="00C45954">
        <w:rPr>
          <w:rFonts w:cs="Arial"/>
        </w:rPr>
        <w:fldChar w:fldCharType="end"/>
      </w:r>
      <w:r w:rsidR="00C45954">
        <w:rPr>
          <w:rFonts w:cs="Arial"/>
        </w:rPr>
        <w:t xml:space="preserve"> been extended to </w:t>
      </w:r>
      <w:r w:rsidR="00514A98">
        <w:rPr>
          <w:rFonts w:cs="Arial"/>
        </w:rPr>
        <w:t>operate</w:t>
      </w:r>
      <w:r w:rsidR="00C45954">
        <w:rPr>
          <w:rFonts w:cs="Arial"/>
        </w:rPr>
        <w:t xml:space="preserve"> in conjunction with DFT/B3LYP</w:t>
      </w:r>
      <w:r w:rsidR="00777854">
        <w:rPr>
          <w:rFonts w:cs="Arial"/>
        </w:rPr>
        <w:t xml:space="preserve">, which allows FFLUX to </w:t>
      </w:r>
      <w:r w:rsidR="00514A98">
        <w:rPr>
          <w:rFonts w:cs="Arial"/>
        </w:rPr>
        <w:t>incorporate</w:t>
      </w:r>
      <w:r w:rsidR="00777854">
        <w:rPr>
          <w:rFonts w:cs="Arial"/>
        </w:rPr>
        <w:t xml:space="preserve"> of exchange-correlation</w:t>
      </w:r>
      <w:r w:rsidR="00514A98">
        <w:rPr>
          <w:rFonts w:cs="Arial"/>
        </w:rPr>
        <w:t xml:space="preserve">. However, </w:t>
      </w:r>
      <w:r w:rsidR="00777854">
        <w:rPr>
          <w:rFonts w:cs="Arial"/>
        </w:rPr>
        <w:t xml:space="preserve">it is known that </w:t>
      </w:r>
      <w:proofErr w:type="spellStart"/>
      <w:r w:rsidR="00777854">
        <w:rPr>
          <w:rFonts w:cs="Arial"/>
        </w:rPr>
        <w:t>Hartree-Fock</w:t>
      </w:r>
      <w:proofErr w:type="spellEnd"/>
      <w:r w:rsidR="00777854">
        <w:rPr>
          <w:rFonts w:cs="Arial"/>
        </w:rPr>
        <w:t xml:space="preserve"> suffices to capture the essence of atomic transferability, which is the main point of the current work.</w:t>
      </w:r>
    </w:p>
    <w:p w14:paraId="55B79BD4" w14:textId="0FB9B5B5" w:rsidR="00006275" w:rsidRPr="004F6DD4" w:rsidRDefault="004F6DD4" w:rsidP="00AE3D67">
      <w:pPr>
        <w:spacing w:after="120" w:line="360" w:lineRule="auto"/>
        <w:jc w:val="both"/>
        <w:rPr>
          <w:rFonts w:cs="Arial"/>
        </w:rPr>
      </w:pPr>
      <w:r w:rsidRPr="004F6DD4">
        <w:rPr>
          <w:rFonts w:cs="Arial"/>
        </w:rPr>
        <w:t xml:space="preserve"> </w:t>
      </w:r>
      <w:r w:rsidR="00006275" w:rsidRPr="004F6DD4">
        <w:rPr>
          <w:rFonts w:cs="Arial"/>
        </w:rPr>
        <w:t xml:space="preserve">     </w:t>
      </w:r>
      <w:r w:rsidR="00A4498C">
        <w:rPr>
          <w:rFonts w:cs="Arial"/>
        </w:rPr>
        <w:t xml:space="preserve"> </w:t>
      </w:r>
      <w:r w:rsidRPr="004F6DD4">
        <w:rPr>
          <w:rFonts w:cs="Arial"/>
        </w:rPr>
        <w:t>Equipped with</w:t>
      </w:r>
      <w:r w:rsidR="00A4498C">
        <w:rPr>
          <w:rFonts w:cs="Arial"/>
        </w:rPr>
        <w:t xml:space="preserve"> atomic energies for atoms </w:t>
      </w:r>
      <w:r w:rsidR="00E31C95">
        <w:rPr>
          <w:rFonts w:cs="Arial"/>
        </w:rPr>
        <w:t xml:space="preserve">appearing </w:t>
      </w:r>
      <w:r w:rsidR="00A4498C">
        <w:rPr>
          <w:rFonts w:cs="Arial"/>
        </w:rPr>
        <w:t xml:space="preserve">in a sufficient number of different environments, </w:t>
      </w:r>
      <w:r w:rsidRPr="004F6DD4">
        <w:rPr>
          <w:rFonts w:cs="Arial"/>
        </w:rPr>
        <w:t xml:space="preserve"> </w:t>
      </w:r>
      <w:r w:rsidR="00006275" w:rsidRPr="004F6DD4">
        <w:rPr>
          <w:rFonts w:cs="Arial"/>
        </w:rPr>
        <w:t xml:space="preserve">FFLUX </w:t>
      </w:r>
      <w:r w:rsidRPr="004F6DD4">
        <w:rPr>
          <w:rFonts w:cs="Arial"/>
        </w:rPr>
        <w:t xml:space="preserve">then invokes the </w:t>
      </w:r>
      <w:r w:rsidR="00006275" w:rsidRPr="004F6DD4">
        <w:rPr>
          <w:rFonts w:cs="Arial"/>
        </w:rPr>
        <w:t xml:space="preserve">machine learning method </w:t>
      </w:r>
      <w:r w:rsidR="0049706A">
        <w:rPr>
          <w:rFonts w:cs="Arial"/>
        </w:rPr>
        <w:t>k</w:t>
      </w:r>
      <w:r w:rsidR="00A4498C">
        <w:rPr>
          <w:rFonts w:cs="Arial"/>
        </w:rPr>
        <w:t>riging</w:t>
      </w:r>
      <w:r w:rsidR="004D4B19">
        <w:rPr>
          <w:rFonts w:cs="Arial"/>
        </w:rPr>
        <w:fldChar w:fldCharType="begin"/>
      </w:r>
      <w:r w:rsidR="00D12C1D">
        <w:rPr>
          <w:rFonts w:cs="Arial"/>
        </w:rPr>
        <w:instrText xml:space="preserve"> ADDIN EN.CITE &lt;EndNote&gt;&lt;Cite&gt;&lt;Author&gt;Cressie&lt;/Author&gt;&lt;Year&gt;1993&lt;/Year&gt;&lt;RecNum&gt;4237&lt;/RecNum&gt;&lt;DisplayText&gt;&lt;style face="superscript"&gt;17&lt;/style&gt;&lt;/DisplayText&gt;&lt;record&gt;&lt;rec-number&gt;4237&lt;/rec-number&gt;&lt;foreign-keys&gt;&lt;key app="EN" db-id="t25z50tvn5wv5he905wvarvjr5xzsaxpadra" timestamp="0"&gt;4237&lt;/key&gt;&lt;/foreign-keys&gt;&lt;ref-type name="Book"&gt;6&lt;/ref-type&gt;&lt;contributors&gt;&lt;authors&gt;&lt;author&gt;Cressie, N.&lt;/author&gt;&lt;/authors&gt;&lt;/contributors&gt;&lt;titles&gt;&lt;title&gt;Statistics for Spatial Data&lt;/title&gt;&lt;/titles&gt;&lt;dates&gt;&lt;year&gt;1993&lt;/year&gt;&lt;/dates&gt;&lt;publisher&gt;Wiley, New York, USA&lt;/publisher&gt;&lt;urls&gt;&lt;/urls&gt;&lt;/record&gt;&lt;/Cite&gt;&lt;/EndNote&gt;</w:instrText>
      </w:r>
      <w:r w:rsidR="004D4B19">
        <w:rPr>
          <w:rFonts w:cs="Arial"/>
        </w:rPr>
        <w:fldChar w:fldCharType="separate"/>
      </w:r>
      <w:r w:rsidR="00D12C1D" w:rsidRPr="00D12C1D">
        <w:rPr>
          <w:rFonts w:cs="Arial"/>
          <w:noProof/>
          <w:vertAlign w:val="superscript"/>
        </w:rPr>
        <w:t>17</w:t>
      </w:r>
      <w:r w:rsidR="004D4B19">
        <w:rPr>
          <w:rFonts w:cs="Arial"/>
        </w:rPr>
        <w:fldChar w:fldCharType="end"/>
      </w:r>
      <w:r w:rsidR="00A4498C">
        <w:rPr>
          <w:rFonts w:cs="Arial"/>
        </w:rPr>
        <w:t>. The latter learns how an atom’s energies change with th</w:t>
      </w:r>
      <w:r w:rsidR="00E31C95">
        <w:rPr>
          <w:rFonts w:cs="Arial"/>
        </w:rPr>
        <w:t>is</w:t>
      </w:r>
      <w:r w:rsidR="00A4498C">
        <w:rPr>
          <w:rFonts w:cs="Arial"/>
        </w:rPr>
        <w:t xml:space="preserve"> atom</w:t>
      </w:r>
      <w:r w:rsidR="00E31C95">
        <w:rPr>
          <w:rFonts w:cs="Arial"/>
        </w:rPr>
        <w:t>’</w:t>
      </w:r>
      <w:r w:rsidR="00A4498C">
        <w:rPr>
          <w:rFonts w:cs="Arial"/>
        </w:rPr>
        <w:t>s changing environment. After sufficient training</w:t>
      </w:r>
      <w:r w:rsidR="004D4B19">
        <w:rPr>
          <w:rFonts w:cs="Arial"/>
        </w:rPr>
        <w:fldChar w:fldCharType="begin"/>
      </w:r>
      <w:r w:rsidR="00D12C1D">
        <w:rPr>
          <w:rFonts w:cs="Arial"/>
        </w:rPr>
        <w:instrText xml:space="preserve"> ADDIN EN.CITE &lt;EndNote&gt;&lt;Cite&gt;&lt;Author&gt;Di Pasquale&lt;/Author&gt;&lt;Year&gt;2016&lt;/Year&gt;&lt;RecNum&gt;7685&lt;/RecNum&gt;&lt;DisplayText&gt;&lt;style face="superscript"&gt;18&lt;/style&gt;&lt;/DisplayText&gt;&lt;record&gt;&lt;rec-number&gt;7685&lt;/rec-number&gt;&lt;foreign-keys&gt;&lt;key app="EN" db-id="t25z50tvn5wv5he905wvarvjr5xzsaxpadra" timestamp="0"&gt;7685&lt;/key&gt;&lt;/foreign-keys&gt;&lt;ref-type name="Journal Article"&gt;17&lt;/ref-type&gt;&lt;contributors&gt;&lt;authors&gt;&lt;author&gt;Di Pasquale, N.&lt;/author&gt;&lt;author&gt;Bane, M.&lt;/author&gt;&lt;author&gt;Davie ,S.J.&lt;/author&gt;&lt;author&gt;Popelier, P.L.A.&lt;/author&gt;&lt;/authors&gt;&lt;/contributors&gt;&lt;titles&gt;&lt;title&gt;FEREBUS: Highly Parallelized Engine for Kriging Training&lt;/title&gt;&lt;secondary-title&gt;J.Comput.Chem.&lt;/secondary-title&gt;&lt;/titles&gt;&lt;periodical&gt;&lt;full-title&gt;J.Comput.Chem.&lt;/full-title&gt;&lt;/periodical&gt;&lt;pages&gt;2606-2616&lt;/pages&gt;&lt;volume&gt;37&lt;/volume&gt;&lt;dates&gt;&lt;year&gt;2016&lt;/year&gt;&lt;/dates&gt;&lt;urls&gt;&lt;/urls&gt;&lt;/record&gt;&lt;/Cite&gt;&lt;/EndNote&gt;</w:instrText>
      </w:r>
      <w:r w:rsidR="004D4B19">
        <w:rPr>
          <w:rFonts w:cs="Arial"/>
        </w:rPr>
        <w:fldChar w:fldCharType="separate"/>
      </w:r>
      <w:r w:rsidR="00D12C1D" w:rsidRPr="00D12C1D">
        <w:rPr>
          <w:rFonts w:cs="Arial"/>
          <w:noProof/>
          <w:vertAlign w:val="superscript"/>
        </w:rPr>
        <w:t>18</w:t>
      </w:r>
      <w:r w:rsidR="004D4B19">
        <w:rPr>
          <w:rFonts w:cs="Arial"/>
        </w:rPr>
        <w:fldChar w:fldCharType="end"/>
      </w:r>
      <w:r w:rsidR="00E31C95">
        <w:rPr>
          <w:rFonts w:cs="Arial"/>
        </w:rPr>
        <w:t xml:space="preserve">, </w:t>
      </w:r>
      <w:r w:rsidR="00006275" w:rsidRPr="004F6DD4">
        <w:rPr>
          <w:rFonts w:cs="Arial"/>
        </w:rPr>
        <w:t>FFLUX creates “knowledgeable atoms”, which adjust their energ</w:t>
      </w:r>
      <w:r w:rsidR="00295B96">
        <w:rPr>
          <w:rFonts w:cs="Arial"/>
        </w:rPr>
        <w:t>ies</w:t>
      </w:r>
      <w:r w:rsidR="00006275" w:rsidRPr="004F6DD4">
        <w:rPr>
          <w:rFonts w:cs="Arial"/>
        </w:rPr>
        <w:t xml:space="preserve"> in response to the precise environment they are in. In particular, </w:t>
      </w:r>
      <w:r w:rsidR="0049706A">
        <w:rPr>
          <w:rFonts w:cs="Arial"/>
        </w:rPr>
        <w:t>k</w:t>
      </w:r>
      <w:r w:rsidR="00295B96">
        <w:rPr>
          <w:rFonts w:cs="Arial"/>
        </w:rPr>
        <w:t>riging</w:t>
      </w:r>
      <w:r w:rsidR="00006275" w:rsidRPr="004F6DD4">
        <w:rPr>
          <w:rFonts w:cs="Arial"/>
        </w:rPr>
        <w:t xml:space="preserve"> creates </w:t>
      </w:r>
      <w:r w:rsidR="00E31C95">
        <w:rPr>
          <w:rFonts w:cs="Arial"/>
        </w:rPr>
        <w:t xml:space="preserve">a </w:t>
      </w:r>
      <w:r w:rsidR="00006275" w:rsidRPr="004F6DD4">
        <w:rPr>
          <w:rFonts w:cs="Arial"/>
        </w:rPr>
        <w:t>model</w:t>
      </w:r>
      <w:r w:rsidR="00E31C95">
        <w:rPr>
          <w:rFonts w:cs="Arial"/>
        </w:rPr>
        <w:t xml:space="preserve"> </w:t>
      </w:r>
      <w:r w:rsidR="00006275" w:rsidRPr="004F6DD4">
        <w:rPr>
          <w:rFonts w:cs="Arial"/>
        </w:rPr>
        <w:t>that link</w:t>
      </w:r>
      <w:r w:rsidR="00E31C95">
        <w:rPr>
          <w:rFonts w:cs="Arial"/>
        </w:rPr>
        <w:t>s</w:t>
      </w:r>
      <w:r w:rsidR="00006275" w:rsidRPr="004F6DD4">
        <w:rPr>
          <w:rFonts w:cs="Arial"/>
        </w:rPr>
        <w:t xml:space="preserve"> a</w:t>
      </w:r>
      <w:r w:rsidR="00E31C95">
        <w:rPr>
          <w:rFonts w:cs="Arial"/>
        </w:rPr>
        <w:t xml:space="preserve"> given</w:t>
      </w:r>
      <w:r w:rsidR="00006275" w:rsidRPr="004F6DD4">
        <w:rPr>
          <w:rFonts w:cs="Arial"/>
        </w:rPr>
        <w:t xml:space="preserve"> atom’s propert</w:t>
      </w:r>
      <w:r w:rsidR="00E31C95">
        <w:rPr>
          <w:rFonts w:cs="Arial"/>
        </w:rPr>
        <w:t>y</w:t>
      </w:r>
      <w:r w:rsidR="00006275" w:rsidRPr="004F6DD4">
        <w:rPr>
          <w:rFonts w:cs="Arial"/>
        </w:rPr>
        <w:t xml:space="preserve"> (output) to the coordinates (input) of the atoms surrounding this atom. </w:t>
      </w:r>
      <w:r w:rsidR="007B3E53">
        <w:rPr>
          <w:rFonts w:cs="Arial"/>
        </w:rPr>
        <w:t xml:space="preserve">A </w:t>
      </w:r>
      <w:r w:rsidR="0049706A">
        <w:rPr>
          <w:rFonts w:cs="Arial"/>
        </w:rPr>
        <w:t>k</w:t>
      </w:r>
      <w:r w:rsidR="007B3E53">
        <w:rPr>
          <w:rFonts w:cs="Arial"/>
        </w:rPr>
        <w:t xml:space="preserve">riging model </w:t>
      </w:r>
      <w:r w:rsidR="00E31C95">
        <w:rPr>
          <w:rFonts w:cs="Arial"/>
        </w:rPr>
        <w:t>essentially</w:t>
      </w:r>
      <w:r w:rsidR="007B3E53">
        <w:rPr>
          <w:rFonts w:cs="Arial"/>
        </w:rPr>
        <w:t xml:space="preserve"> interpolate</w:t>
      </w:r>
      <w:r w:rsidR="00E31C95">
        <w:rPr>
          <w:rFonts w:cs="Arial"/>
        </w:rPr>
        <w:t>s</w:t>
      </w:r>
      <w:r w:rsidR="007B3E53">
        <w:rPr>
          <w:rFonts w:cs="Arial"/>
        </w:rPr>
        <w:t xml:space="preserve"> </w:t>
      </w:r>
      <w:r w:rsidR="00E31C95">
        <w:rPr>
          <w:rFonts w:cs="Arial"/>
        </w:rPr>
        <w:t xml:space="preserve">an atomic property (e.g. charge, </w:t>
      </w:r>
      <w:proofErr w:type="gramStart"/>
      <w:r w:rsidR="00E31C95">
        <w:rPr>
          <w:rFonts w:cs="Arial"/>
        </w:rPr>
        <w:t>energy, …)</w:t>
      </w:r>
      <w:proofErr w:type="gramEnd"/>
      <w:r w:rsidR="00E31C95">
        <w:rPr>
          <w:rFonts w:cs="Arial"/>
        </w:rPr>
        <w:t xml:space="preserve"> </w:t>
      </w:r>
      <w:r w:rsidR="007B3E53">
        <w:rPr>
          <w:rFonts w:cs="Arial"/>
        </w:rPr>
        <w:t xml:space="preserve">between the geometries of its training set. A kriging model for an atom’s charge is thus able to </w:t>
      </w:r>
      <w:r w:rsidR="0049706A">
        <w:rPr>
          <w:rFonts w:cs="Arial"/>
        </w:rPr>
        <w:t xml:space="preserve">return </w:t>
      </w:r>
      <w:r w:rsidR="00FD00FA">
        <w:rPr>
          <w:rFonts w:cs="Arial"/>
        </w:rPr>
        <w:t xml:space="preserve">the </w:t>
      </w:r>
      <w:r w:rsidR="00F250A1">
        <w:rPr>
          <w:rFonts w:cs="Arial"/>
        </w:rPr>
        <w:t xml:space="preserve">value of this </w:t>
      </w:r>
      <w:r w:rsidR="00FD00FA">
        <w:rPr>
          <w:rFonts w:cs="Arial"/>
        </w:rPr>
        <w:t>charge</w:t>
      </w:r>
      <w:r w:rsidR="00F250A1">
        <w:rPr>
          <w:rFonts w:cs="Arial"/>
        </w:rPr>
        <w:t xml:space="preserve"> </w:t>
      </w:r>
      <w:r w:rsidR="0049706A">
        <w:rPr>
          <w:rFonts w:cs="Arial"/>
        </w:rPr>
        <w:t xml:space="preserve">value </w:t>
      </w:r>
      <w:r w:rsidR="00FD00FA">
        <w:rPr>
          <w:rFonts w:cs="Arial"/>
        </w:rPr>
        <w:t>when the atom resides in</w:t>
      </w:r>
      <w:r w:rsidR="0049706A">
        <w:rPr>
          <w:rFonts w:cs="Arial"/>
        </w:rPr>
        <w:t xml:space="preserve"> a previously unseen </w:t>
      </w:r>
      <w:r w:rsidR="00FD00FA">
        <w:rPr>
          <w:rFonts w:cs="Arial"/>
        </w:rPr>
        <w:t xml:space="preserve">molecular </w:t>
      </w:r>
      <w:r w:rsidR="0049706A">
        <w:rPr>
          <w:rFonts w:cs="Arial"/>
        </w:rPr>
        <w:t>geometry.</w:t>
      </w:r>
      <w:r w:rsidR="007B3E53">
        <w:rPr>
          <w:rFonts w:cs="Arial"/>
        </w:rPr>
        <w:t xml:space="preserve"> </w:t>
      </w:r>
      <w:r w:rsidR="00F250A1">
        <w:rPr>
          <w:rFonts w:cs="Arial"/>
        </w:rPr>
        <w:t xml:space="preserve">Charge transfer </w:t>
      </w:r>
      <w:r w:rsidR="00FD00FA">
        <w:rPr>
          <w:rFonts w:cs="Arial"/>
        </w:rPr>
        <w:t>is thus incorporated in FFLUX</w:t>
      </w:r>
      <w:r w:rsidR="00F250A1">
        <w:rPr>
          <w:rFonts w:cs="Arial"/>
        </w:rPr>
        <w:t xml:space="preserve">, but </w:t>
      </w:r>
      <w:r w:rsidR="00C9569A">
        <w:rPr>
          <w:rFonts w:cs="Arial"/>
        </w:rPr>
        <w:t xml:space="preserve">(dipolar) </w:t>
      </w:r>
      <w:r w:rsidR="00F250A1">
        <w:rPr>
          <w:rFonts w:cs="Arial"/>
        </w:rPr>
        <w:t xml:space="preserve">polarization as well because the same </w:t>
      </w:r>
      <w:r w:rsidR="00C9569A">
        <w:rPr>
          <w:rFonts w:cs="Arial"/>
        </w:rPr>
        <w:t>idea applies to the intra-atomic dipole moment</w:t>
      </w:r>
      <w:r w:rsidR="00FD00FA">
        <w:rPr>
          <w:rFonts w:cs="Arial"/>
        </w:rPr>
        <w:t xml:space="preserve">. </w:t>
      </w:r>
      <w:r w:rsidR="0049706A">
        <w:rPr>
          <w:rFonts w:cs="Arial"/>
        </w:rPr>
        <w:t xml:space="preserve">We note that kriging is able to interpolate successfully in the very high-dimensional spaces presented by the  internal coordinates of a </w:t>
      </w:r>
      <w:r w:rsidR="00FD00FA">
        <w:rPr>
          <w:rFonts w:cs="Arial"/>
        </w:rPr>
        <w:t>typical</w:t>
      </w:r>
      <w:r w:rsidR="0049706A">
        <w:rPr>
          <w:rFonts w:cs="Arial"/>
        </w:rPr>
        <w:t xml:space="preserve"> atomic environment</w:t>
      </w:r>
      <w:r w:rsidR="00416D17">
        <w:rPr>
          <w:rFonts w:cs="Arial"/>
        </w:rPr>
        <w:t xml:space="preserve"> and performs better than neural networks in our context</w:t>
      </w:r>
      <w:r w:rsidR="004D4B19">
        <w:rPr>
          <w:rFonts w:cs="Arial"/>
        </w:rPr>
        <w:fldChar w:fldCharType="begin"/>
      </w:r>
      <w:r w:rsidR="00D12C1D">
        <w:rPr>
          <w:rFonts w:cs="Arial"/>
        </w:rPr>
        <w:instrText xml:space="preserve"> ADDIN EN.CITE &lt;EndNote&gt;&lt;Cite&gt;&lt;Author&gt;Handley&lt;/Author&gt;&lt;Year&gt;2009&lt;/Year&gt;&lt;RecNum&gt;4241&lt;/RecNum&gt;&lt;DisplayText&gt;&lt;style face="superscript"&gt;19, 20&lt;/style&gt;&lt;/DisplayText&gt;&lt;record&gt;&lt;rec-number&gt;4241&lt;/rec-number&gt;&lt;foreign-keys&gt;&lt;key app="EN" db-id="t25z50tvn5wv5he905wvarvjr5xzsaxpadra" timestamp="0"&gt;4241&lt;/key&gt;&lt;/foreign-keys&gt;&lt;ref-type name="Journal Article"&gt;17&lt;/ref-type&gt;&lt;contributors&gt;&lt;authors&gt;&lt;author&gt;Handley, C.M.&lt;/author&gt;&lt;author&gt;Popelier, P.L.A.&lt;/author&gt;&lt;/authors&gt;&lt;/contributors&gt;&lt;titles&gt;&lt;title&gt;A dynamically polarizable water potential based on multipole moments trained by machine learning.&lt;/title&gt;&lt;secondary-title&gt;J.Chem.Theory Comput. &lt;/secondary-title&gt;&lt;/titles&gt;&lt;pages&gt;1474-1489&lt;/pages&gt;&lt;volume&gt;5&lt;/volume&gt;&lt;dates&gt;&lt;year&gt;2009&lt;/year&gt;&lt;/dates&gt;&lt;urls&gt;&lt;/urls&gt;&lt;/record&gt;&lt;/Cite&gt;&lt;Cite&gt;&lt;Author&gt;Darley&lt;/Author&gt;&lt;Year&gt;2008&lt;/Year&gt;&lt;RecNum&gt;4208&lt;/RecNum&gt;&lt;record&gt;&lt;rec-number&gt;4208&lt;/rec-number&gt;&lt;foreign-keys&gt;&lt;key app="EN" db-id="t25z50tvn5wv5he905wvarvjr5xzsaxpadra" timestamp="0"&gt;4208&lt;/key&gt;&lt;/foreign-keys&gt;&lt;ref-type name="Journal Article"&gt;17&lt;/ref-type&gt;&lt;contributors&gt;&lt;authors&gt;&lt;author&gt;Darley, M.G.&lt;/author&gt;&lt;author&gt;Handley, C.M.&lt;/author&gt;&lt;author&gt;Popelier, P.L.A.&lt;/author&gt;&lt;/authors&gt;&lt;/contributors&gt;&lt;auth-address&gt;Manchester Interdisciplinary Biocentre (MIB), 131 Princess Street, Manchester M1 7DN, United Kingdom&lt;/auth-address&gt;&lt;titles&gt;&lt;title&gt;Beyond Point Charges: Dynamic Polarization from Neural Net Predicted Multipole Moments&lt;/title&gt;&lt;secondary-title&gt;J.Chem.Theory Comput.&lt;/secondary-title&gt;&lt;/titles&gt;&lt;pages&gt;1435-1448&lt;/pages&gt;&lt;volume&gt;4&lt;/volume&gt;&lt;number&gt;9&lt;/number&gt;&lt;dates&gt;&lt;year&gt;2008&lt;/year&gt;&lt;/dates&gt;&lt;isbn&gt;1549-9618&lt;/isbn&gt;&lt;urls&gt;&lt;related-urls&gt;&lt;url&gt;http://pubs3.acs.org/acs/journals/doilookup?in_doi=10.1021/ct800166r &lt;/url&gt;&lt;/related-urls&gt;&lt;/urls&gt;&lt;/record&gt;&lt;/Cite&gt;&lt;/EndNote&gt;</w:instrText>
      </w:r>
      <w:r w:rsidR="004D4B19">
        <w:rPr>
          <w:rFonts w:cs="Arial"/>
        </w:rPr>
        <w:fldChar w:fldCharType="separate"/>
      </w:r>
      <w:r w:rsidR="00D12C1D" w:rsidRPr="00D12C1D">
        <w:rPr>
          <w:rFonts w:cs="Arial"/>
          <w:noProof/>
          <w:vertAlign w:val="superscript"/>
        </w:rPr>
        <w:t>19, 20</w:t>
      </w:r>
      <w:r w:rsidR="004D4B19">
        <w:rPr>
          <w:rFonts w:cs="Arial"/>
        </w:rPr>
        <w:fldChar w:fldCharType="end"/>
      </w:r>
      <w:r w:rsidR="00416D17">
        <w:rPr>
          <w:rFonts w:cs="Arial"/>
        </w:rPr>
        <w:t>.</w:t>
      </w:r>
      <w:r w:rsidR="0049706A">
        <w:rPr>
          <w:rFonts w:cs="Arial"/>
        </w:rPr>
        <w:t xml:space="preserve">  </w:t>
      </w:r>
    </w:p>
    <w:p w14:paraId="7FE1F100" w14:textId="028AE3AD" w:rsidR="00BB1EBD" w:rsidRPr="00BB1EBD" w:rsidRDefault="00F2278C" w:rsidP="00AE3D67">
      <w:pPr>
        <w:spacing w:after="120" w:line="360" w:lineRule="auto"/>
        <w:jc w:val="both"/>
        <w:rPr>
          <w:rFonts w:eastAsia="MyriadPro-Regular" w:cs="MyriadPro-Regular"/>
          <w:color w:val="000000" w:themeColor="text1"/>
        </w:rPr>
      </w:pPr>
      <w:r>
        <w:t xml:space="preserve">       With the architecture of FFLUX set up (and briefly explained here) the next challenge is to </w:t>
      </w:r>
      <w:r w:rsidR="001F2A67">
        <w:t xml:space="preserve">construct realistic kriging models and to carry this out efficiently. </w:t>
      </w:r>
      <w:r w:rsidR="00A179CC">
        <w:t>Recently we obtained</w:t>
      </w:r>
      <w:r w:rsidR="004D4B19">
        <w:fldChar w:fldCharType="begin"/>
      </w:r>
      <w:r w:rsidR="00D12C1D">
        <w:instrText xml:space="preserve"> ADDIN EN.CITE &lt;EndNote&gt;&lt;Cite&gt;&lt;Author&gt;Fletcher&lt;/Author&gt;&lt;Year&gt;2016&lt;/Year&gt;&lt;RecNum&gt;7766&lt;/RecNum&gt;&lt;DisplayText&gt;&lt;style face="superscript"&gt;21&lt;/style&gt;&lt;/DisplayText&gt;&lt;record&gt;&lt;rec-number&gt;7766&lt;/rec-number&gt;&lt;foreign-keys&gt;&lt;key app="EN" db-id="t25z50tvn5wv5he905wvarvjr5xzsaxpadra" timestamp="0"&gt;7766&lt;/key&gt;&lt;/foreign-keys&gt;&lt;ref-type name="Journal Article"&gt;17&lt;/ref-type&gt;&lt;contributors&gt;&lt;authors&gt;&lt;author&gt;Fletcher, T.L.&lt;/author&gt;&lt;author&gt;Popelier, P.L.A.&lt;/author&gt;&lt;/authors&gt;&lt;/contributors&gt;&lt;titles&gt;&lt;title&gt;Multipolar Electrostatic Energy Prediction for all 20 Natural Amino Acids Using Kriging Machine Learning&lt;/title&gt;&lt;secondary-title&gt;J.Chem.Theor.Comput.&lt;/secondary-title&gt;&lt;/titles&gt;&lt;periodical&gt;&lt;full-title&gt;J.Chem.Theor.Comput.&lt;/full-title&gt;&lt;/periodical&gt;&lt;pages&gt;2742-2751&lt;/pages&gt;&lt;volume&gt;12&lt;/volume&gt;&lt;number&gt;6&lt;/number&gt;&lt;dates&gt;&lt;year&gt;2016&lt;/year&gt;&lt;pub-dates&gt;&lt;date&gt;2016/06/14&lt;/date&gt;&lt;/pub-dates&gt;&lt;/dates&gt;&lt;publisher&gt;American Chemical Society&lt;/publisher&gt;&lt;isbn&gt;1549-9618&lt;/isbn&gt;&lt;urls&gt;&lt;related-urls&gt;&lt;url&gt;http://dx.doi.org/10.1021/acs.jctc.6b00457&lt;/url&gt;&lt;/related-urls&gt;&lt;/urls&gt;&lt;electronic-resource-num&gt;10.1021/acs.jctc.6b00457&lt;/electronic-resource-num&gt;&lt;/record&gt;&lt;/Cite&gt;&lt;/EndNote&gt;</w:instrText>
      </w:r>
      <w:r w:rsidR="004D4B19">
        <w:fldChar w:fldCharType="separate"/>
      </w:r>
      <w:r w:rsidR="00D12C1D" w:rsidRPr="00D12C1D">
        <w:rPr>
          <w:noProof/>
          <w:vertAlign w:val="superscript"/>
        </w:rPr>
        <w:t>21</w:t>
      </w:r>
      <w:r w:rsidR="004D4B19">
        <w:fldChar w:fldCharType="end"/>
      </w:r>
      <w:r w:rsidR="00A179CC">
        <w:t xml:space="preserve"> accurate kriging models for all 20 natural amino acids</w:t>
      </w:r>
      <w:r w:rsidR="00614F69">
        <w:t>, peptide-capped at both termini,</w:t>
      </w:r>
      <w:r w:rsidR="00A179CC">
        <w:t xml:space="preserve"> </w:t>
      </w:r>
      <w:r w:rsidR="00614F69">
        <w:t>and in th</w:t>
      </w:r>
      <w:r w:rsidR="00BB1EBD">
        <w:t xml:space="preserve">eir most </w:t>
      </w:r>
      <w:r w:rsidR="00BB1EBD">
        <w:lastRenderedPageBreak/>
        <w:t xml:space="preserve">prominent Ramachandran-map </w:t>
      </w:r>
      <w:r w:rsidR="00614F69">
        <w:t xml:space="preserve">local </w:t>
      </w:r>
      <w:r w:rsidR="00DB52B3">
        <w:t xml:space="preserve">energy </w:t>
      </w:r>
      <w:r w:rsidR="00614F69">
        <w:t xml:space="preserve">minima. This achievement signifies a step change in </w:t>
      </w:r>
      <w:r w:rsidR="00614F69" w:rsidRPr="00BB1EBD">
        <w:rPr>
          <w:color w:val="000000" w:themeColor="text1"/>
        </w:rPr>
        <w:t>realism in the representation of an amino acid in a protein force field. However, there is evidence that the energy of an atom in a protein is influenced by a larger environment tha</w:t>
      </w:r>
      <w:r w:rsidR="00DB52B3" w:rsidRPr="00BB1EBD">
        <w:rPr>
          <w:color w:val="000000" w:themeColor="text1"/>
        </w:rPr>
        <w:t xml:space="preserve">n that of the </w:t>
      </w:r>
      <w:r w:rsidR="00614F69" w:rsidRPr="00BB1EBD">
        <w:rPr>
          <w:color w:val="000000" w:themeColor="text1"/>
        </w:rPr>
        <w:t>single amino acid that it is part of.</w:t>
      </w:r>
      <w:r w:rsidR="00DB52B3" w:rsidRPr="00BB1EBD">
        <w:rPr>
          <w:color w:val="000000" w:themeColor="text1"/>
        </w:rPr>
        <w:t xml:space="preserve"> In fact</w:t>
      </w:r>
      <w:r w:rsidR="004D4B19">
        <w:rPr>
          <w:color w:val="000000" w:themeColor="text1"/>
        </w:rPr>
        <w:fldChar w:fldCharType="begin"/>
      </w:r>
      <w:r w:rsidR="00D12C1D">
        <w:rPr>
          <w:color w:val="000000" w:themeColor="text1"/>
        </w:rPr>
        <w:instrText xml:space="preserve"> ADDIN EN.CITE &lt;EndNote&gt;&lt;Cite&gt;&lt;Author&gt;Maxwell&lt;/Author&gt;&lt;Year&gt;2016&lt;/Year&gt;&lt;RecNum&gt;7073&lt;/RecNum&gt;&lt;DisplayText&gt;&lt;style face="superscript"&gt;22&lt;/style&gt;&lt;/DisplayText&gt;&lt;record&gt;&lt;rec-number&gt;7073&lt;/rec-number&gt;&lt;foreign-keys&gt;&lt;key app="EN" db-id="t25z50tvn5wv5he905wvarvjr5xzsaxpadra" timestamp="0"&gt;7073&lt;/key&gt;&lt;/foreign-keys&gt;&lt;ref-type name="Journal Article"&gt;17&lt;/ref-type&gt;&lt;contributors&gt;&lt;authors&gt;&lt;author&gt;Maxwell, P.&lt;/author&gt;&lt;author&gt;Popelier, P.L.A.&lt;/author&gt;&lt;/authors&gt;&lt;/contributors&gt;&lt;titles&gt;&lt;title&gt;Transferable atoms: an intra-atomic perspective through the study of homogeneous oligopeptides&lt;/title&gt;&lt;secondary-title&gt;Molec.Phys.&lt;/secondary-title&gt;&lt;/titles&gt;&lt;pages&gt;1304-1316&lt;/pages&gt;&lt;volume&gt;114&lt;/volume&gt;&lt;dates&gt;&lt;year&gt;2016&lt;/year&gt;&lt;/dates&gt;&lt;urls&gt;&lt;/urls&gt;&lt;/record&gt;&lt;/Cite&gt;&lt;/EndNote&gt;</w:instrText>
      </w:r>
      <w:r w:rsidR="004D4B19">
        <w:rPr>
          <w:color w:val="000000" w:themeColor="text1"/>
        </w:rPr>
        <w:fldChar w:fldCharType="separate"/>
      </w:r>
      <w:r w:rsidR="00D12C1D" w:rsidRPr="00D12C1D">
        <w:rPr>
          <w:noProof/>
          <w:color w:val="000000" w:themeColor="text1"/>
          <w:vertAlign w:val="superscript"/>
        </w:rPr>
        <w:t>22</w:t>
      </w:r>
      <w:r w:rsidR="004D4B19">
        <w:rPr>
          <w:color w:val="000000" w:themeColor="text1"/>
        </w:rPr>
        <w:fldChar w:fldCharType="end"/>
      </w:r>
      <w:r w:rsidR="00DB52B3" w:rsidRPr="00BB1EBD">
        <w:rPr>
          <w:color w:val="000000" w:themeColor="text1"/>
        </w:rPr>
        <w:t xml:space="preserve">, </w:t>
      </w:r>
      <w:r w:rsidR="00BB1EBD" w:rsidRPr="00BB1EBD">
        <w:rPr>
          <w:color w:val="000000" w:themeColor="text1"/>
        </w:rPr>
        <w:t>for seven different homogeneous oligopeptides we found that t</w:t>
      </w:r>
      <w:r w:rsidR="00DB52B3" w:rsidRPr="00BB1EBD">
        <w:rPr>
          <w:rFonts w:eastAsia="MyriadPro-Regular" w:cs="MyriadPro-Regular"/>
          <w:color w:val="000000" w:themeColor="text1"/>
        </w:rPr>
        <w:t>he C</w:t>
      </w:r>
      <w:r w:rsidR="00DB52B3" w:rsidRPr="00BB1EBD">
        <w:rPr>
          <w:rFonts w:eastAsia="MyriadPro-Regular" w:cs="RMTMI"/>
          <w:i/>
          <w:iCs/>
          <w:color w:val="000000" w:themeColor="text1"/>
          <w:vertAlign w:val="subscript"/>
        </w:rPr>
        <w:t>α</w:t>
      </w:r>
      <w:r w:rsidR="00DB52B3" w:rsidRPr="00BB1EBD">
        <w:rPr>
          <w:rFonts w:eastAsia="MyriadPro-Regular" w:cs="MyriadPro-Regular"/>
          <w:color w:val="000000" w:themeColor="text1"/>
        </w:rPr>
        <w:t>, H</w:t>
      </w:r>
      <w:r w:rsidR="00DB52B3" w:rsidRPr="00BB1EBD">
        <w:rPr>
          <w:rFonts w:eastAsia="MyriadPro-Regular" w:cs="RMTMI"/>
          <w:i/>
          <w:iCs/>
          <w:color w:val="000000" w:themeColor="text1"/>
          <w:vertAlign w:val="subscript"/>
        </w:rPr>
        <w:t>α</w:t>
      </w:r>
      <w:r w:rsidR="00DB52B3" w:rsidRPr="00BB1EBD">
        <w:rPr>
          <w:rFonts w:eastAsia="MyriadPro-Regular" w:cs="MyriadPro-Regular"/>
          <w:color w:val="000000" w:themeColor="text1"/>
        </w:rPr>
        <w:t xml:space="preserve">, N, O and S atoms in a </w:t>
      </w:r>
      <w:proofErr w:type="spellStart"/>
      <w:r w:rsidR="00BB1EBD">
        <w:rPr>
          <w:rFonts w:eastAsia="MyriadPro-Regular" w:cs="MyriadPro-Regular"/>
          <w:color w:val="000000" w:themeColor="text1"/>
        </w:rPr>
        <w:t>tri</w:t>
      </w:r>
      <w:r w:rsidR="00BB1EBD" w:rsidRPr="00BB1EBD">
        <w:rPr>
          <w:rFonts w:eastAsia="MyriadPro-Regular" w:cs="MyriadPro-Regular"/>
          <w:color w:val="000000" w:themeColor="text1"/>
        </w:rPr>
        <w:t>amino</w:t>
      </w:r>
      <w:proofErr w:type="spellEnd"/>
      <w:r w:rsidR="00BB1EBD" w:rsidRPr="00BB1EBD">
        <w:rPr>
          <w:rFonts w:eastAsia="MyriadPro-Regular" w:cs="MyriadPro-Regular"/>
          <w:color w:val="000000" w:themeColor="text1"/>
        </w:rPr>
        <w:t>-acid system are</w:t>
      </w:r>
      <w:r w:rsidR="00DB52B3" w:rsidRPr="00BB1EBD">
        <w:rPr>
          <w:rFonts w:eastAsia="MyriadPro-Regular" w:cs="MyriadPro-Regular"/>
          <w:color w:val="000000" w:themeColor="text1"/>
        </w:rPr>
        <w:t xml:space="preserve"> energetically comparable to those in the</w:t>
      </w:r>
      <w:r w:rsidR="00BB1EBD" w:rsidRPr="00BB1EBD">
        <w:rPr>
          <w:rFonts w:eastAsia="MyriadPro-Regular" w:cs="MyriadPro-Regular"/>
          <w:color w:val="000000" w:themeColor="text1"/>
        </w:rPr>
        <w:t xml:space="preserve"> corresponding </w:t>
      </w:r>
      <w:r w:rsidR="00BB1EBD">
        <w:rPr>
          <w:rFonts w:eastAsia="MyriadPro-Regular" w:cs="MyriadPro-Regular"/>
          <w:color w:val="000000" w:themeColor="text1"/>
        </w:rPr>
        <w:t>penta-</w:t>
      </w:r>
      <w:r w:rsidR="00BB1EBD" w:rsidRPr="00BB1EBD">
        <w:rPr>
          <w:rFonts w:eastAsia="MyriadPro-Regular" w:cs="MyriadPro-Regular"/>
          <w:color w:val="000000" w:themeColor="text1"/>
        </w:rPr>
        <w:t xml:space="preserve">amino-acid </w:t>
      </w:r>
      <w:r w:rsidR="00DB52B3" w:rsidRPr="00BB1EBD">
        <w:rPr>
          <w:rFonts w:eastAsia="MyriadPro-Regular" w:cs="MyriadPro-Regular"/>
          <w:color w:val="000000" w:themeColor="text1"/>
        </w:rPr>
        <w:t>configurations, within 2.1 kJmol</w:t>
      </w:r>
      <w:r w:rsidR="00BB1EBD" w:rsidRPr="00BB1EBD">
        <w:rPr>
          <w:rFonts w:eastAsia="MyriadPro-Regular" w:cs="MyriadPro-Regular"/>
          <w:color w:val="000000" w:themeColor="text1"/>
          <w:vertAlign w:val="superscript"/>
        </w:rPr>
        <w:t>-1</w:t>
      </w:r>
      <w:r w:rsidR="00DB52B3" w:rsidRPr="00BB1EBD">
        <w:rPr>
          <w:rFonts w:eastAsia="MyriadPro-Regular" w:cs="MyriadPro-Regular"/>
          <w:color w:val="000000" w:themeColor="text1"/>
        </w:rPr>
        <w:t xml:space="preserve"> </w:t>
      </w:r>
      <w:r w:rsidR="00BB1EBD">
        <w:rPr>
          <w:rFonts w:eastAsia="MyriadPro-Regular" w:cs="MyriadPro-Regular"/>
          <w:color w:val="000000" w:themeColor="text1"/>
        </w:rPr>
        <w:t>(</w:t>
      </w:r>
      <w:r w:rsidR="00DB52B3" w:rsidRPr="00BB1EBD">
        <w:rPr>
          <w:rFonts w:eastAsia="MyriadPro-Regular" w:cs="MyriadPro-Regular"/>
          <w:color w:val="000000" w:themeColor="text1"/>
        </w:rPr>
        <w:t>in absolute value</w:t>
      </w:r>
      <w:r w:rsidR="00BB1EBD">
        <w:rPr>
          <w:rFonts w:eastAsia="MyriadPro-Regular" w:cs="MyriadPro-Regular"/>
          <w:color w:val="000000" w:themeColor="text1"/>
        </w:rPr>
        <w:t>)</w:t>
      </w:r>
      <w:r w:rsidR="00DB52B3" w:rsidRPr="00BB1EBD">
        <w:rPr>
          <w:rFonts w:eastAsia="MyriadPro-Regular" w:cs="MyriadPro-Regular"/>
          <w:color w:val="000000" w:themeColor="text1"/>
        </w:rPr>
        <w:t xml:space="preserve">. </w:t>
      </w:r>
      <w:r w:rsidR="00BB1EBD" w:rsidRPr="00BB1EBD">
        <w:rPr>
          <w:rFonts w:eastAsia="MyriadPro-Regular" w:cs="MyriadPro-Regular"/>
          <w:color w:val="231F20"/>
        </w:rPr>
        <w:t xml:space="preserve">On average, the tri-peptide sample systems represent a </w:t>
      </w:r>
      <w:r w:rsidR="00BB1EBD" w:rsidRPr="00BB1EBD">
        <w:rPr>
          <w:rFonts w:ascii="Cambria Math" w:eastAsia="MTSY" w:hAnsi="Cambria Math" w:cs="Cambria Math"/>
          <w:color w:val="231F20"/>
        </w:rPr>
        <w:t>∼</w:t>
      </w:r>
      <w:r w:rsidR="00BB1EBD" w:rsidRPr="00BB1EBD">
        <w:rPr>
          <w:rFonts w:eastAsia="MyriadPro-Regular" w:cs="MyriadPro-Regular"/>
          <w:color w:val="231F20"/>
        </w:rPr>
        <w:t>8 Å atomic horizon around the central atoms of interest.</w:t>
      </w:r>
    </w:p>
    <w:p w14:paraId="19E776CD" w14:textId="0C84EDC6" w:rsidR="00497A24" w:rsidRDefault="0021391F" w:rsidP="00AE3D67">
      <w:pPr>
        <w:spacing w:after="120" w:line="360" w:lineRule="auto"/>
        <w:jc w:val="both"/>
      </w:pPr>
      <w:r>
        <w:t xml:space="preserve">          </w:t>
      </w:r>
      <w:r w:rsidR="008415BE">
        <w:t xml:space="preserve">We present this work as </w:t>
      </w:r>
      <w:r>
        <w:t xml:space="preserve">the third </w:t>
      </w:r>
      <w:r w:rsidR="008415BE">
        <w:t xml:space="preserve">part of a series of papers that have explored transferability within FFLUX through transferable kriging models. In </w:t>
      </w:r>
      <w:r>
        <w:t>the</w:t>
      </w:r>
      <w:r w:rsidR="008415BE">
        <w:t xml:space="preserve"> first paper</w:t>
      </w:r>
      <w:r w:rsidR="004D4B19">
        <w:fldChar w:fldCharType="begin"/>
      </w:r>
      <w:r w:rsidR="00D12C1D">
        <w:instrText xml:space="preserve"> ADDIN EN.CITE &lt;EndNote&gt;&lt;Cite&gt;&lt;Author&gt;Fletcher&lt;/Author&gt;&lt;Year&gt;2015&lt;/Year&gt;&lt;RecNum&gt;7094&lt;/RecNum&gt;&lt;DisplayText&gt;&lt;style face="superscript"&gt;23&lt;/style&gt;&lt;/DisplayText&gt;&lt;record&gt;&lt;rec-number&gt;7094&lt;/rec-number&gt;&lt;foreign-keys&gt;&lt;key app="EN" db-id="t25z50tvn5wv5he905wvarvjr5xzsaxpadra" timestamp="0"&gt;7094&lt;/key&gt;&lt;/foreign-keys&gt;&lt;ref-type name="Journal Article"&gt;17&lt;/ref-type&gt;&lt;contributors&gt;&lt;authors&gt;&lt;author&gt;Fletcher, T.L.&lt;/author&gt;&lt;author&gt;Popelier, P.L.A.&lt;/author&gt;&lt;/authors&gt;&lt;/contributors&gt;&lt;titles&gt;&lt;title&gt;Transferable kriging machine learning models for the multipolar electrostatics of helical deca-alanine&lt;/title&gt;&lt;secondary-title&gt;Theor.Chem.Acc. &lt;/secondary-title&gt;&lt;/titles&gt;&lt;periodical&gt;&lt;full-title&gt;Theor.Chem.Acc.&lt;/full-title&gt;&lt;/periodical&gt;&lt;pages&gt;135:1-16&lt;/pages&gt;&lt;volume&gt;134&lt;/volume&gt;&lt;dates&gt;&lt;year&gt;2015&lt;/year&gt;&lt;/dates&gt;&lt;urls&gt;&lt;/urls&gt;&lt;/record&gt;&lt;/Cite&gt;&lt;/EndNote&gt;</w:instrText>
      </w:r>
      <w:r w:rsidR="004D4B19">
        <w:fldChar w:fldCharType="separate"/>
      </w:r>
      <w:r w:rsidR="00D12C1D" w:rsidRPr="00D12C1D">
        <w:rPr>
          <w:noProof/>
          <w:vertAlign w:val="superscript"/>
        </w:rPr>
        <w:t>23</w:t>
      </w:r>
      <w:r w:rsidR="004D4B19">
        <w:fldChar w:fldCharType="end"/>
      </w:r>
      <w:r w:rsidR="00DB616B">
        <w:t xml:space="preserve"> </w:t>
      </w:r>
      <w:r w:rsidR="008415BE">
        <w:t xml:space="preserve">we outlined the need for </w:t>
      </w:r>
      <w:proofErr w:type="spellStart"/>
      <w:r w:rsidR="008415BE">
        <w:t>triamino</w:t>
      </w:r>
      <w:proofErr w:type="spellEnd"/>
      <w:r w:rsidR="008415BE">
        <w:t xml:space="preserve"> acids </w:t>
      </w:r>
      <w:r>
        <w:t>compared to merely</w:t>
      </w:r>
      <w:r w:rsidR="008415BE">
        <w:t xml:space="preserve"> single amino acids </w:t>
      </w:r>
      <w:r>
        <w:t xml:space="preserve">as a data source </w:t>
      </w:r>
      <w:r w:rsidR="008415BE">
        <w:t>representative of long-chain peptides</w:t>
      </w:r>
      <w:r>
        <w:t>. The</w:t>
      </w:r>
      <w:r w:rsidR="008415BE">
        <w:t xml:space="preserve"> first transferable models </w:t>
      </w:r>
      <w:r>
        <w:t xml:space="preserve">studied there </w:t>
      </w:r>
      <w:r w:rsidR="008415BE">
        <w:t>prov</w:t>
      </w:r>
      <w:r>
        <w:t>ed</w:t>
      </w:r>
      <w:r w:rsidR="008415BE">
        <w:t xml:space="preserve"> that fragment models can be applied successfully to larger systems</w:t>
      </w:r>
      <w:r w:rsidR="00F73C80">
        <w:t xml:space="preserve"> such as </w:t>
      </w:r>
      <w:proofErr w:type="spellStart"/>
      <w:r w:rsidR="00F73C80">
        <w:t>deca</w:t>
      </w:r>
      <w:proofErr w:type="spellEnd"/>
      <w:r w:rsidR="00F73C80">
        <w:t>-alanine</w:t>
      </w:r>
      <w:r w:rsidR="008415BE">
        <w:t xml:space="preserve">. In </w:t>
      </w:r>
      <w:r>
        <w:t>the</w:t>
      </w:r>
      <w:r w:rsidR="008415BE">
        <w:t xml:space="preserve"> second paper</w:t>
      </w:r>
      <w:r w:rsidR="004D4B19">
        <w:fldChar w:fldCharType="begin"/>
      </w:r>
      <w:r w:rsidR="00D12C1D">
        <w:instrText xml:space="preserve"> ADDIN EN.CITE &lt;EndNote&gt;&lt;Cite&gt;&lt;Author&gt;Fletcher&lt;/Author&gt;&lt;Year&gt;2017&lt;/Year&gt;&lt;RecNum&gt;8057&lt;/RecNum&gt;&lt;DisplayText&gt;&lt;style face="superscript"&gt;24&lt;/style&gt;&lt;/DisplayText&gt;&lt;record&gt;&lt;rec-number&gt;8057&lt;/rec-number&gt;&lt;foreign-keys&gt;&lt;key app="EN" db-id="t25z50tvn5wv5he905wvarvjr5xzsaxpadra" timestamp="0"&gt;8057&lt;/key&gt;&lt;/foreign-keys&gt;&lt;ref-type name="Journal Article"&gt;17&lt;/ref-type&gt;&lt;contributors&gt;&lt;authors&gt;&lt;author&gt;Fletcher, T.L.&lt;/author&gt;&lt;author&gt;Popelier, P.L.A.&lt;/author&gt;&lt;/authors&gt;&lt;/contributors&gt;&lt;titles&gt;&lt;title&gt;Toward amino acid typing for proteins in FFLUX&lt;/title&gt;&lt;secondary-title&gt;J.Comput.Chem.&lt;/secondary-title&gt;&lt;/titles&gt;&lt;periodical&gt;&lt;full-title&gt;J.Comput.Chem.&lt;/full-title&gt;&lt;/periodical&gt;&lt;pages&gt;336-345&lt;/pages&gt;&lt;volume&gt;38&lt;/volume&gt;&lt;dates&gt;&lt;year&gt;2017&lt;/year&gt;&lt;/dates&gt;&lt;urls&gt;&lt;/urls&gt;&lt;/record&gt;&lt;/Cite&gt;&lt;/EndNote&gt;</w:instrText>
      </w:r>
      <w:r w:rsidR="004D4B19">
        <w:fldChar w:fldCharType="separate"/>
      </w:r>
      <w:r w:rsidR="00D12C1D" w:rsidRPr="00D12C1D">
        <w:rPr>
          <w:noProof/>
          <w:vertAlign w:val="superscript"/>
        </w:rPr>
        <w:t>24</w:t>
      </w:r>
      <w:r w:rsidR="004D4B19">
        <w:fldChar w:fldCharType="end"/>
      </w:r>
      <w:r w:rsidR="008415BE">
        <w:t xml:space="preserve"> we </w:t>
      </w:r>
      <w:r>
        <w:t xml:space="preserve">demonstrated the advantage and feasibility </w:t>
      </w:r>
      <w:r w:rsidR="008415BE">
        <w:t xml:space="preserve">of grouping amino acids according to </w:t>
      </w:r>
      <w:r>
        <w:t xml:space="preserve">the </w:t>
      </w:r>
      <w:r w:rsidR="008415BE">
        <w:t>influence  a neighbouring residue</w:t>
      </w:r>
      <w:r>
        <w:t xml:space="preserve"> has on the charge and kinetic energy of alpha carbons (C</w:t>
      </w:r>
      <w:r w:rsidRPr="0021391F">
        <w:rPr>
          <w:vertAlign w:val="subscript"/>
        </w:rPr>
        <w:t>α</w:t>
      </w:r>
      <w:r>
        <w:t>)</w:t>
      </w:r>
      <w:r w:rsidR="008415BE">
        <w:t xml:space="preserve">. This grouping enabled </w:t>
      </w:r>
      <w:r w:rsidR="00820583">
        <w:t>the creation of</w:t>
      </w:r>
      <w:r w:rsidR="00443B53">
        <w:t xml:space="preserve"> kriging models that </w:t>
      </w:r>
      <w:r w:rsidR="00F73C80">
        <w:t xml:space="preserve">will then </w:t>
      </w:r>
      <w:r w:rsidR="00443B53">
        <w:t>be more specific to an amino acid’s local environment within a peptide chain without needing 8000</w:t>
      </w:r>
      <w:r w:rsidR="00507085">
        <w:t xml:space="preserve"> </w:t>
      </w:r>
      <w:r w:rsidR="00D123FA">
        <w:t>(=20x20x20)</w:t>
      </w:r>
      <w:r w:rsidR="00443B53">
        <w:t xml:space="preserve"> potential models required for all </w:t>
      </w:r>
      <w:proofErr w:type="spellStart"/>
      <w:r w:rsidR="00443B53">
        <w:t>triamino</w:t>
      </w:r>
      <w:proofErr w:type="spellEnd"/>
      <w:r w:rsidR="00443B53">
        <w:t xml:space="preserve"> acid combinations.</w:t>
      </w:r>
      <w:r w:rsidR="005F64CF">
        <w:t xml:space="preserve"> </w:t>
      </w:r>
      <w:r w:rsidR="00D123FA">
        <w:t>In the current</w:t>
      </w:r>
      <w:r w:rsidR="00820583">
        <w:t xml:space="preserve"> </w:t>
      </w:r>
      <w:r w:rsidR="00F73C80">
        <w:t xml:space="preserve">and third </w:t>
      </w:r>
      <w:r w:rsidR="00820583">
        <w:t>paper we</w:t>
      </w:r>
      <w:r w:rsidR="005F64CF" w:rsidRPr="00A05DB9">
        <w:t xml:space="preserve"> </w:t>
      </w:r>
      <w:r w:rsidR="00820583">
        <w:t xml:space="preserve">present a </w:t>
      </w:r>
      <w:r w:rsidR="005F64CF" w:rsidRPr="00A05DB9">
        <w:t xml:space="preserve">proof-of-concept </w:t>
      </w:r>
      <w:r w:rsidR="00820583">
        <w:t>of this assertion</w:t>
      </w:r>
      <w:r w:rsidR="005F64CF" w:rsidRPr="00A05DB9">
        <w:t>, utilizing transferable kriging models</w:t>
      </w:r>
      <w:r w:rsidR="002B42D2" w:rsidRPr="00A05DB9">
        <w:t xml:space="preserve"> to predict the atomic </w:t>
      </w:r>
      <w:r w:rsidR="00F73C80">
        <w:t>charge of alpha carbons appearing in</w:t>
      </w:r>
      <w:r w:rsidR="002B42D2" w:rsidRPr="00A05DB9">
        <w:t xml:space="preserve"> an</w:t>
      </w:r>
      <w:r w:rsidR="00F73C80">
        <w:t>y oligopeptide</w:t>
      </w:r>
      <w:r w:rsidR="002B42D2" w:rsidRPr="00A05DB9">
        <w:t xml:space="preserve">. </w:t>
      </w:r>
      <w:r w:rsidR="00820583">
        <w:t xml:space="preserve">We work again with </w:t>
      </w:r>
      <w:proofErr w:type="spellStart"/>
      <w:r w:rsidR="002B42D2" w:rsidRPr="00A05DB9">
        <w:t>deca</w:t>
      </w:r>
      <w:r w:rsidR="00F73C80">
        <w:t>-alanines</w:t>
      </w:r>
      <w:proofErr w:type="spellEnd"/>
      <w:r w:rsidR="00820583">
        <w:t xml:space="preserve"> because they were used in the previous two publications and </w:t>
      </w:r>
      <w:r w:rsidR="002B42D2" w:rsidRPr="00A05DB9">
        <w:t>are well understood in the context of transferable kriging models</w:t>
      </w:r>
      <w:r w:rsidR="00A70E9D">
        <w:t>. Here</w:t>
      </w:r>
      <w:r w:rsidR="002B42D2" w:rsidRPr="00A05DB9">
        <w:t xml:space="preserve">, we utilize </w:t>
      </w:r>
      <w:proofErr w:type="spellStart"/>
      <w:r w:rsidR="002B42D2" w:rsidRPr="00A05DB9">
        <w:t>deca</w:t>
      </w:r>
      <w:r w:rsidR="002D30DD">
        <w:t>-alanines</w:t>
      </w:r>
      <w:proofErr w:type="spellEnd"/>
      <w:r w:rsidR="002B42D2" w:rsidRPr="00A05DB9">
        <w:t xml:space="preserve"> co</w:t>
      </w:r>
      <w:r w:rsidR="002D30DD">
        <w:t>ntaining</w:t>
      </w:r>
      <w:r w:rsidR="002B42D2" w:rsidRPr="00A05DB9">
        <w:t xml:space="preserve"> </w:t>
      </w:r>
      <w:r w:rsidR="002D30DD">
        <w:t xml:space="preserve">amino acid substitution using any </w:t>
      </w:r>
      <w:r w:rsidR="002B42D2" w:rsidRPr="00A05DB9">
        <w:t>of 9 different amino acids</w:t>
      </w:r>
      <w:r w:rsidR="002D30DD">
        <w:t>, as detailed in the next Section</w:t>
      </w:r>
      <w:r w:rsidR="002B42D2" w:rsidRPr="00A05DB9">
        <w:t xml:space="preserve">. </w:t>
      </w:r>
    </w:p>
    <w:p w14:paraId="5FC55C3B" w14:textId="77777777" w:rsidR="00A41D0F" w:rsidRPr="00A41D0F" w:rsidRDefault="00A41D0F" w:rsidP="00A41D0F">
      <w:pPr>
        <w:spacing w:after="0" w:line="360" w:lineRule="auto"/>
        <w:jc w:val="both"/>
      </w:pPr>
      <w:r w:rsidRPr="00A41D0F">
        <w:t xml:space="preserve">      </w:t>
      </w:r>
      <w:r w:rsidR="001F2A67" w:rsidRPr="00A41D0F">
        <w:t xml:space="preserve">While </w:t>
      </w:r>
      <w:r w:rsidRPr="00A41D0F">
        <w:t>popular point-charge</w:t>
      </w:r>
      <w:r w:rsidR="001F2A67" w:rsidRPr="00A41D0F">
        <w:t xml:space="preserve"> force fields tend to have a large list of atom types, each with a parameter set corresponding to a potential</w:t>
      </w:r>
      <w:r w:rsidRPr="00A41D0F">
        <w:t>, FFLUX introduces</w:t>
      </w:r>
      <w:r w:rsidR="001F2A67" w:rsidRPr="00A41D0F">
        <w:t xml:space="preserve"> a large list of kriging models. </w:t>
      </w:r>
      <w:r w:rsidRPr="00A41D0F">
        <w:t xml:space="preserve">A given oligopeptide or protein backbone needs to be “dressed up” with the “quantum-knowledgeable” atoms that FFLUX provides. </w:t>
      </w:r>
      <w:r w:rsidR="001F2A67" w:rsidRPr="00A41D0F">
        <w:t>Th</w:t>
      </w:r>
      <w:r w:rsidRPr="00A41D0F">
        <w:t>is means that a kriging model must cover a sufficiently large environment of the atom that it provides properties for. This paper proposes methods for the creation and selection of these kriging models.</w:t>
      </w:r>
    </w:p>
    <w:p w14:paraId="31702165" w14:textId="77777777" w:rsidR="00A41D0F" w:rsidRDefault="00A41D0F" w:rsidP="00A41D0F">
      <w:pPr>
        <w:spacing w:after="0" w:line="360" w:lineRule="auto"/>
        <w:jc w:val="both"/>
        <w:rPr>
          <w:color w:val="00B050"/>
        </w:rPr>
      </w:pPr>
    </w:p>
    <w:p w14:paraId="35BDF0FD" w14:textId="77777777" w:rsidR="00472737" w:rsidRDefault="00472737" w:rsidP="00A41D0F">
      <w:pPr>
        <w:spacing w:after="0" w:line="360" w:lineRule="auto"/>
        <w:jc w:val="both"/>
        <w:rPr>
          <w:color w:val="00B050"/>
        </w:rPr>
      </w:pPr>
    </w:p>
    <w:p w14:paraId="52D2F6D2" w14:textId="77777777" w:rsidR="00575A85" w:rsidRDefault="00C82A63" w:rsidP="00A05DB9">
      <w:pPr>
        <w:spacing w:after="120"/>
        <w:jc w:val="both"/>
        <w:rPr>
          <w:b/>
          <w:sz w:val="24"/>
        </w:rPr>
      </w:pPr>
      <w:r>
        <w:br/>
      </w:r>
      <w:bookmarkStart w:id="1" w:name="OLE_LINK1"/>
      <w:r w:rsidR="007B3E53">
        <w:rPr>
          <w:b/>
          <w:sz w:val="24"/>
        </w:rPr>
        <w:t xml:space="preserve">2. </w:t>
      </w:r>
      <w:r w:rsidR="00575A85">
        <w:rPr>
          <w:b/>
          <w:sz w:val="24"/>
        </w:rPr>
        <w:t>Methods</w:t>
      </w:r>
      <w:r w:rsidR="002D30DD">
        <w:rPr>
          <w:b/>
          <w:sz w:val="24"/>
        </w:rPr>
        <w:t xml:space="preserve"> and Materials</w:t>
      </w:r>
    </w:p>
    <w:bookmarkEnd w:id="1"/>
    <w:p w14:paraId="0253B920" w14:textId="77777777" w:rsidR="00472737" w:rsidRDefault="00784AE7" w:rsidP="00472737">
      <w:pPr>
        <w:spacing w:after="0" w:line="360" w:lineRule="auto"/>
        <w:jc w:val="both"/>
      </w:pPr>
      <w:r>
        <w:lastRenderedPageBreak/>
        <w:t xml:space="preserve">       </w:t>
      </w:r>
      <w:r w:rsidR="00472737">
        <w:t xml:space="preserve">In the first and second paper of this series, we showed that kriging models built with </w:t>
      </w:r>
      <w:proofErr w:type="spellStart"/>
      <w:r w:rsidR="00472737">
        <w:t>decapeptide</w:t>
      </w:r>
      <w:proofErr w:type="spellEnd"/>
      <w:r w:rsidR="00472737">
        <w:t xml:space="preserve"> data outperform those built with single amino acid or tripeptide data when predicting </w:t>
      </w:r>
      <w:proofErr w:type="spellStart"/>
      <w:r w:rsidR="00472737">
        <w:t>decapeptide</w:t>
      </w:r>
      <w:proofErr w:type="spellEnd"/>
      <w:r w:rsidR="00472737">
        <w:t xml:space="preserve"> properties. Thus, for the eventual goal of dressing up oligopeptides, here we have chosen to build </w:t>
      </w:r>
      <w:proofErr w:type="spellStart"/>
      <w:r w:rsidR="00472737">
        <w:t>kriging</w:t>
      </w:r>
      <w:proofErr w:type="spellEnd"/>
      <w:r w:rsidR="00472737">
        <w:t xml:space="preserve"> models using </w:t>
      </w:r>
      <w:proofErr w:type="spellStart"/>
      <w:r w:rsidR="00472737">
        <w:t>decapeptide</w:t>
      </w:r>
      <w:proofErr w:type="spellEnd"/>
      <w:r w:rsidR="00472737">
        <w:t xml:space="preserve"> data only.</w:t>
      </w:r>
    </w:p>
    <w:p w14:paraId="60F1A424" w14:textId="4319E5B3" w:rsidR="00472737" w:rsidRDefault="00AE3D67" w:rsidP="00AE3D67">
      <w:pPr>
        <w:spacing w:line="360" w:lineRule="auto"/>
        <w:jc w:val="both"/>
      </w:pPr>
      <w:r>
        <w:t xml:space="preserve">        </w:t>
      </w:r>
      <w:r w:rsidR="002D08B2">
        <w:t xml:space="preserve">A single </w:t>
      </w:r>
      <w:proofErr w:type="spellStart"/>
      <w:r w:rsidR="00784AE7">
        <w:t>d</w:t>
      </w:r>
      <w:r w:rsidR="002D08B2">
        <w:t>eca</w:t>
      </w:r>
      <w:proofErr w:type="spellEnd"/>
      <w:r w:rsidR="00784AE7">
        <w:t>-</w:t>
      </w:r>
      <w:r w:rsidR="002D08B2">
        <w:t>alanine (3</w:t>
      </w:r>
      <w:r w:rsidR="002D08B2" w:rsidRPr="002D08B2">
        <w:rPr>
          <w:vertAlign w:val="subscript"/>
        </w:rPr>
        <w:t>10</w:t>
      </w:r>
      <w:r w:rsidR="002D08B2">
        <w:t xml:space="preserve">) helix geometry </w:t>
      </w:r>
      <w:r w:rsidR="007C10AF">
        <w:t>was</w:t>
      </w:r>
      <w:r w:rsidR="002D08B2">
        <w:t xml:space="preserve"> extracted from the Brookhaven Protein Data Bank</w:t>
      </w:r>
      <w:r w:rsidR="004D4B19">
        <w:fldChar w:fldCharType="begin"/>
      </w:r>
      <w:r w:rsidR="00D12C1D">
        <w:instrText xml:space="preserve"> ADDIN EN.CITE &lt;EndNote&gt;&lt;Cite&gt;&lt;Author&gt;Berman&lt;/Author&gt;&lt;Year&gt;2000&lt;/Year&gt;&lt;RecNum&gt;4127&lt;/RecNum&gt;&lt;DisplayText&gt;&lt;style face="superscript"&gt;25&lt;/style&gt;&lt;/DisplayText&gt;&lt;record&gt;&lt;rec-number&gt;4127&lt;/rec-number&gt;&lt;foreign-keys&gt;&lt;key app="EN" db-id="t25z50tvn5wv5he905wvarvjr5xzsaxpadra" timestamp="0"&gt;4127&lt;/key&gt;&lt;/foreign-keys&gt;&lt;ref-type name="Journal Article"&gt;17&lt;/ref-type&gt;&lt;contributors&gt;&lt;authors&gt;&lt;author&gt;Berman, H.M&lt;/author&gt;&lt;author&gt;Westbrook, J.&lt;/author&gt;&lt;author&gt;Feng, Z.&lt;/author&gt;&lt;author&gt;Gilliland, G.&lt;/author&gt;&lt;author&gt;Bhat, T.N.&lt;/author&gt;&lt;author&gt;Weissig, H.&lt;/author&gt;&lt;author&gt;Shindyalov, I.N.&lt;/author&gt;&lt;author&gt;Bourne, P.E.&lt;/author&gt;&lt;/authors&gt;&lt;/contributors&gt;&lt;titles&gt;&lt;title&gt;The Protein Data Bank&lt;/title&gt;&lt;secondary-title&gt;Nucleic Acids Research&lt;/secondary-title&gt;&lt;/titles&gt;&lt;pages&gt;235-242&lt;/pages&gt;&lt;volume&gt;28&lt;/volume&gt;&lt;dates&gt;&lt;year&gt;2000&lt;/year&gt;&lt;/dates&gt;&lt;urls&gt;&lt;/urls&gt;&lt;/record&gt;&lt;/Cite&gt;&lt;/EndNote&gt;</w:instrText>
      </w:r>
      <w:r w:rsidR="004D4B19">
        <w:fldChar w:fldCharType="separate"/>
      </w:r>
      <w:r w:rsidR="00D12C1D" w:rsidRPr="00D12C1D">
        <w:rPr>
          <w:noProof/>
          <w:vertAlign w:val="superscript"/>
        </w:rPr>
        <w:t>25</w:t>
      </w:r>
      <w:r w:rsidR="004D4B19">
        <w:fldChar w:fldCharType="end"/>
      </w:r>
      <w:r w:rsidR="00331131">
        <w:t xml:space="preserve"> </w:t>
      </w:r>
      <w:r w:rsidR="002D08B2">
        <w:t xml:space="preserve">(IL36.pdb). The helix termini </w:t>
      </w:r>
      <w:r w:rsidR="007C10AF">
        <w:t>we</w:t>
      </w:r>
      <w:r w:rsidR="002D08B2">
        <w:t>re capped with methyl groups and the structure optimized using G</w:t>
      </w:r>
      <w:r w:rsidR="00784AE7">
        <w:t>AUSSIAN</w:t>
      </w:r>
      <w:r w:rsidR="002D08B2">
        <w:t>09</w:t>
      </w:r>
      <w:r w:rsidR="004D4B19">
        <w:fldChar w:fldCharType="begin"/>
      </w:r>
      <w:r w:rsidR="00D12C1D">
        <w:instrText xml:space="preserve"> ADDIN EN.CITE &lt;EndNote&gt;&lt;Cite&gt;&lt;Author&gt;Gaussian 09&lt;/Author&gt;&lt;Year&gt;2009&lt;/Year&gt;&lt;RecNum&gt;7986&lt;/RecNum&gt;&lt;DisplayText&gt;&lt;style face="superscript"&gt;26&lt;/style&gt;&lt;/DisplayText&gt;&lt;record&gt;&lt;rec-number&gt;7986&lt;/rec-number&gt;&lt;foreign-keys&gt;&lt;key app="EN" db-id="t25z50tvn5wv5he905wvarvjr5xzsaxpadra" timestamp="0"&gt;7986&lt;/key&gt;&lt;/foreign-keys&gt;&lt;ref-type name="Computer Program"&gt;9&lt;/ref-type&gt;&lt;contributors&gt;&lt;authors&gt;&lt;author&gt;Gaussian 09, Revision B.01 M. J. Frisch, G. W. Trucks, H. B. Schlegel, G. E. Scuseria, M. A. Robb, J. R. Cheeseman, G. Scalmani, V. Barone, B. Mennucci, G. A. Petersson, H. Nakatsuji, M. Caricato, X. Li, H. P. Hratchian, A. F. Izmaylov, J. Bloino, G. Zheng, J. L. Sonnenberg, M. Hada, M. Ehara, K. Toyota, R. Fukuda, J. Hasegawa, M. Ishida, T. Nakajima, Y. Honda, O. Kitao, H. Nakai, T. Vreven, J. A. Montgomery, Jr., J. E. Peralta, F. Ogliaro, M. Bearpark, J. J. Heyd, E. Brothers, K. N. Kudin, V. N. Staroverov, R. Kobayashi, J. Normand, K. Raghavachari, A. Rendell, J. C. Burant, S. S. Iyengar, J. Tomasi, M. Cossi, N. Rega, J. M. Millam, M. Klene, J. E. Knox, J. B. Cross, V. Bakken, C. Adamo, J. Jaramillo, R. Gomperts, R. E. Stratmann, O. Yazyev, A. J. Austin, R. Cammi, C. Pomelli, J. W. Ochterski, R. L. Martin, K. Morokuma, V. G. Zakrzewski, G. A. Voth, P. Salvador, J. J. Dannenberg, S. Dapprich, A. D. Daniels, Ö. Farkas, J. B. Foresman, J. V. Ortiz, J. Cioslowski, and D. J. Fox, Gaussian, Inc., Wallingford CT, USA, 2009.&lt;/author&gt;&lt;/authors&gt;&lt;/contributors&gt;&lt;titles&gt;&lt;title&gt;GAUSSIAN09&lt;/title&gt;&lt;/titles&gt;&lt;dates&gt;&lt;year&gt;2009&lt;/year&gt;&lt;/dates&gt;&lt;urls&gt;&lt;related-urls&gt;&lt;url&gt; http://www.gaussian.com/g_tech/g_ur/m_citation.htm&lt;/url&gt;&lt;/related-urls&gt;&lt;/urls&gt;&lt;/record&gt;&lt;/Cite&gt;&lt;/EndNote&gt;</w:instrText>
      </w:r>
      <w:r w:rsidR="004D4B19">
        <w:fldChar w:fldCharType="separate"/>
      </w:r>
      <w:r w:rsidR="00D12C1D" w:rsidRPr="00D12C1D">
        <w:rPr>
          <w:noProof/>
          <w:vertAlign w:val="superscript"/>
        </w:rPr>
        <w:t>26</w:t>
      </w:r>
      <w:r w:rsidR="004D4B19">
        <w:fldChar w:fldCharType="end"/>
      </w:r>
      <w:r w:rsidR="002D08B2">
        <w:t xml:space="preserve"> at HF/6-31+G(</w:t>
      </w:r>
      <w:proofErr w:type="spellStart"/>
      <w:r w:rsidR="002D08B2">
        <w:t>d,p</w:t>
      </w:r>
      <w:proofErr w:type="spellEnd"/>
      <w:r w:rsidR="002D08B2">
        <w:t>) level</w:t>
      </w:r>
      <w:r w:rsidR="004D4B19">
        <w:fldChar w:fldCharType="begin"/>
      </w:r>
      <w:r w:rsidR="00D12C1D">
        <w:instrText xml:space="preserve"> ADDIN EN.CITE &lt;EndNote&gt;&lt;Cite&gt;&lt;Author&gt;Zhao&lt;/Author&gt;&lt;Year&gt;2004&lt;/Year&gt;&lt;RecNum&gt;6173&lt;/RecNum&gt;&lt;DisplayText&gt;&lt;style face="superscript"&gt;27&lt;/style&gt;&lt;/DisplayText&gt;&lt;record&gt;&lt;rec-number&gt;6173&lt;/rec-number&gt;&lt;foreign-keys&gt;&lt;key app="EN" db-id="t25z50tvn5wv5he905wvarvjr5xzsaxpadra" timestamp="0"&gt;6173&lt;/key&gt;&lt;/foreign-keys&gt;&lt;ref-type name="Journal Article"&gt;17&lt;/ref-type&gt;&lt;contributors&gt;&lt;authors&gt;&lt;author&gt;Zhao, Y.&lt;/author&gt;&lt;author&gt;Pu, J.&lt;/author&gt;&lt;author&gt;Lynch, B.J.&lt;/author&gt;&lt;author&gt;Truhlar, D.G.&lt;/author&gt;&lt;/authors&gt;&lt;/contributors&gt;&lt;titles&gt;&lt;title&gt;Tests of second-generation and third-generation density functionals for thermochemical kinetics&lt;/title&gt;&lt;secondary-title&gt;PhysChemChemPhys&lt;/secondary-title&gt;&lt;/titles&gt;&lt;periodical&gt;&lt;full-title&gt;PhysChemChemPhys&lt;/full-title&gt;&lt;/periodical&gt;&lt;pages&gt;673-676&lt;/pages&gt;&lt;volume&gt;6&lt;/volume&gt;&lt;dates&gt;&lt;year&gt;2004&lt;/year&gt;&lt;/dates&gt;&lt;urls&gt;&lt;/urls&gt;&lt;/record&gt;&lt;/Cite&gt;&lt;/EndNote&gt;</w:instrText>
      </w:r>
      <w:r w:rsidR="004D4B19">
        <w:fldChar w:fldCharType="separate"/>
      </w:r>
      <w:r w:rsidR="00D12C1D" w:rsidRPr="00D12C1D">
        <w:rPr>
          <w:noProof/>
          <w:vertAlign w:val="superscript"/>
        </w:rPr>
        <w:t>27</w:t>
      </w:r>
      <w:r w:rsidR="004D4B19">
        <w:fldChar w:fldCharType="end"/>
      </w:r>
      <w:r w:rsidR="002D08B2">
        <w:t xml:space="preserve">. </w:t>
      </w:r>
      <w:r w:rsidR="007A01B2">
        <w:t xml:space="preserve">This </w:t>
      </w:r>
      <w:proofErr w:type="spellStart"/>
      <w:r w:rsidR="007A01B2">
        <w:t>deca</w:t>
      </w:r>
      <w:proofErr w:type="spellEnd"/>
      <w:r w:rsidR="00784AE7">
        <w:t>-</w:t>
      </w:r>
      <w:r w:rsidR="007A01B2">
        <w:t xml:space="preserve">alanine </w:t>
      </w:r>
      <w:r w:rsidR="007C10AF">
        <w:t>geometry</w:t>
      </w:r>
      <w:r w:rsidR="007A01B2">
        <w:t xml:space="preserve"> </w:t>
      </w:r>
      <w:r w:rsidR="007C10AF">
        <w:t>is then</w:t>
      </w:r>
      <w:r w:rsidR="007A01B2">
        <w:t xml:space="preserve"> the basis for all other </w:t>
      </w:r>
      <w:r w:rsidR="007C10AF">
        <w:t>geometries</w:t>
      </w:r>
      <w:r w:rsidR="007A01B2">
        <w:t xml:space="preserve"> in this work</w:t>
      </w:r>
      <w:r w:rsidR="0038414F">
        <w:t xml:space="preserve">. </w:t>
      </w:r>
      <w:r w:rsidR="007C10AF">
        <w:t>Eight</w:t>
      </w:r>
      <w:r w:rsidR="00331131">
        <w:t xml:space="preserve"> more</w:t>
      </w:r>
      <w:r w:rsidR="0038414F">
        <w:t xml:space="preserve"> </w:t>
      </w:r>
      <w:proofErr w:type="spellStart"/>
      <w:r w:rsidR="0038414F">
        <w:t>decapeptides</w:t>
      </w:r>
      <w:proofErr w:type="spellEnd"/>
      <w:r w:rsidR="0038414F">
        <w:t xml:space="preserve"> </w:t>
      </w:r>
      <w:r w:rsidR="007C10AF">
        <w:t>we</w:t>
      </w:r>
      <w:r w:rsidR="0038414F">
        <w:t xml:space="preserve">re created from a single substitution at the </w:t>
      </w:r>
      <w:r w:rsidR="007C10AF">
        <w:t>6</w:t>
      </w:r>
      <w:r w:rsidR="0038414F" w:rsidRPr="0038414F">
        <w:rPr>
          <w:vertAlign w:val="superscript"/>
        </w:rPr>
        <w:t>th</w:t>
      </w:r>
      <w:r w:rsidR="0038414F">
        <w:t xml:space="preserve"> residue</w:t>
      </w:r>
      <w:r w:rsidR="007C10AF">
        <w:t xml:space="preserve"> (counting from the C terminus)</w:t>
      </w:r>
      <w:r w:rsidR="0038414F">
        <w:t>,</w:t>
      </w:r>
      <w:r w:rsidR="00331131">
        <w:t xml:space="preserve"> using sidechain geometries from optimized amino acids. </w:t>
      </w:r>
      <w:r w:rsidR="007C10AF">
        <w:t>Figure 1 illustrates t</w:t>
      </w:r>
      <w:r w:rsidR="00331131">
        <w:t xml:space="preserve">he resulting set of 9 helical </w:t>
      </w:r>
      <w:proofErr w:type="spellStart"/>
      <w:r w:rsidR="00331131">
        <w:t>decapeptides</w:t>
      </w:r>
      <w:proofErr w:type="spellEnd"/>
      <w:r w:rsidR="0038414F">
        <w:t xml:space="preserve">. </w:t>
      </w:r>
    </w:p>
    <w:p w14:paraId="3132D6AB" w14:textId="77777777" w:rsidR="00507085" w:rsidRDefault="00331131" w:rsidP="009C57F7">
      <w:pPr>
        <w:spacing w:line="360" w:lineRule="auto"/>
        <w:ind w:firstLine="720"/>
        <w:jc w:val="both"/>
        <w:rPr>
          <w:b/>
        </w:rPr>
      </w:pPr>
      <w:r>
        <w:rPr>
          <w:noProof/>
        </w:rPr>
        <w:lastRenderedPageBreak/>
        <w:drawing>
          <wp:inline distT="0" distB="0" distL="0" distR="0" wp14:anchorId="6B98990B" wp14:editId="7F4349FB">
            <wp:extent cx="4932963" cy="603913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38579" cy="6046010"/>
                    </a:xfrm>
                    <a:prstGeom prst="rect">
                      <a:avLst/>
                    </a:prstGeom>
                  </pic:spPr>
                </pic:pic>
              </a:graphicData>
            </a:graphic>
          </wp:inline>
        </w:drawing>
      </w:r>
      <w:r w:rsidR="0038414F">
        <w:t xml:space="preserve"> </w:t>
      </w:r>
      <w:r w:rsidR="009C57F7">
        <w:br/>
      </w:r>
    </w:p>
    <w:p w14:paraId="06622395" w14:textId="77777777" w:rsidR="009C57F7" w:rsidRPr="009263EF" w:rsidRDefault="009C57F7" w:rsidP="00507085">
      <w:pPr>
        <w:spacing w:line="360" w:lineRule="auto"/>
        <w:jc w:val="both"/>
      </w:pPr>
      <w:proofErr w:type="gramStart"/>
      <w:r w:rsidRPr="009263EF">
        <w:rPr>
          <w:b/>
        </w:rPr>
        <w:t xml:space="preserve">Figure </w:t>
      </w:r>
      <w:r w:rsidR="000A02C8" w:rsidRPr="009263EF">
        <w:rPr>
          <w:b/>
        </w:rPr>
        <w:t>1</w:t>
      </w:r>
      <w:r w:rsidR="005E670C" w:rsidRPr="009263EF">
        <w:rPr>
          <w:b/>
        </w:rPr>
        <w:t>.</w:t>
      </w:r>
      <w:proofErr w:type="gramEnd"/>
      <w:r w:rsidRPr="009263EF">
        <w:rPr>
          <w:b/>
        </w:rPr>
        <w:t xml:space="preserve"> </w:t>
      </w:r>
      <w:r w:rsidR="00A05DB9" w:rsidRPr="009263EF">
        <w:t>The nine</w:t>
      </w:r>
      <w:r w:rsidR="002460EA" w:rsidRPr="009263EF">
        <w:t xml:space="preserve"> </w:t>
      </w:r>
      <w:r w:rsidR="000A02C8" w:rsidRPr="009263EF">
        <w:t xml:space="preserve">single-substituted </w:t>
      </w:r>
      <w:proofErr w:type="spellStart"/>
      <w:r w:rsidR="002460EA" w:rsidRPr="009263EF">
        <w:t>decapeptide</w:t>
      </w:r>
      <w:proofErr w:type="spellEnd"/>
      <w:r w:rsidR="002460EA" w:rsidRPr="009263EF">
        <w:t xml:space="preserve"> helices</w:t>
      </w:r>
      <w:r w:rsidR="00A05DB9" w:rsidRPr="009263EF">
        <w:t xml:space="preserve"> studied in this work</w:t>
      </w:r>
      <w:r w:rsidRPr="009263EF">
        <w:t xml:space="preserve">, each </w:t>
      </w:r>
      <w:r w:rsidR="00A05DB9" w:rsidRPr="009263EF">
        <w:t>consisting of a</w:t>
      </w:r>
      <w:r w:rsidRPr="009263EF">
        <w:t xml:space="preserve"> </w:t>
      </w:r>
      <w:proofErr w:type="spellStart"/>
      <w:r w:rsidRPr="009263EF">
        <w:t>deca</w:t>
      </w:r>
      <w:proofErr w:type="spellEnd"/>
      <w:r w:rsidR="00BB24A4">
        <w:t>-</w:t>
      </w:r>
      <w:r w:rsidRPr="009263EF">
        <w:t>alanine with up t</w:t>
      </w:r>
      <w:r w:rsidR="000A02C8" w:rsidRPr="009263EF">
        <w:t>o a single substitution at the 6</w:t>
      </w:r>
      <w:r w:rsidRPr="009263EF">
        <w:rPr>
          <w:vertAlign w:val="superscript"/>
        </w:rPr>
        <w:t>th</w:t>
      </w:r>
      <w:r w:rsidRPr="009263EF">
        <w:t xml:space="preserve"> residue</w:t>
      </w:r>
      <w:r w:rsidR="000A02C8" w:rsidRPr="009263EF">
        <w:t xml:space="preserve"> (counting from the C</w:t>
      </w:r>
      <w:r w:rsidR="007C10AF" w:rsidRPr="009263EF">
        <w:t xml:space="preserve"> t</w:t>
      </w:r>
      <w:r w:rsidR="000A02C8" w:rsidRPr="009263EF">
        <w:t>erminus)</w:t>
      </w:r>
      <w:r w:rsidRPr="009263EF">
        <w:t>. Thus</w:t>
      </w:r>
      <w:r w:rsidR="000A02C8" w:rsidRPr="009263EF">
        <w:t>,</w:t>
      </w:r>
      <w:r w:rsidRPr="009263EF">
        <w:t xml:space="preserve"> each structure differs only by its R group</w:t>
      </w:r>
      <w:r w:rsidR="002460EA" w:rsidRPr="009263EF">
        <w:t xml:space="preserve"> </w:t>
      </w:r>
      <w:r w:rsidR="00A05DB9" w:rsidRPr="009263EF">
        <w:t>or</w:t>
      </w:r>
      <w:r w:rsidR="002460EA" w:rsidRPr="009263EF">
        <w:t xml:space="preserve"> the substituted residue’s sidechain</w:t>
      </w:r>
      <w:r w:rsidRPr="009263EF">
        <w:t xml:space="preserve">. Carbon, </w:t>
      </w:r>
      <w:r w:rsidR="00A05DB9" w:rsidRPr="009263EF">
        <w:t>h</w:t>
      </w:r>
      <w:r w:rsidRPr="009263EF">
        <w:t xml:space="preserve">ydrogen, </w:t>
      </w:r>
      <w:r w:rsidR="00A05DB9" w:rsidRPr="009263EF">
        <w:t>n</w:t>
      </w:r>
      <w:r w:rsidRPr="009263EF">
        <w:t xml:space="preserve">itrogen and </w:t>
      </w:r>
      <w:r w:rsidR="00A05DB9" w:rsidRPr="009263EF">
        <w:t>o</w:t>
      </w:r>
      <w:r w:rsidRPr="009263EF">
        <w:t xml:space="preserve">xygen atoms are </w:t>
      </w:r>
      <w:r w:rsidR="00A05DB9" w:rsidRPr="009263EF">
        <w:t>respectively d</w:t>
      </w:r>
      <w:r w:rsidRPr="009263EF">
        <w:t xml:space="preserve">ark </w:t>
      </w:r>
      <w:r w:rsidR="00A05DB9" w:rsidRPr="009263EF">
        <w:t>g</w:t>
      </w:r>
      <w:r w:rsidRPr="009263EF">
        <w:t xml:space="preserve">rey, </w:t>
      </w:r>
      <w:r w:rsidR="00A05DB9" w:rsidRPr="009263EF">
        <w:t>g</w:t>
      </w:r>
      <w:r w:rsidRPr="009263EF">
        <w:t xml:space="preserve">rey, </w:t>
      </w:r>
      <w:r w:rsidR="00A05DB9" w:rsidRPr="009263EF">
        <w:t>b</w:t>
      </w:r>
      <w:r w:rsidRPr="009263EF">
        <w:t xml:space="preserve">lue and </w:t>
      </w:r>
      <w:r w:rsidR="00A05DB9" w:rsidRPr="009263EF">
        <w:t>r</w:t>
      </w:r>
      <w:r w:rsidRPr="009263EF">
        <w:t>ed</w:t>
      </w:r>
      <w:r w:rsidR="00A05DB9" w:rsidRPr="009263EF">
        <w:t>.</w:t>
      </w:r>
      <w:r w:rsidRPr="009263EF">
        <w:t xml:space="preserve"> </w:t>
      </w:r>
      <w:r w:rsidR="002460EA" w:rsidRPr="009263EF">
        <w:t>Green</w:t>
      </w:r>
      <w:r w:rsidRPr="009263EF">
        <w:t xml:space="preserve"> dots signify an alpha carbon</w:t>
      </w:r>
      <w:r w:rsidR="00A05DB9" w:rsidRPr="009263EF">
        <w:t xml:space="preserve"> (C</w:t>
      </w:r>
      <w:r w:rsidR="00A05DB9" w:rsidRPr="009263EF">
        <w:rPr>
          <w:vertAlign w:val="subscript"/>
        </w:rPr>
        <w:t>α</w:t>
      </w:r>
      <w:r w:rsidR="00A05DB9" w:rsidRPr="009263EF">
        <w:t>)</w:t>
      </w:r>
      <w:r w:rsidRPr="009263EF">
        <w:t>.</w:t>
      </w:r>
    </w:p>
    <w:p w14:paraId="7DFBCD36" w14:textId="43F10910" w:rsidR="00F943D7" w:rsidRDefault="005E670C" w:rsidP="00507085">
      <w:pPr>
        <w:spacing w:after="120" w:line="360" w:lineRule="auto"/>
        <w:jc w:val="both"/>
      </w:pPr>
      <w:r>
        <w:t xml:space="preserve">      </w:t>
      </w:r>
      <w:r w:rsidR="00472737">
        <w:t xml:space="preserve">    Each of these 9 </w:t>
      </w:r>
      <w:proofErr w:type="spellStart"/>
      <w:r w:rsidR="00472737">
        <w:t>decapeptides</w:t>
      </w:r>
      <w:proofErr w:type="spellEnd"/>
      <w:r w:rsidR="00472737">
        <w:t xml:space="preserve"> is referred to by their substituted residue</w:t>
      </w:r>
      <w:r w:rsidR="00F943D7">
        <w:t xml:space="preserve">, denoted </w:t>
      </w:r>
      <w:r w:rsidR="00F943D7" w:rsidRPr="00F943D7">
        <w:rPr>
          <w:i/>
        </w:rPr>
        <w:t>R</w:t>
      </w:r>
      <w:r w:rsidR="00F943D7">
        <w:t xml:space="preserve"> in Figure 1</w:t>
      </w:r>
      <w:r w:rsidR="00472737">
        <w:t xml:space="preserve">. For example, the </w:t>
      </w:r>
      <w:proofErr w:type="spellStart"/>
      <w:r w:rsidR="00472737">
        <w:t>decapeptide</w:t>
      </w:r>
      <w:proofErr w:type="spellEnd"/>
      <w:r w:rsidR="00472737">
        <w:t xml:space="preserve"> (ALA</w:t>
      </w:r>
      <w:r w:rsidR="00472737" w:rsidRPr="008C33E6">
        <w:rPr>
          <w:vertAlign w:val="subscript"/>
        </w:rPr>
        <w:t>5</w:t>
      </w:r>
      <w:r w:rsidR="00472737">
        <w:t>-GLY-ALA</w:t>
      </w:r>
      <w:r w:rsidR="00472737" w:rsidRPr="008C33E6">
        <w:rPr>
          <w:vertAlign w:val="subscript"/>
        </w:rPr>
        <w:t>4</w:t>
      </w:r>
      <w:r w:rsidR="00472737">
        <w:t xml:space="preserve">) is referred to as the ‘Glycine’ or ‘GLY’ </w:t>
      </w:r>
      <w:proofErr w:type="spellStart"/>
      <w:r w:rsidR="00472737">
        <w:t>decapeptide</w:t>
      </w:r>
      <w:proofErr w:type="spellEnd"/>
      <w:r w:rsidR="00472737">
        <w:t xml:space="preserve">. Each </w:t>
      </w:r>
      <w:proofErr w:type="spellStart"/>
      <w:r w:rsidR="00472737">
        <w:t>decapeptide</w:t>
      </w:r>
      <w:proofErr w:type="spellEnd"/>
      <w:r w:rsidR="00472737">
        <w:t xml:space="preserve"> belongs to one of 3 </w:t>
      </w:r>
      <w:r w:rsidR="00472737" w:rsidRPr="00F943D7">
        <w:rPr>
          <w:i/>
        </w:rPr>
        <w:t>groups</w:t>
      </w:r>
      <w:r w:rsidR="00472737">
        <w:t xml:space="preserve"> </w:t>
      </w:r>
      <w:r w:rsidR="001909CC">
        <w:t>(of a maximum possible number of 5 groups</w:t>
      </w:r>
      <w:r w:rsidR="00492091">
        <w:t xml:space="preserve">, denoted </w:t>
      </w:r>
      <w:r w:rsidR="00492091" w:rsidRPr="001113F4">
        <w:rPr>
          <w:i/>
        </w:rPr>
        <w:t>A</w:t>
      </w:r>
      <w:r w:rsidR="00492091">
        <w:t xml:space="preserve"> to </w:t>
      </w:r>
      <w:r w:rsidR="00492091" w:rsidRPr="001113F4">
        <w:rPr>
          <w:i/>
        </w:rPr>
        <w:t>E</w:t>
      </w:r>
      <w:r w:rsidR="00492091">
        <w:t>, see below</w:t>
      </w:r>
      <w:r w:rsidR="001909CC">
        <w:t>)</w:t>
      </w:r>
      <w:r w:rsidR="001113F4">
        <w:t xml:space="preserve">: </w:t>
      </w:r>
      <w:proofErr w:type="spellStart"/>
      <w:r w:rsidR="001113F4">
        <w:t>Ala</w:t>
      </w:r>
      <w:proofErr w:type="spellEnd"/>
      <w:r w:rsidR="001113F4">
        <w:t xml:space="preserve">, </w:t>
      </w:r>
      <w:proofErr w:type="spellStart"/>
      <w:r w:rsidR="001113F4">
        <w:t>Gly</w:t>
      </w:r>
      <w:proofErr w:type="spellEnd"/>
      <w:r w:rsidR="001113F4">
        <w:t xml:space="preserve"> and Val belong to group </w:t>
      </w:r>
      <w:r w:rsidR="001113F4" w:rsidRPr="001113F4">
        <w:rPr>
          <w:i/>
        </w:rPr>
        <w:t>A</w:t>
      </w:r>
      <w:r w:rsidR="001113F4">
        <w:t xml:space="preserve">; </w:t>
      </w:r>
      <w:proofErr w:type="spellStart"/>
      <w:r w:rsidR="001113F4">
        <w:t>Cys</w:t>
      </w:r>
      <w:proofErr w:type="spellEnd"/>
      <w:r w:rsidR="001113F4">
        <w:t xml:space="preserve">, Met and </w:t>
      </w:r>
      <w:proofErr w:type="spellStart"/>
      <w:r w:rsidR="001113F4">
        <w:t>Thr</w:t>
      </w:r>
      <w:proofErr w:type="spellEnd"/>
      <w:r w:rsidR="001113F4">
        <w:t xml:space="preserve"> belong to group </w:t>
      </w:r>
      <w:r w:rsidR="001113F4" w:rsidRPr="001113F4">
        <w:rPr>
          <w:i/>
        </w:rPr>
        <w:t>B</w:t>
      </w:r>
      <w:r w:rsidR="001113F4">
        <w:t xml:space="preserve">; and </w:t>
      </w:r>
      <w:proofErr w:type="spellStart"/>
      <w:r w:rsidR="001113F4">
        <w:t>Arg</w:t>
      </w:r>
      <w:proofErr w:type="spellEnd"/>
      <w:r w:rsidR="001113F4">
        <w:t xml:space="preserve">, </w:t>
      </w:r>
      <w:r w:rsidR="001113F4">
        <w:lastRenderedPageBreak/>
        <w:t xml:space="preserve">Asp and </w:t>
      </w:r>
      <w:proofErr w:type="spellStart"/>
      <w:r w:rsidR="001113F4">
        <w:t>Glu</w:t>
      </w:r>
      <w:proofErr w:type="spellEnd"/>
      <w:r w:rsidR="001113F4">
        <w:t xml:space="preserve"> belong to group </w:t>
      </w:r>
      <w:r w:rsidR="001113F4" w:rsidRPr="0006072F">
        <w:rPr>
          <w:i/>
        </w:rPr>
        <w:t>C</w:t>
      </w:r>
      <w:r w:rsidR="001113F4">
        <w:t>. Each amino acid pairs</w:t>
      </w:r>
      <w:r w:rsidR="00472737">
        <w:t xml:space="preserve"> its substituted residue with others of a similar group as discussed in </w:t>
      </w:r>
      <w:r w:rsidR="001113F4">
        <w:t>our second paper</w:t>
      </w:r>
      <w:r w:rsidR="004D4B19">
        <w:fldChar w:fldCharType="begin"/>
      </w:r>
      <w:r w:rsidR="00D12C1D">
        <w:instrText xml:space="preserve"> ADDIN EN.CITE &lt;EndNote&gt;&lt;Cite&gt;&lt;Author&gt;Fletcher&lt;/Author&gt;&lt;Year&gt;2017&lt;/Year&gt;&lt;RecNum&gt;8057&lt;/RecNum&gt;&lt;DisplayText&gt;&lt;style face="superscript"&gt;24&lt;/style&gt;&lt;/DisplayText&gt;&lt;record&gt;&lt;rec-number&gt;8057&lt;/rec-number&gt;&lt;foreign-keys&gt;&lt;key app="EN" db-id="t25z50tvn5wv5he905wvarvjr5xzsaxpadra" timestamp="0"&gt;8057&lt;/key&gt;&lt;/foreign-keys&gt;&lt;ref-type name="Journal Article"&gt;17&lt;/ref-type&gt;&lt;contributors&gt;&lt;authors&gt;&lt;author&gt;Fletcher, T.L.&lt;/author&gt;&lt;author&gt;Popelier, P.L.A.&lt;/author&gt;&lt;/authors&gt;&lt;/contributors&gt;&lt;titles&gt;&lt;title&gt;Toward amino acid typing for proteins in FFLUX&lt;/title&gt;&lt;secondary-title&gt;J.Comput.Chem.&lt;/secondary-title&gt;&lt;/titles&gt;&lt;periodical&gt;&lt;full-title&gt;J.Comput.Chem.&lt;/full-title&gt;&lt;/periodical&gt;&lt;pages&gt;336-345&lt;/pages&gt;&lt;volume&gt;38&lt;/volume&gt;&lt;dates&gt;&lt;year&gt;2017&lt;/year&gt;&lt;/dates&gt;&lt;urls&gt;&lt;/urls&gt;&lt;/record&gt;&lt;/Cite&gt;&lt;/EndNote&gt;</w:instrText>
      </w:r>
      <w:r w:rsidR="004D4B19">
        <w:fldChar w:fldCharType="separate"/>
      </w:r>
      <w:r w:rsidR="00D12C1D" w:rsidRPr="00D12C1D">
        <w:rPr>
          <w:noProof/>
          <w:vertAlign w:val="superscript"/>
        </w:rPr>
        <w:t>24</w:t>
      </w:r>
      <w:r w:rsidR="004D4B19">
        <w:fldChar w:fldCharType="end"/>
      </w:r>
      <w:r w:rsidR="001113F4" w:rsidRPr="001113F4">
        <w:t xml:space="preserve"> </w:t>
      </w:r>
      <w:r w:rsidR="001113F4">
        <w:t>in this series.</w:t>
      </w:r>
      <w:r w:rsidR="00F943D7">
        <w:t xml:space="preserve"> We take alanine (A) as a reference amino acid in the definition of such a group. In particular, our second paper</w:t>
      </w:r>
      <w:r w:rsidR="004D4B19">
        <w:fldChar w:fldCharType="begin"/>
      </w:r>
      <w:r w:rsidR="00D12C1D">
        <w:instrText xml:space="preserve"> ADDIN EN.CITE &lt;EndNote&gt;&lt;Cite&gt;&lt;Author&gt;Fletcher&lt;/Author&gt;&lt;Year&gt;2017&lt;/Year&gt;&lt;RecNum&gt;8057&lt;/RecNum&gt;&lt;DisplayText&gt;&lt;style face="superscript"&gt;24&lt;/style&gt;&lt;/DisplayText&gt;&lt;record&gt;&lt;rec-number&gt;8057&lt;/rec-number&gt;&lt;foreign-keys&gt;&lt;key app="EN" db-id="t25z50tvn5wv5he905wvarvjr5xzsaxpadra" timestamp="0"&gt;8057&lt;/key&gt;&lt;/foreign-keys&gt;&lt;ref-type name="Journal Article"&gt;17&lt;/ref-type&gt;&lt;contributors&gt;&lt;authors&gt;&lt;author&gt;Fletcher, T.L.&lt;/author&gt;&lt;author&gt;Popelier, P.L.A.&lt;/author&gt;&lt;/authors&gt;&lt;/contributors&gt;&lt;titles&gt;&lt;title&gt;Toward amino acid typing for proteins in FFLUX&lt;/title&gt;&lt;secondary-title&gt;J.Comput.Chem.&lt;/secondary-title&gt;&lt;/titles&gt;&lt;periodical&gt;&lt;full-title&gt;J.Comput.Chem.&lt;/full-title&gt;&lt;/periodical&gt;&lt;pages&gt;336-345&lt;/pages&gt;&lt;volume&gt;38&lt;/volume&gt;&lt;dates&gt;&lt;year&gt;2017&lt;/year&gt;&lt;/dates&gt;&lt;urls&gt;&lt;/urls&gt;&lt;/record&gt;&lt;/Cite&gt;&lt;/EndNote&gt;</w:instrText>
      </w:r>
      <w:r w:rsidR="004D4B19">
        <w:fldChar w:fldCharType="separate"/>
      </w:r>
      <w:r w:rsidR="00D12C1D" w:rsidRPr="00D12C1D">
        <w:rPr>
          <w:noProof/>
          <w:vertAlign w:val="superscript"/>
        </w:rPr>
        <w:t>24</w:t>
      </w:r>
      <w:r w:rsidR="004D4B19">
        <w:fldChar w:fldCharType="end"/>
      </w:r>
      <w:r w:rsidR="00F943D7">
        <w:t xml:space="preserve"> proposed as group decision criteria </w:t>
      </w:r>
      <w:r w:rsidR="00F943D7" w:rsidRPr="00254397">
        <w:rPr>
          <w:bCs/>
        </w:rPr>
        <w:t>∆Q</w:t>
      </w:r>
      <w:r w:rsidR="00F943D7" w:rsidRPr="00254397">
        <w:rPr>
          <w:bCs/>
          <w:vertAlign w:val="subscript"/>
        </w:rPr>
        <w:t>00</w:t>
      </w:r>
      <w:r w:rsidR="00F943D7">
        <w:rPr>
          <w:bCs/>
          <w:vertAlign w:val="subscript"/>
        </w:rPr>
        <w:t xml:space="preserve"> </w:t>
      </w:r>
      <w:r w:rsidR="00F943D7">
        <w:t xml:space="preserve">and </w:t>
      </w:r>
      <w:r w:rsidR="00F943D7" w:rsidRPr="00254397">
        <w:rPr>
          <w:bCs/>
        </w:rPr>
        <w:t>∆T</w:t>
      </w:r>
      <w:r w:rsidR="00F943D7">
        <w:t xml:space="preserve">, which refer respectively to the charge and kinetic </w:t>
      </w:r>
      <w:r w:rsidR="00304668">
        <w:t xml:space="preserve">energy </w:t>
      </w:r>
      <w:r w:rsidR="00F943D7">
        <w:t>of C</w:t>
      </w:r>
      <w:r w:rsidR="00F943D7" w:rsidRPr="00F943D7">
        <w:rPr>
          <w:vertAlign w:val="subscript"/>
        </w:rPr>
        <w:t>α</w:t>
      </w:r>
      <w:r w:rsidR="00F943D7">
        <w:t xml:space="preserve">. </w:t>
      </w:r>
      <w:r w:rsidR="00304668">
        <w:t xml:space="preserve">More precisely, </w:t>
      </w:r>
      <w:r w:rsidR="00304668" w:rsidRPr="00254397">
        <w:rPr>
          <w:bCs/>
        </w:rPr>
        <w:t>∆</w:t>
      </w:r>
      <w:r w:rsidR="00304668">
        <w:rPr>
          <w:bCs/>
        </w:rPr>
        <w:t xml:space="preserve"> refers to </w:t>
      </w:r>
      <w:r w:rsidR="00F943D7">
        <w:t xml:space="preserve">the </w:t>
      </w:r>
      <w:r w:rsidR="00304668">
        <w:t>difference between the central C</w:t>
      </w:r>
      <w:r w:rsidR="00304668" w:rsidRPr="00F943D7">
        <w:rPr>
          <w:vertAlign w:val="subscript"/>
        </w:rPr>
        <w:t>α</w:t>
      </w:r>
      <w:r w:rsidR="00304668">
        <w:t xml:space="preserve"> </w:t>
      </w:r>
      <w:r w:rsidR="00492091">
        <w:t xml:space="preserve">in </w:t>
      </w:r>
      <w:r w:rsidR="00304668">
        <w:t xml:space="preserve">a doubly-substituted tripeptide (XAX where </w:t>
      </w:r>
      <w:r w:rsidR="00304668" w:rsidRPr="00492091">
        <w:rPr>
          <w:i/>
        </w:rPr>
        <w:t>X</w:t>
      </w:r>
      <w:r w:rsidR="00304668">
        <w:t xml:space="preserve"> is a substituted residue) and the central C</w:t>
      </w:r>
      <w:r w:rsidR="00304668" w:rsidRPr="00F943D7">
        <w:rPr>
          <w:vertAlign w:val="subscript"/>
        </w:rPr>
        <w:t>α</w:t>
      </w:r>
      <w:r w:rsidR="00304668">
        <w:t xml:space="preserve"> in an unsubstituted ‘AAA’ tripeptide. In particular:</w:t>
      </w:r>
    </w:p>
    <w:p w14:paraId="3FFC98C3" w14:textId="77777777" w:rsidR="00F943D7" w:rsidRDefault="00F943D7" w:rsidP="00F943D7">
      <w:pPr>
        <w:pStyle w:val="ListParagraph"/>
        <w:numPr>
          <w:ilvl w:val="0"/>
          <w:numId w:val="7"/>
        </w:numPr>
        <w:spacing w:line="360" w:lineRule="auto"/>
        <w:jc w:val="both"/>
      </w:pPr>
      <w:r w:rsidRPr="00254397">
        <w:rPr>
          <w:bCs/>
        </w:rPr>
        <w:t>∆</w:t>
      </w:r>
      <w:proofErr w:type="gramStart"/>
      <w:r w:rsidRPr="00254397">
        <w:rPr>
          <w:bCs/>
        </w:rPr>
        <w:t>Q</w:t>
      </w:r>
      <w:r w:rsidRPr="00254397">
        <w:rPr>
          <w:bCs/>
          <w:vertAlign w:val="subscript"/>
        </w:rPr>
        <w:t>00</w:t>
      </w:r>
      <w:r>
        <w:rPr>
          <w:bCs/>
          <w:vertAlign w:val="subscript"/>
        </w:rPr>
        <w:t xml:space="preserve"> </w:t>
      </w:r>
      <w:r w:rsidRPr="00254397">
        <w:rPr>
          <w:bCs/>
          <w:vertAlign w:val="subscript"/>
        </w:rPr>
        <w:t xml:space="preserve"> </w:t>
      </w:r>
      <w:r>
        <w:t>&lt;</w:t>
      </w:r>
      <w:proofErr w:type="gramEnd"/>
      <w:r>
        <w:t xml:space="preserve"> 0.005 au and </w:t>
      </w:r>
      <w:r w:rsidRPr="00254397">
        <w:rPr>
          <w:bCs/>
        </w:rPr>
        <w:t>∆T</w:t>
      </w:r>
      <w:r w:rsidRPr="00254397">
        <w:rPr>
          <w:bCs/>
          <w:vertAlign w:val="subscript"/>
        </w:rPr>
        <w:t xml:space="preserve"> </w:t>
      </w:r>
      <w:r>
        <w:t>&lt; 10 kJmol</w:t>
      </w:r>
      <w:r w:rsidRPr="00254397">
        <w:rPr>
          <w:vertAlign w:val="superscript"/>
        </w:rPr>
        <w:t>-1</w:t>
      </w:r>
      <w:r>
        <w:t xml:space="preserve"> then group A.</w:t>
      </w:r>
    </w:p>
    <w:p w14:paraId="587D4C53" w14:textId="77777777" w:rsidR="00F943D7" w:rsidRDefault="00F943D7" w:rsidP="00F943D7">
      <w:pPr>
        <w:pStyle w:val="ListParagraph"/>
        <w:numPr>
          <w:ilvl w:val="0"/>
          <w:numId w:val="7"/>
        </w:numPr>
        <w:spacing w:line="360" w:lineRule="auto"/>
      </w:pPr>
      <w:r>
        <w:rPr>
          <w:bCs/>
        </w:rPr>
        <w:t>∆</w:t>
      </w:r>
      <w:proofErr w:type="gramStart"/>
      <w:r w:rsidRPr="004A43E3">
        <w:rPr>
          <w:bCs/>
        </w:rPr>
        <w:t>Q</w:t>
      </w:r>
      <w:r w:rsidRPr="004A43E3">
        <w:rPr>
          <w:bCs/>
          <w:vertAlign w:val="subscript"/>
        </w:rPr>
        <w:t>00</w:t>
      </w:r>
      <w:r>
        <w:rPr>
          <w:bCs/>
          <w:vertAlign w:val="subscript"/>
        </w:rPr>
        <w:t xml:space="preserve">  </w:t>
      </w:r>
      <w:r>
        <w:t>&lt;</w:t>
      </w:r>
      <w:proofErr w:type="gramEnd"/>
      <w:r>
        <w:t xml:space="preserve"> 0.005 au and </w:t>
      </w:r>
      <w:r>
        <w:rPr>
          <w:bCs/>
        </w:rPr>
        <w:t>∆</w:t>
      </w:r>
      <w:r w:rsidRPr="00D307B3">
        <w:rPr>
          <w:bCs/>
        </w:rPr>
        <w:t>T</w:t>
      </w:r>
      <w:r>
        <w:rPr>
          <w:bCs/>
          <w:vertAlign w:val="subscript"/>
        </w:rPr>
        <w:t xml:space="preserve"> </w:t>
      </w:r>
      <w:r>
        <w:t>&gt; 10 kJmol</w:t>
      </w:r>
      <w:r w:rsidRPr="006E1A22">
        <w:rPr>
          <w:vertAlign w:val="superscript"/>
        </w:rPr>
        <w:t>-1</w:t>
      </w:r>
      <w:r w:rsidR="001909CC">
        <w:rPr>
          <w:vertAlign w:val="superscript"/>
        </w:rPr>
        <w:t xml:space="preserve"> </w:t>
      </w:r>
      <w:r w:rsidRPr="006E1A22">
        <w:rPr>
          <w:vertAlign w:val="superscript"/>
        </w:rPr>
        <w:t xml:space="preserve"> </w:t>
      </w:r>
      <w:r>
        <w:t>then group B.</w:t>
      </w:r>
    </w:p>
    <w:p w14:paraId="59E60409" w14:textId="77777777" w:rsidR="00F943D7" w:rsidRDefault="00F943D7" w:rsidP="00F943D7">
      <w:pPr>
        <w:pStyle w:val="ListParagraph"/>
        <w:numPr>
          <w:ilvl w:val="0"/>
          <w:numId w:val="7"/>
        </w:numPr>
        <w:spacing w:line="360" w:lineRule="auto"/>
      </w:pPr>
      <w:r>
        <w:rPr>
          <w:bCs/>
        </w:rPr>
        <w:t>∆</w:t>
      </w:r>
      <w:proofErr w:type="gramStart"/>
      <w:r w:rsidRPr="004A43E3">
        <w:rPr>
          <w:bCs/>
        </w:rPr>
        <w:t>Q</w:t>
      </w:r>
      <w:r w:rsidRPr="004A43E3">
        <w:rPr>
          <w:bCs/>
          <w:vertAlign w:val="subscript"/>
        </w:rPr>
        <w:t>00</w:t>
      </w:r>
      <w:r>
        <w:rPr>
          <w:bCs/>
          <w:vertAlign w:val="subscript"/>
        </w:rPr>
        <w:t xml:space="preserve">  </w:t>
      </w:r>
      <w:r>
        <w:t>&gt;</w:t>
      </w:r>
      <w:proofErr w:type="gramEnd"/>
      <w:r>
        <w:t xml:space="preserve"> 0.005 au and </w:t>
      </w:r>
      <w:r>
        <w:rPr>
          <w:bCs/>
        </w:rPr>
        <w:t>∆</w:t>
      </w:r>
      <w:r w:rsidRPr="00D307B3">
        <w:rPr>
          <w:bCs/>
        </w:rPr>
        <w:t>T</w:t>
      </w:r>
      <w:r>
        <w:rPr>
          <w:bCs/>
          <w:vertAlign w:val="subscript"/>
        </w:rPr>
        <w:t xml:space="preserve"> </w:t>
      </w:r>
      <w:r>
        <w:t>&lt; 10 kJmol</w:t>
      </w:r>
      <w:r w:rsidRPr="006E1A22">
        <w:rPr>
          <w:vertAlign w:val="superscript"/>
        </w:rPr>
        <w:t>-1</w:t>
      </w:r>
      <w:r w:rsidR="001909CC">
        <w:rPr>
          <w:vertAlign w:val="superscript"/>
        </w:rPr>
        <w:t xml:space="preserve"> </w:t>
      </w:r>
      <w:r>
        <w:t xml:space="preserve"> then group C.</w:t>
      </w:r>
    </w:p>
    <w:p w14:paraId="6835BF15" w14:textId="77777777" w:rsidR="00F943D7" w:rsidRDefault="00F943D7" w:rsidP="00F943D7">
      <w:pPr>
        <w:pStyle w:val="ListParagraph"/>
        <w:numPr>
          <w:ilvl w:val="0"/>
          <w:numId w:val="7"/>
        </w:numPr>
        <w:spacing w:line="360" w:lineRule="auto"/>
      </w:pPr>
      <w:r>
        <w:rPr>
          <w:bCs/>
        </w:rPr>
        <w:t>∆</w:t>
      </w:r>
      <w:proofErr w:type="gramStart"/>
      <w:r w:rsidRPr="004A43E3">
        <w:rPr>
          <w:bCs/>
        </w:rPr>
        <w:t>Q</w:t>
      </w:r>
      <w:r w:rsidRPr="004A43E3">
        <w:rPr>
          <w:bCs/>
          <w:vertAlign w:val="subscript"/>
        </w:rPr>
        <w:t>00</w:t>
      </w:r>
      <w:r>
        <w:rPr>
          <w:bCs/>
          <w:vertAlign w:val="subscript"/>
        </w:rPr>
        <w:t xml:space="preserve">  </w:t>
      </w:r>
      <w:r>
        <w:t>&gt;</w:t>
      </w:r>
      <w:proofErr w:type="gramEnd"/>
      <w:r>
        <w:t xml:space="preserve"> 0.005 au and </w:t>
      </w:r>
      <w:r>
        <w:rPr>
          <w:bCs/>
        </w:rPr>
        <w:t>∆</w:t>
      </w:r>
      <w:r w:rsidRPr="00D307B3">
        <w:rPr>
          <w:bCs/>
        </w:rPr>
        <w:t>T</w:t>
      </w:r>
      <w:r>
        <w:rPr>
          <w:bCs/>
          <w:vertAlign w:val="subscript"/>
        </w:rPr>
        <w:t xml:space="preserve"> </w:t>
      </w:r>
      <w:r>
        <w:t>&gt; 10 kJmol</w:t>
      </w:r>
      <w:r w:rsidRPr="006E1A22">
        <w:rPr>
          <w:vertAlign w:val="superscript"/>
        </w:rPr>
        <w:t>-1</w:t>
      </w:r>
      <w:r>
        <w:t xml:space="preserve"> </w:t>
      </w:r>
      <w:r w:rsidR="001909CC">
        <w:t xml:space="preserve"> </w:t>
      </w:r>
      <w:r>
        <w:t>then group D.</w:t>
      </w:r>
    </w:p>
    <w:p w14:paraId="70F08575" w14:textId="77777777" w:rsidR="00F943D7" w:rsidRDefault="00F943D7" w:rsidP="002478BC">
      <w:pPr>
        <w:pStyle w:val="ListParagraph"/>
        <w:numPr>
          <w:ilvl w:val="0"/>
          <w:numId w:val="7"/>
        </w:numPr>
        <w:spacing w:after="0" w:line="360" w:lineRule="auto"/>
        <w:ind w:left="714" w:hanging="357"/>
      </w:pPr>
      <w:r>
        <w:t>If Proline then group E.</w:t>
      </w:r>
    </w:p>
    <w:p w14:paraId="563CCADF" w14:textId="77777777" w:rsidR="001909CC" w:rsidRDefault="001909CC" w:rsidP="001909CC">
      <w:pPr>
        <w:pStyle w:val="ListParagraph"/>
        <w:spacing w:after="0" w:line="360" w:lineRule="auto"/>
        <w:ind w:left="714"/>
      </w:pPr>
    </w:p>
    <w:p w14:paraId="753FA01B" w14:textId="10E1D1FE" w:rsidR="00DD6CAB" w:rsidRDefault="002478BC" w:rsidP="00541BD2">
      <w:pPr>
        <w:spacing w:after="0" w:line="360" w:lineRule="auto"/>
        <w:jc w:val="both"/>
      </w:pPr>
      <w:r w:rsidRPr="002478BC">
        <w:t xml:space="preserve">     </w:t>
      </w:r>
      <w:r w:rsidR="0006072F">
        <w:t xml:space="preserve">    </w:t>
      </w:r>
      <w:r>
        <w:t>D</w:t>
      </w:r>
      <w:r w:rsidR="00DD6CAB" w:rsidRPr="002478BC">
        <w:t xml:space="preserve">ue to the large volume of </w:t>
      </w:r>
      <w:r w:rsidR="00DD6CAB" w:rsidRPr="002478BC">
        <w:rPr>
          <w:i/>
        </w:rPr>
        <w:t>ab initio</w:t>
      </w:r>
      <w:r w:rsidR="00DD6CAB" w:rsidRPr="002478BC">
        <w:t xml:space="preserve"> calculation</w:t>
      </w:r>
      <w:r w:rsidR="00492091">
        <w:t>s</w:t>
      </w:r>
      <w:r w:rsidR="00DD6CAB" w:rsidRPr="002478BC">
        <w:t xml:space="preserve"> already involved in this work (over 20,000 </w:t>
      </w:r>
      <w:r w:rsidR="007375C1">
        <w:t xml:space="preserve">=10x2000 </w:t>
      </w:r>
      <w:proofErr w:type="spellStart"/>
      <w:r w:rsidR="00DD6CAB" w:rsidRPr="002478BC">
        <w:rPr>
          <w:i/>
        </w:rPr>
        <w:t>ab</w:t>
      </w:r>
      <w:proofErr w:type="spellEnd"/>
      <w:r w:rsidR="00DD6CAB" w:rsidRPr="002478BC">
        <w:rPr>
          <w:i/>
        </w:rPr>
        <w:t xml:space="preserve"> initio</w:t>
      </w:r>
      <w:r w:rsidR="00DD6CAB" w:rsidRPr="002478BC">
        <w:t xml:space="preserve"> </w:t>
      </w:r>
      <w:proofErr w:type="spellStart"/>
      <w:r w:rsidR="00DD6CAB" w:rsidRPr="002478BC">
        <w:t>decapeptide</w:t>
      </w:r>
      <w:proofErr w:type="spellEnd"/>
      <w:r w:rsidR="00DD6CAB" w:rsidRPr="002478BC">
        <w:t xml:space="preserve"> calculations</w:t>
      </w:r>
      <w:r>
        <w:t>, see below</w:t>
      </w:r>
      <w:r w:rsidR="00DD6CAB" w:rsidRPr="002478BC">
        <w:t>)</w:t>
      </w:r>
      <w:r w:rsidR="00541BD2">
        <w:t xml:space="preserve"> no representative of group </w:t>
      </w:r>
      <w:r w:rsidR="00541BD2" w:rsidRPr="00541BD2">
        <w:rPr>
          <w:i/>
        </w:rPr>
        <w:t>D</w:t>
      </w:r>
      <w:r w:rsidR="00541BD2">
        <w:t xml:space="preserve"> was investigated</w:t>
      </w:r>
      <w:r w:rsidR="00DD6CAB" w:rsidRPr="002478BC">
        <w:t xml:space="preserve">. </w:t>
      </w:r>
      <w:r w:rsidR="00541BD2">
        <w:t xml:space="preserve">We note that this group contains the large amino acids tryptophan, tyrosine and histidine.  </w:t>
      </w:r>
      <w:r w:rsidR="00DD6CAB" w:rsidRPr="002478BC">
        <w:t>In future work, this approach can be readily extended to the full set of 20 natural amino acids in order to predict the atomic properties of any peptide or even protein.</w:t>
      </w:r>
      <w:r w:rsidR="00541BD2">
        <w:t xml:space="preserve"> The desired proof-of-concept aimed for in this paper is amply demonstrated with the current data.</w:t>
      </w:r>
    </w:p>
    <w:p w14:paraId="24EE1682" w14:textId="61B21FE3" w:rsidR="000D057F" w:rsidRPr="000D057F" w:rsidRDefault="00D55B8D" w:rsidP="00D55B8D">
      <w:pPr>
        <w:spacing w:after="0" w:line="360" w:lineRule="auto"/>
        <w:jc w:val="both"/>
      </w:pPr>
      <w:r>
        <w:t xml:space="preserve">         </w:t>
      </w:r>
      <w:r w:rsidR="000D057F">
        <w:t>The groups above are proposed with the intention of capturing an atom’s (in this case, an alanine C</w:t>
      </w:r>
      <w:r w:rsidR="000D057F" w:rsidRPr="00F943D7">
        <w:rPr>
          <w:vertAlign w:val="subscript"/>
        </w:rPr>
        <w:t>α</w:t>
      </w:r>
      <w:r w:rsidR="000D057F" w:rsidRPr="000D057F">
        <w:t>)</w:t>
      </w:r>
      <w:r w:rsidR="000D057F">
        <w:t xml:space="preserve"> local environment beyond its immediate bonded atomic neighbours. It is common to create atom types</w:t>
      </w:r>
      <w:r w:rsidR="004D4B19">
        <w:fldChar w:fldCharType="begin"/>
      </w:r>
      <w:r w:rsidR="00D12C1D">
        <w:instrText xml:space="preserve"> ADDIN EN.CITE &lt;EndNote&gt;&lt;Cite&gt;&lt;Author&gt;Popelier&lt;/Author&gt;&lt;Year&gt;2003&lt;/Year&gt;&lt;RecNum&gt;3088&lt;/RecNum&gt;&lt;DisplayText&gt;&lt;style face="superscript"&gt;28&lt;/style&gt;&lt;/DisplayText&gt;&lt;record&gt;&lt;rec-number&gt;3088&lt;/rec-number&gt;&lt;foreign-keys&gt;&lt;key app="EN" db-id="t25z50tvn5wv5he905wvarvjr5xzsaxpadra" timestamp="0"&gt;3088&lt;/key&gt;&lt;/foreign-keys&gt;&lt;ref-type name="Journal Article"&gt;17&lt;/ref-type&gt;&lt;contributors&gt;&lt;authors&gt;&lt;author&gt;Popelier, P.L.A.&lt;/author&gt;&lt;author&gt;Aicken, F.M.&lt;/author&gt;&lt;/authors&gt;&lt;/contributors&gt;&lt;titles&gt;&lt;title&gt;Atomic properties of selected biomolecules: Quantum topological atom types of carbon occuring in natural amino acids and derived molecules.&lt;/title&gt;&lt;secondary-title&gt;J.Am.Chem.Soc.&lt;/secondary-title&gt;&lt;/titles&gt;&lt;periodical&gt;&lt;full-title&gt;J.Am.Chem.Soc.&lt;/full-title&gt;&lt;/periodical&gt;&lt;pages&gt;1284-1292&lt;/pages&gt;&lt;volume&gt;125&lt;/volume&gt;&lt;number&gt;5&lt;/number&gt;&lt;keywords&gt;&lt;keyword&gt;transferability&lt;/keyword&gt;&lt;keyword&gt;atom types&lt;/keyword&gt;&lt;/keywords&gt;&lt;dates&gt;&lt;year&gt;2003&lt;/year&gt;&lt;/dates&gt;&lt;urls&gt;&lt;/urls&gt;&lt;/record&gt;&lt;/Cite&gt;&lt;/EndNote&gt;</w:instrText>
      </w:r>
      <w:r w:rsidR="004D4B19">
        <w:fldChar w:fldCharType="separate"/>
      </w:r>
      <w:r w:rsidR="00D12C1D" w:rsidRPr="00D12C1D">
        <w:rPr>
          <w:noProof/>
          <w:vertAlign w:val="superscript"/>
        </w:rPr>
        <w:t>28</w:t>
      </w:r>
      <w:r w:rsidR="004D4B19">
        <w:fldChar w:fldCharType="end"/>
      </w:r>
      <w:r w:rsidR="000D057F">
        <w:t xml:space="preserve"> by treating atoms of similar local environments as the same type</w:t>
      </w:r>
      <w:r w:rsidR="008166AE">
        <w:t>. Here, by some analogy,</w:t>
      </w:r>
      <w:r w:rsidR="000D057F">
        <w:t xml:space="preserve"> we extend this concept toward neighbouring residues in a peptide chain. By doing so, we are able to create </w:t>
      </w:r>
      <w:r w:rsidR="008166AE">
        <w:t>C</w:t>
      </w:r>
      <w:r w:rsidR="008166AE" w:rsidRPr="00F943D7">
        <w:rPr>
          <w:vertAlign w:val="subscript"/>
        </w:rPr>
        <w:t>α</w:t>
      </w:r>
      <w:r w:rsidR="008166AE">
        <w:t xml:space="preserve"> </w:t>
      </w:r>
      <w:r w:rsidR="000D057F">
        <w:t>kriging models specific to certain types of environment while avoiding the need for a kriging model for each alanine C</w:t>
      </w:r>
      <w:r w:rsidR="000D057F" w:rsidRPr="00F943D7">
        <w:rPr>
          <w:vertAlign w:val="subscript"/>
        </w:rPr>
        <w:t>α</w:t>
      </w:r>
      <w:r w:rsidR="008166AE">
        <w:t xml:space="preserve">. This principle is analogous to </w:t>
      </w:r>
      <w:r w:rsidR="000D057F">
        <w:t xml:space="preserve">that </w:t>
      </w:r>
      <w:r w:rsidR="008166AE">
        <w:t xml:space="preserve">applied to </w:t>
      </w:r>
      <w:r w:rsidR="000D057F">
        <w:t>an atom type</w:t>
      </w:r>
      <w:r w:rsidR="0006072F">
        <w:t>, which</w:t>
      </w:r>
      <w:r w:rsidR="000D057F">
        <w:t xml:space="preserve"> avoid</w:t>
      </w:r>
      <w:r w:rsidR="0006072F">
        <w:t xml:space="preserve">s </w:t>
      </w:r>
      <w:r w:rsidR="008166AE">
        <w:t xml:space="preserve">the </w:t>
      </w:r>
      <w:r w:rsidR="00492091">
        <w:t xml:space="preserve">unique </w:t>
      </w:r>
      <w:r w:rsidR="000D057F">
        <w:t>parameteris</w:t>
      </w:r>
      <w:r w:rsidR="008166AE">
        <w:t xml:space="preserve">ation of </w:t>
      </w:r>
      <w:r w:rsidR="000D057F">
        <w:t>e</w:t>
      </w:r>
      <w:r w:rsidR="008166AE">
        <w:t>ach</w:t>
      </w:r>
      <w:r w:rsidR="000D057F">
        <w:t xml:space="preserve"> C</w:t>
      </w:r>
      <w:r w:rsidR="000D057F" w:rsidRPr="00F943D7">
        <w:rPr>
          <w:vertAlign w:val="subscript"/>
        </w:rPr>
        <w:t>α</w:t>
      </w:r>
      <w:r w:rsidR="000D057F">
        <w:t>.</w:t>
      </w:r>
    </w:p>
    <w:p w14:paraId="5CE245E0" w14:textId="20D38B2D" w:rsidR="002478BC" w:rsidRDefault="007D23A2" w:rsidP="003F1BE0">
      <w:pPr>
        <w:spacing w:after="0" w:line="360" w:lineRule="auto"/>
        <w:jc w:val="both"/>
      </w:pPr>
      <w:r>
        <w:t xml:space="preserve">        Each of the</w:t>
      </w:r>
      <w:r w:rsidR="0006072F">
        <w:t xml:space="preserve"> 9 </w:t>
      </w:r>
      <w:proofErr w:type="spellStart"/>
      <w:r w:rsidR="0006072F">
        <w:t>decapeptides</w:t>
      </w:r>
      <w:proofErr w:type="spellEnd"/>
      <w:r w:rsidR="0006072F">
        <w:t xml:space="preserve"> are</w:t>
      </w:r>
      <w:r>
        <w:t xml:space="preserve"> optimized using GAUSSIAN09 at HF/6-31+</w:t>
      </w:r>
      <w:proofErr w:type="gramStart"/>
      <w:r>
        <w:t>G(</w:t>
      </w:r>
      <w:proofErr w:type="spellStart"/>
      <w:proofErr w:type="gramEnd"/>
      <w:r>
        <w:t>d,p</w:t>
      </w:r>
      <w:proofErr w:type="spellEnd"/>
      <w:r>
        <w:t>) level. The optimized geometries are then distorted through their normal modes of vibration using the in-house program TYCHE</w:t>
      </w:r>
      <w:r w:rsidR="004D4B19">
        <w:fldChar w:fldCharType="begin"/>
      </w:r>
      <w:r w:rsidR="00D12C1D">
        <w:instrText xml:space="preserve"> ADDIN EN.CITE &lt;EndNote&gt;&lt;Cite&gt;&lt;Author&gt;Cardamone&lt;/Author&gt;&lt;Year&gt;2015&lt;/Year&gt;&lt;RecNum&gt;7104&lt;/RecNum&gt;&lt;DisplayText&gt;&lt;style face="superscript"&gt;29, 30&lt;/style&gt;&lt;/DisplayText&gt;&lt;record&gt;&lt;rec-number&gt;7104&lt;/rec-number&gt;&lt;foreign-keys&gt;&lt;key app="EN" db-id="t25z50tvn5wv5he905wvarvjr5xzsaxpadra" timestamp="0"&gt;7104&lt;/key&gt;&lt;/foreign-keys&gt;&lt;ref-type name="Journal Article"&gt;17&lt;/ref-type&gt;&lt;contributors&gt;&lt;authors&gt;&lt;author&gt;Cardamone, S.&lt;/author&gt;&lt;author&gt;Popelier, P.L.A.&lt;/author&gt;&lt;/authors&gt;&lt;/contributors&gt;&lt;titles&gt;&lt;title&gt;Prediction of Conformationally Dependent Atomic Multipole Moments in Carbohydrates&lt;/title&gt;&lt;secondary-title&gt;J.Comput.Chem.&lt;/secondary-title&gt;&lt;/titles&gt;&lt;periodical&gt;&lt;full-title&gt;J.Comput.Chem.&lt;/full-title&gt;&lt;/periodical&gt;&lt;pages&gt;2361–2373&lt;/pages&gt;&lt;volume&gt;36&lt;/volume&gt;&lt;dates&gt;&lt;year&gt;2015&lt;/year&gt;&lt;/dates&gt;&lt;urls&gt;&lt;/urls&gt;&lt;/record&gt;&lt;/Cite&gt;&lt;Cite&gt;&lt;Author&gt;Hughes&lt;/Author&gt;&lt;Year&gt;2015&lt;/Year&gt;&lt;RecNum&gt;7003&lt;/RecNum&gt;&lt;record&gt;&lt;rec-number&gt;7003&lt;/rec-number&gt;&lt;foreign-keys&gt;&lt;key app="EN" db-id="t25z50tvn5wv5he905wvarvjr5xzsaxpadra" timestamp="0"&gt;7003&lt;/key&gt;&lt;/foreign-keys&gt;&lt;ref-type name="Journal Article"&gt;17&lt;/ref-type&gt;&lt;contributors&gt;&lt;authors&gt;&lt;author&gt;Hughes, T.J.&lt;/author&gt;&lt;author&gt;Cardamone, S.&lt;/author&gt;&lt;author&gt;Popelier, P.L.A.&lt;/author&gt;&lt;/authors&gt;&lt;/contributors&gt;&lt;titles&gt;&lt;title&gt;Realistic Sampling of Amino Acid Geometries for a Multipolar Polarizable Force Field&lt;/title&gt;&lt;secondary-title&gt;J.Comput.Chem.&lt;/secondary-title&gt;&lt;/titles&gt;&lt;periodical&gt;&lt;full-title&gt;J.Comput.Chem.&lt;/full-title&gt;&lt;/periodical&gt;&lt;pages&gt;1844–1857&lt;/pages&gt;&lt;volume&gt;36&lt;/volume&gt;&lt;dates&gt;&lt;year&gt;2015&lt;/year&gt;&lt;/dates&gt;&lt;urls&gt;&lt;/urls&gt;&lt;/record&gt;&lt;/Cite&gt;&lt;/EndNote&gt;</w:instrText>
      </w:r>
      <w:r w:rsidR="004D4B19">
        <w:fldChar w:fldCharType="separate"/>
      </w:r>
      <w:r w:rsidR="00D12C1D" w:rsidRPr="00D12C1D">
        <w:rPr>
          <w:noProof/>
          <w:vertAlign w:val="superscript"/>
        </w:rPr>
        <w:t>29, 30</w:t>
      </w:r>
      <w:r w:rsidR="004D4B19">
        <w:fldChar w:fldCharType="end"/>
      </w:r>
      <w:r>
        <w:t xml:space="preserve">. </w:t>
      </w:r>
      <w:r w:rsidR="009263EF">
        <w:t xml:space="preserve">The program </w:t>
      </w:r>
      <w:r w:rsidR="009C57F7">
        <w:t xml:space="preserve">TYCHE uses </w:t>
      </w:r>
      <w:r w:rsidR="002460EA">
        <w:t>an</w:t>
      </w:r>
      <w:r w:rsidR="009C57F7">
        <w:t xml:space="preserve"> optimized </w:t>
      </w:r>
      <w:r w:rsidR="0006072F">
        <w:t>geometry</w:t>
      </w:r>
      <w:r w:rsidR="009C57F7">
        <w:t xml:space="preserve"> as a seed for generating 2000 unique geometries where no angle or bond length in the created geometries differs from the seed’s by more than 15</w:t>
      </w:r>
      <w:r w:rsidR="00784AE7">
        <w:t xml:space="preserve"> </w:t>
      </w:r>
      <w:r w:rsidR="009C57F7">
        <w:t>%.</w:t>
      </w:r>
      <w:r w:rsidR="002460EA">
        <w:t xml:space="preserve"> For example, a bond length of 1 Å in </w:t>
      </w:r>
      <w:r w:rsidR="0006072F">
        <w:t xml:space="preserve">a given </w:t>
      </w:r>
      <w:r w:rsidR="002460EA">
        <w:t xml:space="preserve">optimized </w:t>
      </w:r>
      <w:r w:rsidR="0006072F">
        <w:t>geometry</w:t>
      </w:r>
      <w:r w:rsidR="002460EA">
        <w:t xml:space="preserve"> cannot be distorted beyond 0.85 Å or 1.15 Å. Each of the </w:t>
      </w:r>
      <w:r w:rsidR="009C57F7">
        <w:t xml:space="preserve">9 </w:t>
      </w:r>
      <w:proofErr w:type="spellStart"/>
      <w:r w:rsidR="002460EA">
        <w:t>decapeptides</w:t>
      </w:r>
      <w:proofErr w:type="spellEnd"/>
      <w:r w:rsidR="002460EA">
        <w:t xml:space="preserve"> is treated independently, giving 2000 unique geometries each</w:t>
      </w:r>
      <w:r w:rsidR="009C57F7">
        <w:t xml:space="preserve">. </w:t>
      </w:r>
      <w:r w:rsidR="0038414F">
        <w:t xml:space="preserve">The 2000 geometries have their </w:t>
      </w:r>
      <w:proofErr w:type="spellStart"/>
      <w:r w:rsidR="0038414F">
        <w:t>wavefunctions</w:t>
      </w:r>
      <w:proofErr w:type="spellEnd"/>
      <w:r w:rsidR="0038414F">
        <w:t xml:space="preserve"> calculated </w:t>
      </w:r>
      <w:r w:rsidR="0006072F">
        <w:t xml:space="preserve">also </w:t>
      </w:r>
      <w:r w:rsidR="0038414F">
        <w:t>at HF/6-31+</w:t>
      </w:r>
      <w:proofErr w:type="gramStart"/>
      <w:r w:rsidR="0038414F">
        <w:t>G(</w:t>
      </w:r>
      <w:proofErr w:type="spellStart"/>
      <w:proofErr w:type="gramEnd"/>
      <w:r w:rsidR="0038414F">
        <w:t>d,p</w:t>
      </w:r>
      <w:proofErr w:type="spellEnd"/>
      <w:r w:rsidR="0038414F">
        <w:t xml:space="preserve">) level. </w:t>
      </w:r>
      <w:r w:rsidR="002460EA">
        <w:t xml:space="preserve">The </w:t>
      </w:r>
      <w:r w:rsidR="00B57D49">
        <w:t>program</w:t>
      </w:r>
      <w:r w:rsidR="002460EA">
        <w:t xml:space="preserve"> AIMAll</w:t>
      </w:r>
      <w:r w:rsidR="004D4B19">
        <w:fldChar w:fldCharType="begin"/>
      </w:r>
      <w:r w:rsidR="00D12C1D">
        <w:instrText xml:space="preserve"> ADDIN EN.CITE &lt;EndNote&gt;&lt;Cite&gt;&lt;Author&gt;AIMAll&lt;/Author&gt;&lt;Year&gt;2016&lt;/Year&gt;&lt;RecNum&gt;7747&lt;/RecNum&gt;&lt;DisplayText&gt;&lt;style face="superscript"&gt;31&lt;/style&gt;&lt;/DisplayText&gt;&lt;record&gt;&lt;rec-number&gt;7747&lt;/rec-number&gt;&lt;foreign-keys&gt;&lt;key app="EN" db-id="t25z50tvn5wv5he905wvarvjr5xzsaxpadra" timestamp="0"&gt;7747&lt;/key&gt;&lt;/foreign-keys&gt;&lt;ref-type name="Computer Program"&gt;9&lt;/ref-type&gt;&lt;contributors&gt;&lt;authors&gt;&lt;author&gt;AIMAll, Todd A. Keith, TK Gristmill Software, Overland Park KS, USA, (aim.tkgristmill.com)&lt;/author&gt;&lt;/authors&gt;&lt;/contributors&gt;&lt;titles&gt;&lt;/titles&gt;&lt;dates&gt;&lt;year&gt;2016&lt;/year&gt;&lt;/dates&gt;&lt;urls&gt;&lt;/urls&gt;&lt;/record&gt;&lt;/Cite&gt;&lt;/EndNote&gt;</w:instrText>
      </w:r>
      <w:r w:rsidR="004D4B19">
        <w:fldChar w:fldCharType="separate"/>
      </w:r>
      <w:r w:rsidR="00D12C1D" w:rsidRPr="00D12C1D">
        <w:rPr>
          <w:noProof/>
          <w:vertAlign w:val="superscript"/>
        </w:rPr>
        <w:t>31</w:t>
      </w:r>
      <w:r w:rsidR="004D4B19">
        <w:fldChar w:fldCharType="end"/>
      </w:r>
      <w:r w:rsidR="002460EA">
        <w:t xml:space="preserve"> </w:t>
      </w:r>
      <w:r w:rsidR="00313343">
        <w:t>was</w:t>
      </w:r>
      <w:r w:rsidR="002460EA">
        <w:t xml:space="preserve"> used to calculate</w:t>
      </w:r>
      <w:r w:rsidR="00C85953">
        <w:t xml:space="preserve"> </w:t>
      </w:r>
      <w:r w:rsidR="00B57D49">
        <w:t>the atomic charges</w:t>
      </w:r>
      <w:r w:rsidR="00C85953">
        <w:t xml:space="preserve"> from</w:t>
      </w:r>
      <w:r w:rsidR="002460EA">
        <w:t xml:space="preserve"> the system’s </w:t>
      </w:r>
      <w:r w:rsidR="0038414F" w:rsidRPr="00491BE1">
        <w:t xml:space="preserve">electron density </w:t>
      </w:r>
      <w:r w:rsidR="0006072F">
        <w:t xml:space="preserve">obtained from </w:t>
      </w:r>
      <w:r w:rsidR="002460EA">
        <w:t xml:space="preserve">the </w:t>
      </w:r>
      <w:proofErr w:type="spellStart"/>
      <w:r w:rsidR="002460EA">
        <w:t>wavefunctions</w:t>
      </w:r>
      <w:proofErr w:type="spellEnd"/>
      <w:r w:rsidR="002460EA">
        <w:t xml:space="preserve">. </w:t>
      </w:r>
    </w:p>
    <w:p w14:paraId="6F9F9B9B" w14:textId="18032060" w:rsidR="00A03C45" w:rsidRDefault="005E670C" w:rsidP="003F1BE0">
      <w:pPr>
        <w:spacing w:after="0" w:line="360" w:lineRule="auto"/>
        <w:jc w:val="both"/>
      </w:pPr>
      <w:r>
        <w:lastRenderedPageBreak/>
        <w:t xml:space="preserve">        </w:t>
      </w:r>
      <w:r w:rsidR="0095631F">
        <w:t xml:space="preserve">We convert the Cartesian coordinates into atom-centred polar spherical coordinates </w:t>
      </w:r>
      <w:r w:rsidR="00040507" w:rsidRPr="009263EF">
        <w:t xml:space="preserve">termed </w:t>
      </w:r>
      <w:r w:rsidR="00040507" w:rsidRPr="00D00D3F">
        <w:rPr>
          <w:i/>
        </w:rPr>
        <w:t>features</w:t>
      </w:r>
      <w:r w:rsidR="004D4B19">
        <w:fldChar w:fldCharType="begin"/>
      </w:r>
      <w:r w:rsidR="00D12C1D">
        <w:instrText xml:space="preserve"> ADDIN EN.CITE &lt;EndNote&gt;&lt;Cite&gt;&lt;Author&gt;Mills&lt;/Author&gt;&lt;Year&gt;2011&lt;/Year&gt;&lt;RecNum&gt;5627&lt;/RecNum&gt;&lt;DisplayText&gt;&lt;style face="superscript"&gt;32, 33&lt;/style&gt;&lt;/DisplayText&gt;&lt;record&gt;&lt;rec-number&gt;5627&lt;/rec-number&gt;&lt;foreign-keys&gt;&lt;key app="EN" db-id="t25z50tvn5wv5he905wvarvjr5xzsaxpadra" timestamp="0"&gt;5627&lt;/key&gt;&lt;/foreign-keys&gt;&lt;ref-type name="Journal Article"&gt;17&lt;/ref-type&gt;&lt;contributors&gt;&lt;authors&gt;&lt;author&gt;Mills, M.J.L.&lt;/author&gt;&lt;author&gt;Popelier, P.L.A.&lt;/author&gt;&lt;/authors&gt;&lt;/contributors&gt;&lt;titles&gt;&lt;title&gt;Intramolecular polarisable multipolar electrostatics from the machine learning method Kriging.&lt;/title&gt;&lt;secondary-title&gt;Comput.Theor.Chem. &lt;/secondary-title&gt;&lt;/titles&gt;&lt;pages&gt;42-51&lt;/pages&gt;&lt;volume&gt;975&lt;/volume&gt;&lt;dates&gt;&lt;year&gt;2011&lt;/year&gt;&lt;/dates&gt;&lt;urls&gt;&lt;/urls&gt;&lt;/record&gt;&lt;/Cite&gt;&lt;Cite&gt;&lt;Author&gt;Mills&lt;/Author&gt;&lt;Year&gt;2012&lt;/Year&gt;&lt;RecNum&gt;5628&lt;/RecNum&gt;&lt;record&gt;&lt;rec-number&gt;5628&lt;/rec-number&gt;&lt;foreign-keys&gt;&lt;key app="EN" db-id="t25z50tvn5wv5he905wvarvjr5xzsaxpadra" timestamp="0"&gt;5628&lt;/key&gt;&lt;/foreign-keys&gt;&lt;ref-type name="Journal Article"&gt;17&lt;/ref-type&gt;&lt;contributors&gt;&lt;authors&gt;&lt;author&gt;Mills, M.J.L.&lt;/author&gt;&lt;author&gt;Popelier, P.L.A.&lt;/author&gt;&lt;/authors&gt;&lt;/contributors&gt;&lt;titles&gt;&lt;title&gt;Polarisable multipolar electrostatics from the machine learning method Kriging: an application to alanine.&lt;/title&gt;&lt;secondary-title&gt;Theor.Chem.Acc. &lt;/secondary-title&gt;&lt;/titles&gt;&lt;periodical&gt;&lt;full-title&gt;Theor.Chem.Acc.&lt;/full-title&gt;&lt;/periodical&gt;&lt;pages&gt;1137-1153 &lt;/pages&gt;&lt;volume&gt;131&lt;/volume&gt;&lt;dates&gt;&lt;year&gt;2012&lt;/year&gt;&lt;/dates&gt;&lt;urls&gt;&lt;/urls&gt;&lt;/record&gt;&lt;/Cite&gt;&lt;/EndNote&gt;</w:instrText>
      </w:r>
      <w:r w:rsidR="004D4B19">
        <w:fldChar w:fldCharType="separate"/>
      </w:r>
      <w:r w:rsidR="00D12C1D" w:rsidRPr="00D12C1D">
        <w:rPr>
          <w:noProof/>
          <w:vertAlign w:val="superscript"/>
        </w:rPr>
        <w:t>32, 33</w:t>
      </w:r>
      <w:r w:rsidR="004D4B19">
        <w:fldChar w:fldCharType="end"/>
      </w:r>
      <w:r w:rsidR="00D00D3F">
        <w:t>, which</w:t>
      </w:r>
      <w:r w:rsidR="00040507" w:rsidRPr="009263EF">
        <w:t xml:space="preserve"> give a full description of the system. </w:t>
      </w:r>
      <w:r w:rsidR="0095631F">
        <w:t xml:space="preserve">Thus, each atom has its own set of features where a given geometry is described ‘as seen’ by that atom. </w:t>
      </w:r>
      <w:r w:rsidR="00CF717C" w:rsidRPr="009263EF">
        <w:t xml:space="preserve">When the features </w:t>
      </w:r>
      <w:r w:rsidR="0095631F">
        <w:t xml:space="preserve">of </w:t>
      </w:r>
      <w:proofErr w:type="gramStart"/>
      <w:r w:rsidR="0095631F">
        <w:t>a geometry</w:t>
      </w:r>
      <w:proofErr w:type="gramEnd"/>
      <w:r w:rsidR="0095631F">
        <w:t xml:space="preserve"> </w:t>
      </w:r>
      <w:r w:rsidR="00CF717C" w:rsidRPr="009263EF">
        <w:t xml:space="preserve">are </w:t>
      </w:r>
      <w:r w:rsidR="00D00D3F">
        <w:t>supplemented</w:t>
      </w:r>
      <w:r w:rsidR="00CF717C" w:rsidRPr="009263EF">
        <w:t xml:space="preserve"> with the </w:t>
      </w:r>
      <w:r w:rsidR="0095631F">
        <w:t xml:space="preserve">charge </w:t>
      </w:r>
      <w:r w:rsidR="00CF717C" w:rsidRPr="009263EF">
        <w:t>of a</w:t>
      </w:r>
      <w:r w:rsidR="00D00D3F">
        <w:t xml:space="preserve"> target</w:t>
      </w:r>
      <w:r w:rsidR="00CF717C" w:rsidRPr="009263EF">
        <w:t xml:space="preserve"> atom, a single training example is created for th</w:t>
      </w:r>
      <w:r w:rsidR="00D00D3F">
        <w:t>is</w:t>
      </w:r>
      <w:r w:rsidR="00CF717C" w:rsidRPr="009263EF">
        <w:t xml:space="preserve"> atom. With a single example</w:t>
      </w:r>
      <w:r w:rsidR="00CF717C">
        <w:t xml:space="preserve"> </w:t>
      </w:r>
      <w:r w:rsidR="00CF717C" w:rsidRPr="00A05DB9">
        <w:t xml:space="preserve">per geometry, a </w:t>
      </w:r>
      <w:r w:rsidR="009228E9" w:rsidRPr="00A224A3">
        <w:rPr>
          <w:i/>
        </w:rPr>
        <w:t>data</w:t>
      </w:r>
      <w:r w:rsidR="00CF717C" w:rsidRPr="00A224A3">
        <w:rPr>
          <w:i/>
        </w:rPr>
        <w:t xml:space="preserve"> set</w:t>
      </w:r>
      <w:r w:rsidR="00CF717C" w:rsidRPr="00A05DB9">
        <w:t xml:space="preserve"> of 2000 examples </w:t>
      </w:r>
      <w:r w:rsidR="00A224A3">
        <w:t xml:space="preserve">(i.e. geometries) </w:t>
      </w:r>
      <w:r w:rsidR="00A05DB9" w:rsidRPr="00A05DB9">
        <w:t>is</w:t>
      </w:r>
      <w:r w:rsidR="00CF717C" w:rsidRPr="00A05DB9">
        <w:t xml:space="preserve"> constructed.</w:t>
      </w:r>
      <w:r w:rsidR="009228E9" w:rsidRPr="00A05DB9">
        <w:t xml:space="preserve"> This data set is split into a </w:t>
      </w:r>
      <w:r w:rsidR="009228E9" w:rsidRPr="00A224A3">
        <w:rPr>
          <w:i/>
        </w:rPr>
        <w:t>training set</w:t>
      </w:r>
      <w:r w:rsidR="009228E9" w:rsidRPr="00A05DB9">
        <w:t>, which can be used by a machine learning method to build a predictive model</w:t>
      </w:r>
      <w:r w:rsidR="00D00D3F">
        <w:t xml:space="preserve"> from</w:t>
      </w:r>
      <w:r w:rsidR="009228E9" w:rsidRPr="00A05DB9">
        <w:t xml:space="preserve">, and a </w:t>
      </w:r>
      <w:r w:rsidR="009228E9" w:rsidRPr="00A224A3">
        <w:rPr>
          <w:i/>
        </w:rPr>
        <w:t>test set</w:t>
      </w:r>
      <w:r w:rsidR="009228E9" w:rsidRPr="00A05DB9">
        <w:t xml:space="preserve"> that contains examples to be predicted by the model. </w:t>
      </w:r>
      <w:r w:rsidR="00A05DB9" w:rsidRPr="00A05DB9">
        <w:t xml:space="preserve">It is important to remember </w:t>
      </w:r>
      <w:r w:rsidR="009228E9" w:rsidRPr="00A05DB9">
        <w:t xml:space="preserve">that </w:t>
      </w:r>
      <w:r w:rsidR="003471FB" w:rsidRPr="00A05DB9">
        <w:t xml:space="preserve">we never test </w:t>
      </w:r>
      <w:r w:rsidR="00D00D3F">
        <w:t>a model for its predictions for</w:t>
      </w:r>
      <w:r w:rsidR="003471FB" w:rsidRPr="00A05DB9">
        <w:t xml:space="preserve"> geometries that have been included in the training data.</w:t>
      </w:r>
      <w:r w:rsidR="00CF717C" w:rsidRPr="00A05DB9">
        <w:t xml:space="preserve"> </w:t>
      </w:r>
      <w:r w:rsidR="00A05DB9" w:rsidRPr="00A05DB9">
        <w:t xml:space="preserve">In other words, the test set is always a true </w:t>
      </w:r>
      <w:r w:rsidR="00A05DB9" w:rsidRPr="00A05DB9">
        <w:rPr>
          <w:i/>
        </w:rPr>
        <w:t xml:space="preserve">external </w:t>
      </w:r>
      <w:r w:rsidR="00A05DB9" w:rsidRPr="00A05DB9">
        <w:t xml:space="preserve">test set. </w:t>
      </w:r>
      <w:r w:rsidR="00C85953" w:rsidRPr="00A05DB9">
        <w:t xml:space="preserve">The </w:t>
      </w:r>
      <w:r w:rsidR="003471FB" w:rsidRPr="00A05DB9">
        <w:t>data</w:t>
      </w:r>
      <w:r w:rsidR="00CF717C" w:rsidRPr="00A05DB9">
        <w:t xml:space="preserve"> set</w:t>
      </w:r>
      <w:r w:rsidR="00C85953" w:rsidRPr="00A05DB9">
        <w:t xml:space="preserve"> is filtered for ‘undesirable’ entries where geometries with large</w:t>
      </w:r>
      <w:r w:rsidR="00C85953" w:rsidRPr="00491BE1">
        <w:t xml:space="preserve"> integration errors</w:t>
      </w:r>
      <w:r w:rsidR="004D4B19">
        <w:fldChar w:fldCharType="begin"/>
      </w:r>
      <w:r w:rsidR="00D12C1D">
        <w:instrText xml:space="preserve"> ADDIN EN.CITE &lt;EndNote&gt;&lt;Cite&gt;&lt;Author&gt;Rafat&lt;/Author&gt;&lt;Year&gt;2007&lt;/Year&gt;&lt;RecNum&gt;3633&lt;/RecNum&gt;&lt;DisplayText&gt;&lt;style face="superscript"&gt;34, 35&lt;/style&gt;&lt;/DisplayText&gt;&lt;record&gt;&lt;rec-number&gt;3633&lt;/rec-number&gt;&lt;foreign-keys&gt;&lt;key app="EN" db-id="t25z50tvn5wv5he905wvarvjr5xzsaxpadra" timestamp="0"&gt;3633&lt;/key&gt;&lt;/foreign-keys&gt;&lt;ref-type name="Journal Article"&gt;17&lt;/ref-type&gt;&lt;contributors&gt;&lt;authors&gt;&lt;author&gt;Rafat, M.&lt;/author&gt;&lt;author&gt;Popelier, P.L.A.&lt;/author&gt;&lt;/authors&gt;&lt;/contributors&gt;&lt;titles&gt;&lt;title&gt;Visualisation and integration of quantum topological atoms by spatial discretisation into finite elements.&lt;/title&gt;&lt;secondary-title&gt;J.Comput.Chem.&lt;/secondary-title&gt;&lt;/titles&gt;&lt;periodical&gt;&lt;full-title&gt;J.Comput.Chem.&lt;/full-title&gt;&lt;/periodical&gt;&lt;pages&gt;2602-2617&lt;/pages&gt;&lt;volume&gt;28&lt;/volume&gt;&lt;dates&gt;&lt;year&gt;2007&lt;/year&gt;&lt;/dates&gt;&lt;urls&gt;&lt;/urls&gt;&lt;electronic-resource-num&gt;DOI: 10.1002/jcc.20767&lt;/electronic-resource-num&gt;&lt;/record&gt;&lt;/Cite&gt;&lt;Cite&gt;&lt;Author&gt;Aicken&lt;/Author&gt;&lt;Year&gt;2000&lt;/Year&gt;&lt;RecNum&gt;484&lt;/RecNum&gt;&lt;record&gt;&lt;rec-number&gt;484&lt;/rec-number&gt;&lt;foreign-keys&gt;&lt;key app="EN" db-id="t25z50tvn5wv5he905wvarvjr5xzsaxpadra" timestamp="0"&gt;484&lt;/key&gt;&lt;/foreign-keys&gt;&lt;ref-type name="Journal Article"&gt;17&lt;/ref-type&gt;&lt;contributors&gt;&lt;authors&gt;&lt;author&gt;Aicken, F.M.&lt;/author&gt;&lt;author&gt;Popelier, P.L.A.&lt;/author&gt;&lt;/authors&gt;&lt;/contributors&gt;&lt;titles&gt;&lt;title&gt;Atomic properties of selected biomolecules. Part 1. The interpretation of atomic integration errors&lt;/title&gt;&lt;secondary-title&gt;Can.J.Chem.&lt;/secondary-title&gt;&lt;/titles&gt;&lt;pages&gt;415-426&lt;/pages&gt;&lt;volume&gt;78&lt;/volume&gt;&lt;dates&gt;&lt;year&gt;2000&lt;/year&gt;&lt;/dates&gt;&lt;urls&gt;&lt;/urls&gt;&lt;/record&gt;&lt;/Cite&gt;&lt;/EndNote&gt;</w:instrText>
      </w:r>
      <w:r w:rsidR="004D4B19">
        <w:fldChar w:fldCharType="separate"/>
      </w:r>
      <w:r w:rsidR="00D12C1D" w:rsidRPr="00D12C1D">
        <w:rPr>
          <w:noProof/>
          <w:vertAlign w:val="superscript"/>
        </w:rPr>
        <w:t>34, 35</w:t>
      </w:r>
      <w:r w:rsidR="004D4B19">
        <w:fldChar w:fldCharType="end"/>
      </w:r>
      <w:r w:rsidR="00C85953" w:rsidRPr="00491BE1">
        <w:t xml:space="preserve"> </w:t>
      </w:r>
      <w:r w:rsidR="00C85953">
        <w:t>(L(</w:t>
      </w:r>
      <w:r w:rsidR="00C85953">
        <w:sym w:font="Mathematica1" w:char="F057"/>
      </w:r>
      <w:r w:rsidR="00C85953">
        <w:t xml:space="preserve">)) </w:t>
      </w:r>
      <w:r w:rsidR="00C85953" w:rsidRPr="00491BE1">
        <w:t xml:space="preserve">are filtered alongside those whose molecular </w:t>
      </w:r>
      <w:r w:rsidR="00C85953">
        <w:t xml:space="preserve">net </w:t>
      </w:r>
      <w:r w:rsidR="00C85953" w:rsidRPr="00491BE1">
        <w:t xml:space="preserve">charge deviates significantly </w:t>
      </w:r>
      <w:r w:rsidR="00C85953">
        <w:t>(&gt;</w:t>
      </w:r>
      <w:r w:rsidR="003312DA">
        <w:t xml:space="preserve"> </w:t>
      </w:r>
      <w:r w:rsidR="00C85953">
        <w:t xml:space="preserve">0.001 au) </w:t>
      </w:r>
      <w:r w:rsidR="00C85953" w:rsidRPr="00491BE1">
        <w:t>from the desired value</w:t>
      </w:r>
      <w:r w:rsidR="00D00D3F">
        <w:t xml:space="preserve">, which is </w:t>
      </w:r>
      <w:r w:rsidR="00C85953">
        <w:t xml:space="preserve">zero in the case of the </w:t>
      </w:r>
      <w:proofErr w:type="spellStart"/>
      <w:r w:rsidR="00C85953">
        <w:t>decapeptides</w:t>
      </w:r>
      <w:proofErr w:type="spellEnd"/>
      <w:r w:rsidR="00C85953">
        <w:t xml:space="preserve"> in this work</w:t>
      </w:r>
      <w:r w:rsidR="00C85953" w:rsidRPr="00491BE1">
        <w:t>.</w:t>
      </w:r>
      <w:r w:rsidR="00C85953">
        <w:t xml:space="preserve"> </w:t>
      </w:r>
    </w:p>
    <w:p w14:paraId="59218577" w14:textId="7DE0E2E9" w:rsidR="008D31CF" w:rsidRPr="00491BE1" w:rsidRDefault="00A05DB9" w:rsidP="006D021A">
      <w:pPr>
        <w:spacing w:after="0" w:line="360" w:lineRule="auto"/>
        <w:jc w:val="both"/>
      </w:pPr>
      <w:r>
        <w:t xml:space="preserve">       </w:t>
      </w:r>
      <w:r w:rsidR="0052598E" w:rsidRPr="00B57D49">
        <w:t>This tr</w:t>
      </w:r>
      <w:r w:rsidR="008D31CF" w:rsidRPr="00B57D49">
        <w:t xml:space="preserve">aining set can be utilized by kriging </w:t>
      </w:r>
      <w:r w:rsidR="0052598E" w:rsidRPr="00B57D49">
        <w:t xml:space="preserve">to find relationships between </w:t>
      </w:r>
      <w:r w:rsidR="008D31CF" w:rsidRPr="00B57D49">
        <w:t xml:space="preserve">an atom’s </w:t>
      </w:r>
      <w:r w:rsidR="003F1BE0" w:rsidRPr="00B57D49">
        <w:t>charge</w:t>
      </w:r>
      <w:r w:rsidR="008D31CF" w:rsidRPr="00B57D49">
        <w:t xml:space="preserve"> and its corresponding molecular geometry. </w:t>
      </w:r>
      <w:r w:rsidR="006D021A" w:rsidRPr="00B57D49">
        <w:t xml:space="preserve">The machine learning method </w:t>
      </w:r>
      <w:r w:rsidR="008D31CF" w:rsidRPr="00B57D49">
        <w:t>Kriging</w:t>
      </w:r>
      <w:r w:rsidR="004D4B19">
        <w:fldChar w:fldCharType="begin"/>
      </w:r>
      <w:r w:rsidR="00D12C1D">
        <w:instrText xml:space="preserve"> ADDIN EN.CITE &lt;EndNote&gt;&lt;Cite&gt;&lt;Author&gt;Matheron&lt;/Author&gt;&lt;Year&gt;1963&lt;/Year&gt;&lt;RecNum&gt;5912&lt;/RecNum&gt;&lt;DisplayText&gt;&lt;style face="superscript"&gt;36&lt;/style&gt;&lt;/DisplayText&gt;&lt;record&gt;&lt;rec-number&gt;5912&lt;/rec-number&gt;&lt;foreign-keys&gt;&lt;key app="EN" db-id="t25z50tvn5wv5he905wvarvjr5xzsaxpadra" timestamp="0"&gt;5912&lt;/key&gt;&lt;/foreign-keys&gt;&lt;ref-type name="Journal Article"&gt;17&lt;/ref-type&gt;&lt;contributors&gt;&lt;authors&gt;&lt;author&gt;Matheron, G.&lt;/author&gt;&lt;/authors&gt;&lt;/contributors&gt;&lt;titles&gt;&lt;title&gt;Principles of Geostatistics&lt;/title&gt;&lt;secondary-title&gt;Econ. Geology&lt;/secondary-title&gt;&lt;/titles&gt;&lt;pages&gt;1246-1267&lt;/pages&gt;&lt;volume&gt;58&lt;/volume&gt;&lt;dates&gt;&lt;year&gt;1963&lt;/year&gt;&lt;/dates&gt;&lt;urls&gt;&lt;/urls&gt;&lt;/record&gt;&lt;/Cite&gt;&lt;/EndNote&gt;</w:instrText>
      </w:r>
      <w:r w:rsidR="004D4B19">
        <w:fldChar w:fldCharType="separate"/>
      </w:r>
      <w:r w:rsidR="00D12C1D" w:rsidRPr="00D12C1D">
        <w:rPr>
          <w:noProof/>
          <w:vertAlign w:val="superscript"/>
        </w:rPr>
        <w:t>36</w:t>
      </w:r>
      <w:r w:rsidR="004D4B19">
        <w:fldChar w:fldCharType="end"/>
      </w:r>
      <w:r w:rsidR="008D31CF" w:rsidRPr="00B57D49">
        <w:t xml:space="preserve"> has been explained in </w:t>
      </w:r>
      <w:r w:rsidR="006D021A" w:rsidRPr="00B57D49">
        <w:t xml:space="preserve">our </w:t>
      </w:r>
      <w:r w:rsidR="008D31CF" w:rsidRPr="00B57D49">
        <w:t xml:space="preserve">earlier publications </w:t>
      </w:r>
      <w:r w:rsidR="006D021A" w:rsidRPr="00B57D49">
        <w:t xml:space="preserve">(following Jones </w:t>
      </w:r>
      <w:r w:rsidR="006D021A" w:rsidRPr="00B57D49">
        <w:rPr>
          <w:i/>
        </w:rPr>
        <w:t>et al.</w:t>
      </w:r>
      <w:r w:rsidR="004D4B19">
        <w:fldChar w:fldCharType="begin"/>
      </w:r>
      <w:r w:rsidR="00D12C1D">
        <w:instrText xml:space="preserve"> ADDIN EN.CITE &lt;EndNote&gt;&lt;Cite&gt;&lt;Author&gt;Matheron&lt;/Author&gt;&lt;Year&gt;1963&lt;/Year&gt;&lt;RecNum&gt;5912&lt;/RecNum&gt;&lt;DisplayText&gt;&lt;style face="superscript"&gt;36-38&lt;/style&gt;&lt;/DisplayText&gt;&lt;record&gt;&lt;rec-number&gt;5912&lt;/rec-number&gt;&lt;foreign-keys&gt;&lt;key app="EN" db-id="t25z50tvn5wv5he905wvarvjr5xzsaxpadra" timestamp="0"&gt;5912&lt;/key&gt;&lt;/foreign-keys&gt;&lt;ref-type name="Journal Article"&gt;17&lt;/ref-type&gt;&lt;contributors&gt;&lt;authors&gt;&lt;author&gt;Matheron, G.&lt;/author&gt;&lt;/authors&gt;&lt;/contributors&gt;&lt;titles&gt;&lt;title&gt;Principles of Geostatistics&lt;/title&gt;&lt;secondary-title&gt;Econ. Geology&lt;/secondary-title&gt;&lt;/titles&gt;&lt;pages&gt;1246-1267&lt;/pages&gt;&lt;volume&gt;58&lt;/volume&gt;&lt;dates&gt;&lt;year&gt;1963&lt;/year&gt;&lt;/dates&gt;&lt;urls&gt;&lt;/urls&gt;&lt;/record&gt;&lt;/Cite&gt;&lt;Cite&gt;&lt;Author&gt;Jones&lt;/Author&gt;&lt;Year&gt;2001&lt;/Year&gt;&lt;RecNum&gt;4235&lt;/RecNum&gt;&lt;record&gt;&lt;rec-number&gt;4235&lt;/rec-number&gt;&lt;foreign-keys&gt;&lt;key app="EN" db-id="t25z50tvn5wv5he905wvarvjr5xzsaxpadra" timestamp="0"&gt;4235&lt;/key&gt;&lt;/foreign-keys&gt;&lt;ref-type name="Journal Article"&gt;17&lt;/ref-type&gt;&lt;contributors&gt;&lt;authors&gt;&lt;author&gt;Jones, D.R.&lt;/author&gt;&lt;/authors&gt;&lt;/contributors&gt;&lt;titles&gt;&lt;title&gt;A taxonomy of global optimization methods based on response surfaces&lt;/title&gt;&lt;secondary-title&gt;J.Global Optim.&lt;/secondary-title&gt;&lt;/titles&gt;&lt;pages&gt;345-383&lt;/pages&gt;&lt;volume&gt;21&lt;/volume&gt;&lt;dates&gt;&lt;year&gt;2001&lt;/year&gt;&lt;/dates&gt;&lt;urls&gt;&lt;/urls&gt;&lt;/record&gt;&lt;/Cite&gt;&lt;Cite&gt;&lt;Author&gt;Jones&lt;/Author&gt;&lt;Year&gt;1998&lt;/Year&gt;&lt;RecNum&gt;4542&lt;/RecNum&gt;&lt;record&gt;&lt;rec-number&gt;4542&lt;/rec-number&gt;&lt;foreign-keys&gt;&lt;key app="EN" db-id="t25z50tvn5wv5he905wvarvjr5xzsaxpadra" timestamp="0"&gt;4542&lt;/key&gt;&lt;/foreign-keys&gt;&lt;ref-type name="Journal Article"&gt;17&lt;/ref-type&gt;&lt;contributors&gt;&lt;authors&gt;&lt;author&gt;Jones, D.R.&lt;/author&gt;&lt;author&gt;Schonlau, M.&lt;/author&gt;&lt;author&gt;Welch, W.J.&lt;/author&gt;&lt;/authors&gt;&lt;/contributors&gt;&lt;titles&gt;&lt;title&gt;Efficient Global Optimization of Expensive Black-Box Functions&lt;/title&gt;&lt;secondary-title&gt;J.Global Optim.&lt;/secondary-title&gt;&lt;/titles&gt;&lt;pages&gt;455-492&lt;/pages&gt;&lt;volume&gt;13&lt;/volume&gt;&lt;dates&gt;&lt;year&gt;1998&lt;/year&gt;&lt;/dates&gt;&lt;label&gt;Jones:1998&lt;/label&gt;&lt;urls&gt;&lt;/urls&gt;&lt;/record&gt;&lt;/Cite&gt;&lt;/EndNote&gt;</w:instrText>
      </w:r>
      <w:r w:rsidR="004D4B19">
        <w:fldChar w:fldCharType="separate"/>
      </w:r>
      <w:proofErr w:type="gramStart"/>
      <w:r w:rsidR="00D12C1D" w:rsidRPr="00D12C1D">
        <w:rPr>
          <w:noProof/>
          <w:vertAlign w:val="superscript"/>
        </w:rPr>
        <w:t>36-38</w:t>
      </w:r>
      <w:r w:rsidR="004D4B19">
        <w:fldChar w:fldCharType="end"/>
      </w:r>
      <w:r w:rsidR="006D021A" w:rsidRPr="00B57D49">
        <w:t xml:space="preserve">), which is why </w:t>
      </w:r>
      <w:r w:rsidR="00B57D49">
        <w:t>we review it here only very briefly</w:t>
      </w:r>
      <w:r w:rsidR="006D021A" w:rsidRPr="00B57D49">
        <w:t>.</w:t>
      </w:r>
      <w:proofErr w:type="gramEnd"/>
      <w:r w:rsidR="006D021A" w:rsidRPr="00B57D49">
        <w:t xml:space="preserve"> </w:t>
      </w:r>
      <w:r w:rsidR="00B57D49" w:rsidRPr="00B57D49">
        <w:t>From the training data</w:t>
      </w:r>
      <w:r w:rsidR="004D4B19">
        <w:fldChar w:fldCharType="begin"/>
      </w:r>
      <w:r w:rsidR="00D12C1D">
        <w:instrText xml:space="preserve"> ADDIN EN.CITE &lt;EndNote&gt;&lt;Cite&gt;&lt;Author&gt;Di Pasquale&lt;/Author&gt;&lt;Year&gt;2016&lt;/Year&gt;&lt;RecNum&gt;7105&lt;/RecNum&gt;&lt;DisplayText&gt;&lt;style face="superscript"&gt;39&lt;/style&gt;&lt;/DisplayText&gt;&lt;record&gt;&lt;rec-number&gt;7105&lt;/rec-number&gt;&lt;foreign-keys&gt;&lt;key app="EN" db-id="t25z50tvn5wv5he905wvarvjr5xzsaxpadra" timestamp="0"&gt;7105&lt;/key&gt;&lt;/foreign-keys&gt;&lt;ref-type name="Journal Article"&gt;17&lt;/ref-type&gt;&lt;contributors&gt;&lt;authors&gt;&lt;author&gt;Di Pasquale, N.&lt;/author&gt;&lt;author&gt;Davie, S.J.&lt;/author&gt;&lt;author&gt;Popelier, P.L.A.&lt;/author&gt;&lt;/authors&gt;&lt;/contributors&gt;&lt;titles&gt;&lt;title&gt;Optimization Algorithms in Optimal Predictions of Atomistic Properties by Kriging&lt;/title&gt;&lt;secondary-title&gt;J.Chem.Theor.Comp.&lt;/secondary-title&gt;&lt;/titles&gt;&lt;pages&gt;1499−1513&lt;/pages&gt;&lt;volume&gt;12&lt;/volume&gt;&lt;dates&gt;&lt;year&gt;2016&lt;/year&gt;&lt;/dates&gt;&lt;urls&gt;&lt;/urls&gt;&lt;/record&gt;&lt;/Cite&gt;&lt;/EndNote&gt;</w:instrText>
      </w:r>
      <w:r w:rsidR="004D4B19">
        <w:fldChar w:fldCharType="separate"/>
      </w:r>
      <w:r w:rsidR="00D12C1D" w:rsidRPr="00D12C1D">
        <w:rPr>
          <w:noProof/>
          <w:vertAlign w:val="superscript"/>
        </w:rPr>
        <w:t>39</w:t>
      </w:r>
      <w:r w:rsidR="004D4B19">
        <w:fldChar w:fldCharType="end"/>
      </w:r>
      <w:r w:rsidR="00B57D49" w:rsidRPr="00B57D49">
        <w:t>, k</w:t>
      </w:r>
      <w:r w:rsidR="008D31CF" w:rsidRPr="00B57D49">
        <w:t>riging create</w:t>
      </w:r>
      <w:r w:rsidR="00B57D49" w:rsidRPr="00B57D49">
        <w:t>s</w:t>
      </w:r>
      <w:r w:rsidR="008D31CF" w:rsidRPr="00B57D49">
        <w:t xml:space="preserve"> models that can predict </w:t>
      </w:r>
      <w:r w:rsidR="003F1BE0" w:rsidRPr="00B57D49">
        <w:t xml:space="preserve">atomic charges </w:t>
      </w:r>
      <w:r w:rsidR="008D31CF" w:rsidRPr="00B57D49">
        <w:t>using molecular geometries</w:t>
      </w:r>
      <w:r w:rsidR="00B57D49" w:rsidRPr="00B57D49">
        <w:t xml:space="preserve"> only</w:t>
      </w:r>
      <w:r w:rsidR="008D31CF" w:rsidRPr="00B57D49">
        <w:t xml:space="preserve">. </w:t>
      </w:r>
      <w:r w:rsidR="00B57D49">
        <w:t xml:space="preserve">Of course, the output can also be an atomic </w:t>
      </w:r>
      <w:r w:rsidR="003F1BE0" w:rsidRPr="00B57D49">
        <w:t xml:space="preserve">multipole moment. </w:t>
      </w:r>
      <w:r w:rsidR="00D00D3F">
        <w:t>Equation (1) shows how k</w:t>
      </w:r>
      <w:r w:rsidR="008D31CF" w:rsidRPr="00B57D49">
        <w:t>riging creates a relationship</w:t>
      </w:r>
      <w:r w:rsidR="008D31CF">
        <w:t xml:space="preserve"> between a molecule’s features (geometry) and output (</w:t>
      </w:r>
      <w:r w:rsidR="006D021A">
        <w:t>atomic charge</w:t>
      </w:r>
      <w:r w:rsidR="008D31CF">
        <w:t>)</w:t>
      </w:r>
      <w:proofErr w:type="gramStart"/>
      <w:r w:rsidR="008D31CF">
        <w:t>,</w:t>
      </w:r>
      <w:r w:rsidR="008D31CF" w:rsidRPr="00491BE1">
        <w:t xml:space="preserve"> </w:t>
      </w:r>
      <w:proofErr w:type="gramEnd"/>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m:t>
        </m:r>
      </m:oMath>
      <w:r w:rsidR="008D31CF">
        <w:t>, which</w:t>
      </w:r>
      <w:r w:rsidR="008D31CF" w:rsidRPr="00491BE1">
        <w:t xml:space="preserve"> can be expressed as the error it carries</w:t>
      </w:r>
      <w:r w:rsidR="008D31CF">
        <w:t xml:space="preserve"> (the summed term)</w:t>
      </w:r>
      <w:r w:rsidR="008D31CF" w:rsidRPr="00491BE1">
        <w:t xml:space="preserve"> plus the global term (</w:t>
      </w:r>
      <m:oMath>
        <m:r>
          <w:rPr>
            <w:rFonts w:ascii="Cambria Math" w:hAnsi="Cambria Math"/>
          </w:rPr>
          <m:t>μ</m:t>
        </m:r>
      </m:oMath>
      <w:r w:rsidR="008D31CF">
        <w:t>)</w:t>
      </w:r>
      <w:r w:rsidR="006D021A">
        <w:t>,</w:t>
      </w:r>
      <w:r w:rsidR="008D31CF">
        <w:t xml:space="preserve"> </w:t>
      </w:r>
    </w:p>
    <w:p w14:paraId="7609FF51" w14:textId="77777777" w:rsidR="008D31CF" w:rsidRPr="00491BE1" w:rsidRDefault="008D31CF" w:rsidP="008D31CF">
      <w:pPr>
        <w:spacing w:line="360" w:lineRule="auto"/>
        <w:jc w:val="right"/>
      </w:pPr>
      <w:r w:rsidRPr="00491BE1">
        <w:rPr>
          <w:position w:val="-28"/>
        </w:rPr>
        <w:object w:dxaOrig="2920" w:dyaOrig="680" w14:anchorId="650C9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6pt;height:34.4pt" o:ole="">
            <v:imagedata r:id="rId11" o:title=""/>
          </v:shape>
          <o:OLEObject Type="Embed" ProgID="Equation.DSMT4" ShapeID="_x0000_i1025" DrawAspect="Content" ObjectID="_1548573353" r:id="rId12"/>
        </w:object>
      </w:r>
      <w:r w:rsidRPr="00491BE1">
        <w:tab/>
      </w:r>
      <w:r w:rsidRPr="00491BE1">
        <w:tab/>
      </w:r>
      <w:r w:rsidRPr="00491BE1">
        <w:tab/>
      </w:r>
      <w:r w:rsidRPr="00491BE1">
        <w:tab/>
      </w:r>
      <w:r>
        <w:rPr>
          <w:iCs/>
        </w:rPr>
        <w:t>(1</w:t>
      </w:r>
      <w:r w:rsidRPr="00491BE1">
        <w:rPr>
          <w:iCs/>
        </w:rPr>
        <w:t>)</w:t>
      </w:r>
    </w:p>
    <w:p w14:paraId="7894C580" w14:textId="5A4E65B9" w:rsidR="008D31CF" w:rsidRDefault="008D31CF" w:rsidP="003F1BE0">
      <w:pPr>
        <w:spacing w:after="0" w:line="360" w:lineRule="auto"/>
        <w:jc w:val="both"/>
      </w:pPr>
      <w:proofErr w:type="gramStart"/>
      <w:r>
        <w:t>where</w:t>
      </w:r>
      <w:proofErr w:type="gramEnd"/>
      <w:r w:rsidRPr="00491BE1">
        <w:t xml:space="preserve"> </w:t>
      </w:r>
      <m:oMath>
        <m:sSub>
          <m:sSubPr>
            <m:ctrlPr>
              <w:rPr>
                <w:rFonts w:ascii="Cambria Math" w:hAnsi="Cambria Math"/>
                <w:i/>
              </w:rPr>
            </m:ctrlPr>
          </m:sSubPr>
          <m:e>
            <m:r>
              <w:rPr>
                <w:rFonts w:ascii="Cambria Math" w:hAnsi="Cambria Math"/>
              </w:rPr>
              <m:t>a</m:t>
            </m:r>
          </m:e>
          <m:sub>
            <m:r>
              <w:rPr>
                <w:rFonts w:ascii="Cambria Math" w:hAnsi="Cambria Math"/>
              </w:rPr>
              <m:t>i</m:t>
            </m:r>
          </m:sub>
        </m:sSub>
      </m:oMath>
      <w:r w:rsidRPr="00491BE1">
        <w:t xml:space="preserve"> is the </w:t>
      </w:r>
      <w:proofErr w:type="spellStart"/>
      <w:r w:rsidRPr="00491BE1">
        <w:rPr>
          <w:i/>
        </w:rPr>
        <w:t>i</w:t>
      </w:r>
      <w:r w:rsidRPr="006D021A">
        <w:rPr>
          <w:vertAlign w:val="superscript"/>
        </w:rPr>
        <w:t>th</w:t>
      </w:r>
      <w:proofErr w:type="spellEnd"/>
      <w:r w:rsidRPr="00491BE1">
        <w:t xml:space="preserve"> element of </w:t>
      </w:r>
      <m:oMath>
        <m:r>
          <m:rPr>
            <m:sty m:val="bi"/>
          </m:rPr>
          <w:rPr>
            <w:rFonts w:ascii="Cambria Math" w:hAnsi="Cambria Math"/>
          </w:rPr>
          <m:t>a</m:t>
        </m:r>
        <m:r>
          <w:rPr>
            <w:rFonts w:ascii="Cambria Math" w:hAnsi="Cambria Math"/>
          </w:rPr>
          <m:t>=</m:t>
        </m:r>
        <m:sSup>
          <m:sSupPr>
            <m:ctrlPr>
              <w:rPr>
                <w:rFonts w:ascii="Cambria Math" w:hAnsi="Cambria Math"/>
                <w:b/>
                <w:i/>
              </w:rPr>
            </m:ctrlPr>
          </m:sSupPr>
          <m:e>
            <m:r>
              <m:rPr>
                <m:sty m:val="bi"/>
              </m:rPr>
              <w:rPr>
                <w:rFonts w:ascii="Cambria Math" w:hAnsi="Cambria Math"/>
              </w:rPr>
              <m:t>R</m:t>
            </m:r>
          </m:e>
          <m:sup>
            <m:r>
              <w:rPr>
                <w:rFonts w:ascii="Cambria Math" w:hAnsi="Cambria Math"/>
              </w:rPr>
              <m:t>-1</m:t>
            </m:r>
          </m:sup>
        </m:sSup>
        <m:d>
          <m:dPr>
            <m:ctrlPr>
              <w:rPr>
                <w:rFonts w:ascii="Cambria Math" w:hAnsi="Cambria Math"/>
                <w:i/>
              </w:rPr>
            </m:ctrlPr>
          </m:dPr>
          <m:e>
            <m:r>
              <m:rPr>
                <m:sty m:val="bi"/>
              </m:rPr>
              <w:rPr>
                <w:rFonts w:ascii="Cambria Math" w:hAnsi="Cambria Math"/>
              </w:rPr>
              <m:t>y</m:t>
            </m:r>
            <m:r>
              <w:rPr>
                <w:rFonts w:ascii="Cambria Math" w:hAnsi="Cambria Math"/>
              </w:rPr>
              <m:t>-</m:t>
            </m:r>
            <m:r>
              <m:rPr>
                <m:sty m:val="bi"/>
              </m:rPr>
              <w:rPr>
                <w:rFonts w:ascii="Cambria Math" w:hAnsi="Cambria Math"/>
              </w:rPr>
              <m:t>1</m:t>
            </m:r>
            <m:acc>
              <m:accPr>
                <m:ctrlPr>
                  <w:rPr>
                    <w:rFonts w:ascii="Cambria Math" w:hAnsi="Cambria Math"/>
                    <w:i/>
                  </w:rPr>
                </m:ctrlPr>
              </m:accPr>
              <m:e>
                <m:r>
                  <w:rPr>
                    <w:rFonts w:ascii="Cambria Math" w:hAnsi="Cambria Math"/>
                  </w:rPr>
                  <m:t>μ</m:t>
                </m:r>
              </m:e>
            </m:acc>
          </m:e>
        </m:d>
      </m:oMath>
      <w:r w:rsidRPr="00491BE1">
        <w:t xml:space="preserve"> </w:t>
      </w:r>
      <w:r w:rsidR="00D00D3F">
        <w:t xml:space="preserve">, </w:t>
      </w:r>
      <w:r w:rsidRPr="00491BE1">
        <w:t xml:space="preserve">where </w:t>
      </w:r>
      <m:oMath>
        <m:r>
          <m:rPr>
            <m:sty m:val="bi"/>
          </m:rPr>
          <w:rPr>
            <w:rFonts w:ascii="Cambria Math" w:hAnsi="Cambria Math"/>
          </w:rPr>
          <m:t>R</m:t>
        </m:r>
      </m:oMath>
      <w:r w:rsidRPr="00491BE1">
        <w:rPr>
          <w:b/>
        </w:rPr>
        <w:t xml:space="preserve"> </w:t>
      </w:r>
      <w:r w:rsidRPr="00491BE1">
        <w:t xml:space="preserve">is a matrix of error correlations between training points, and </w:t>
      </w:r>
      <w:r w:rsidRPr="00491BE1">
        <w:rPr>
          <w:b/>
        </w:rPr>
        <w:t xml:space="preserve">1 </w:t>
      </w:r>
      <w:r>
        <w:t>is a column vector of ones</w:t>
      </w:r>
      <w:r w:rsidRPr="00491BE1">
        <w:t xml:space="preserve">. Thus, we take into account the prediction example’s correlation with all of our training examples and </w:t>
      </w:r>
      <w:r>
        <w:t>assign importance</w:t>
      </w:r>
      <w:r w:rsidRPr="00491BE1">
        <w:t xml:space="preserve"> </w:t>
      </w:r>
      <w:r w:rsidR="00F71DC0">
        <w:t xml:space="preserve">to </w:t>
      </w:r>
      <w:r w:rsidRPr="00491BE1">
        <w:t>these correlations accordingly</w:t>
      </w:r>
      <w:r>
        <w:t xml:space="preserve"> </w:t>
      </w:r>
      <w:proofErr w:type="gramStart"/>
      <w:r>
        <w:t xml:space="preserve">with </w:t>
      </w:r>
      <w:proofErr w:type="gramEnd"/>
      <w:r w:rsidRPr="00A01946">
        <w:rPr>
          <w:position w:val="-10"/>
        </w:rPr>
        <w:object w:dxaOrig="220" w:dyaOrig="260" w14:anchorId="2F6F7DD3">
          <v:shape id="_x0000_i1026" type="#_x0000_t75" style="width:10.75pt;height:13.45pt" o:ole="">
            <v:imagedata r:id="rId13" o:title=""/>
          </v:shape>
          <o:OLEObject Type="Embed" ProgID="Equation.DSMT4" ShapeID="_x0000_i1026" DrawAspect="Content" ObjectID="_1548573354" r:id="rId14"/>
        </w:object>
      </w:r>
      <w:r w:rsidRPr="00491BE1">
        <w:t xml:space="preserve">. Indeed, if the prediction example is very close to a pre-existing example in the training set, they are highly correlated and we can expect that they share a similar output value. In fact, the kriging predictor passes exactly through training points and a ‘perfect’ prediction is achieved when attempting to predict the outputs for a known geometry. </w:t>
      </w:r>
      <w:r w:rsidR="00F71DC0">
        <w:t>T</w:t>
      </w:r>
      <w:r w:rsidRPr="00491BE1">
        <w:t>he prediction of any given point is entirely dependent on the training points that directly surround it in the feature space rather than those at increasing distances from the prediction point</w:t>
      </w:r>
      <w:r>
        <w:t>.</w:t>
      </w:r>
      <w:r w:rsidRPr="00491BE1">
        <w:t xml:space="preserve"> If we cannot find a well-correlated example in the training set, the output will tend toward the global term</w:t>
      </w:r>
      <w:proofErr w:type="gramStart"/>
      <w:r w:rsidRPr="00491BE1">
        <w:t xml:space="preserve">, </w:t>
      </w:r>
      <w:proofErr w:type="gramEnd"/>
      <m:oMath>
        <m:acc>
          <m:accPr>
            <m:ctrlPr>
              <w:rPr>
                <w:rFonts w:ascii="Cambria Math" w:hAnsi="Cambria Math"/>
                <w:i/>
              </w:rPr>
            </m:ctrlPr>
          </m:accPr>
          <m:e>
            <m:r>
              <w:rPr>
                <w:rFonts w:ascii="Cambria Math" w:hAnsi="Cambria Math"/>
              </w:rPr>
              <m:t>μ</m:t>
            </m:r>
          </m:e>
        </m:acc>
      </m:oMath>
      <w:r w:rsidRPr="00491BE1">
        <w:t xml:space="preserve">. This is a very useful consequence of the kriging method when applied to chemical systems, giving mean </w:t>
      </w:r>
      <w:r w:rsidR="00F71DC0">
        <w:t>charge</w:t>
      </w:r>
      <w:r w:rsidRPr="00491BE1">
        <w:t xml:space="preserve"> values</w:t>
      </w:r>
      <w:r w:rsidR="00074421">
        <w:t>, which are still valuable, in the absence</w:t>
      </w:r>
      <w:r w:rsidRPr="00491BE1">
        <w:t xml:space="preserve"> </w:t>
      </w:r>
      <w:r w:rsidR="00074421">
        <w:t xml:space="preserve">of any better </w:t>
      </w:r>
      <w:r w:rsidRPr="00491BE1">
        <w:t>prediction</w:t>
      </w:r>
      <w:r w:rsidR="00074421">
        <w:t>s</w:t>
      </w:r>
      <w:r w:rsidRPr="00491BE1">
        <w:t xml:space="preserve">. Some studies present kriging as a </w:t>
      </w:r>
      <w:r w:rsidRPr="00491BE1">
        <w:lastRenderedPageBreak/>
        <w:t>method for making good predictions on sparse data sets</w:t>
      </w:r>
      <w:r w:rsidR="004D4B19">
        <w:fldChar w:fldCharType="begin"/>
      </w:r>
      <w:r w:rsidR="00D12C1D">
        <w:instrText xml:space="preserve"> ADDIN EN.CITE &lt;EndNote&gt;&lt;Cite&gt;&lt;Author&gt;Laslett&lt;/Author&gt;&lt;Year&gt;1994&lt;/Year&gt;&lt;RecNum&gt;4557&lt;/RecNum&gt;&lt;DisplayText&gt;&lt;style face="superscript"&gt;40&lt;/style&gt;&lt;/DisplayText&gt;&lt;record&gt;&lt;rec-number&gt;4557&lt;/rec-number&gt;&lt;foreign-keys&gt;&lt;key app="EN" db-id="t25z50tvn5wv5he905wvarvjr5xzsaxpadra" timestamp="0"&gt;4557&lt;/key&gt;&lt;/foreign-keys&gt;&lt;ref-type name="Journal Article"&gt;17&lt;/ref-type&gt;&lt;contributors&gt;&lt;authors&gt;&lt;author&gt;Laslett, G. M.&lt;/author&gt;&lt;/authors&gt;&lt;/contributors&gt;&lt;titles&gt;&lt;title&gt;Kriging and Splines: An empirical comparison of their predictive performance in some applications&lt;/title&gt;&lt;secondary-title&gt;J.Amer.Stat.Assoc.&lt;/secondary-title&gt;&lt;/titles&gt;&lt;pages&gt;391-400&lt;/pages&gt;&lt;volume&gt;89&lt;/volume&gt;&lt;number&gt;426&lt;/number&gt;&lt;dates&gt;&lt;year&gt;1994&lt;/year&gt;&lt;/dates&gt;&lt;label&gt;Laslett:1994&lt;/label&gt;&lt;urls&gt;&lt;/urls&gt;&lt;/record&gt;&lt;/Cite&gt;&lt;/EndNote&gt;</w:instrText>
      </w:r>
      <w:r w:rsidR="004D4B19">
        <w:fldChar w:fldCharType="separate"/>
      </w:r>
      <w:r w:rsidR="00D12C1D" w:rsidRPr="00D12C1D">
        <w:rPr>
          <w:noProof/>
          <w:vertAlign w:val="superscript"/>
        </w:rPr>
        <w:t>40</w:t>
      </w:r>
      <w:r w:rsidR="004D4B19">
        <w:fldChar w:fldCharType="end"/>
      </w:r>
      <w:r w:rsidR="00D00D3F">
        <w:t xml:space="preserve">, </w:t>
      </w:r>
      <w:r w:rsidRPr="00491BE1">
        <w:t xml:space="preserve">and so one could also claim </w:t>
      </w:r>
      <w:r w:rsidR="00D00D3F">
        <w:t xml:space="preserve">that </w:t>
      </w:r>
      <w:r w:rsidRPr="00491BE1">
        <w:t>these uncorrelated predi</w:t>
      </w:r>
      <w:r>
        <w:t xml:space="preserve">ctions </w:t>
      </w:r>
      <w:r w:rsidR="00D00D3F">
        <w:t>are</w:t>
      </w:r>
      <w:r>
        <w:t xml:space="preserve"> still valuable.</w:t>
      </w:r>
    </w:p>
    <w:p w14:paraId="7E69C219" w14:textId="77777777" w:rsidR="00B21276" w:rsidRDefault="00074421" w:rsidP="00074421">
      <w:pPr>
        <w:spacing w:line="360" w:lineRule="auto"/>
        <w:jc w:val="both"/>
      </w:pPr>
      <w:r>
        <w:t xml:space="preserve">          </w:t>
      </w:r>
      <w:r w:rsidR="0095631F">
        <w:t xml:space="preserve">A kriging model can be made to describe </w:t>
      </w:r>
      <w:r w:rsidR="00F71DC0">
        <w:t>any</w:t>
      </w:r>
      <w:r w:rsidR="0095631F">
        <w:t xml:space="preserve"> </w:t>
      </w:r>
      <w:r w:rsidR="00F71DC0">
        <w:t xml:space="preserve">atomic </w:t>
      </w:r>
      <w:r w:rsidR="0095631F">
        <w:t xml:space="preserve">charge using the entire system’s geometry as input. However, a kriging model can </w:t>
      </w:r>
      <w:r w:rsidR="00190904">
        <w:t xml:space="preserve">also </w:t>
      </w:r>
      <w:r w:rsidR="0095631F">
        <w:t>be constructed from a fragment of this molecular system</w:t>
      </w:r>
      <w:r>
        <w:t>,</w:t>
      </w:r>
      <w:r w:rsidR="0095631F">
        <w:t xml:space="preserve"> as described in Figure 2. </w:t>
      </w:r>
    </w:p>
    <w:p w14:paraId="3A482A00" w14:textId="77777777" w:rsidR="003F1BE0" w:rsidRDefault="003F1BE0" w:rsidP="003F1BE0">
      <w:pPr>
        <w:spacing w:line="360" w:lineRule="auto"/>
        <w:ind w:firstLine="720"/>
        <w:jc w:val="both"/>
      </w:pPr>
    </w:p>
    <w:p w14:paraId="7D8011A5" w14:textId="77777777" w:rsidR="003F1BE0" w:rsidRDefault="00CD3B92" w:rsidP="008D31CF">
      <w:pPr>
        <w:spacing w:line="360" w:lineRule="auto"/>
        <w:jc w:val="both"/>
        <w:rPr>
          <w:b/>
        </w:rPr>
      </w:pPr>
      <w:r>
        <w:rPr>
          <w:noProof/>
        </w:rPr>
        <w:drawing>
          <wp:inline distT="0" distB="0" distL="0" distR="0" wp14:anchorId="633ADF8B" wp14:editId="649EB3CE">
            <wp:extent cx="5731510" cy="8832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_Fragment.b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883285"/>
                    </a:xfrm>
                    <a:prstGeom prst="rect">
                      <a:avLst/>
                    </a:prstGeom>
                  </pic:spPr>
                </pic:pic>
              </a:graphicData>
            </a:graphic>
          </wp:inline>
        </w:drawing>
      </w:r>
      <w:r w:rsidR="00027F9E">
        <w:br/>
      </w:r>
    </w:p>
    <w:p w14:paraId="3531EA5E" w14:textId="77777777" w:rsidR="00B21276" w:rsidRDefault="00027F9E" w:rsidP="008D31CF">
      <w:pPr>
        <w:spacing w:line="360" w:lineRule="auto"/>
        <w:jc w:val="both"/>
      </w:pPr>
      <w:proofErr w:type="gramStart"/>
      <w:r w:rsidRPr="003F1BE0">
        <w:rPr>
          <w:b/>
        </w:rPr>
        <w:t>Figure 2</w:t>
      </w:r>
      <w:r w:rsidR="003F1BE0">
        <w:t>.</w:t>
      </w:r>
      <w:proofErr w:type="gramEnd"/>
      <w:r>
        <w:t xml:space="preserve"> </w:t>
      </w:r>
      <w:proofErr w:type="gramStart"/>
      <w:r>
        <w:t xml:space="preserve">A schematic of </w:t>
      </w:r>
      <w:proofErr w:type="spellStart"/>
      <w:r>
        <w:t>deca</w:t>
      </w:r>
      <w:proofErr w:type="spellEnd"/>
      <w:r w:rsidR="003F1BE0">
        <w:t>-</w:t>
      </w:r>
      <w:r>
        <w:t>alanine with a proposed molecular fragment outlined in green.</w:t>
      </w:r>
      <w:proofErr w:type="gramEnd"/>
      <w:r>
        <w:t xml:space="preserve"> The </w:t>
      </w:r>
      <w:r w:rsidR="00C834CD">
        <w:t>C</w:t>
      </w:r>
      <w:r w:rsidR="00C834CD" w:rsidRPr="003F1BE0">
        <w:rPr>
          <w:vertAlign w:val="subscript"/>
        </w:rPr>
        <w:t>α</w:t>
      </w:r>
      <w:r w:rsidR="00C834CD">
        <w:t xml:space="preserve"> fragment (inside green brackets)</w:t>
      </w:r>
      <w:r>
        <w:t xml:space="preserve"> fragment is a collection </w:t>
      </w:r>
      <w:r w:rsidR="003855C2">
        <w:t xml:space="preserve">the </w:t>
      </w:r>
      <w:r>
        <w:t xml:space="preserve">atoms </w:t>
      </w:r>
      <w:proofErr w:type="spellStart"/>
      <w:r>
        <w:t>N</w:t>
      </w:r>
      <w:r w:rsidRPr="003F1BE0">
        <w:rPr>
          <w:vertAlign w:val="subscript"/>
        </w:rPr>
        <w:t>amide</w:t>
      </w:r>
      <w:proofErr w:type="spellEnd"/>
      <w:r>
        <w:t xml:space="preserve">, </w:t>
      </w:r>
      <w:proofErr w:type="spellStart"/>
      <w:r>
        <w:t>H</w:t>
      </w:r>
      <w:r w:rsidRPr="003F1BE0">
        <w:rPr>
          <w:vertAlign w:val="subscript"/>
        </w:rPr>
        <w:t>amide</w:t>
      </w:r>
      <w:proofErr w:type="spellEnd"/>
      <w:r>
        <w:t>, C</w:t>
      </w:r>
      <w:r w:rsidRPr="003F1BE0">
        <w:rPr>
          <w:vertAlign w:val="subscript"/>
        </w:rPr>
        <w:t>α</w:t>
      </w:r>
      <w:r>
        <w:t xml:space="preserve">, </w:t>
      </w:r>
      <w:proofErr w:type="spellStart"/>
      <w:r>
        <w:t>C</w:t>
      </w:r>
      <w:r w:rsidRPr="003F1BE0">
        <w:rPr>
          <w:vertAlign w:val="subscript"/>
        </w:rPr>
        <w:t>beta</w:t>
      </w:r>
      <w:proofErr w:type="spellEnd"/>
      <w:r>
        <w:t xml:space="preserve">, </w:t>
      </w:r>
      <w:proofErr w:type="spellStart"/>
      <w:r>
        <w:t>C</w:t>
      </w:r>
      <w:r w:rsidRPr="003F1BE0">
        <w:rPr>
          <w:vertAlign w:val="subscript"/>
        </w:rPr>
        <w:t>amide</w:t>
      </w:r>
      <w:proofErr w:type="spellEnd"/>
      <w:r>
        <w:t xml:space="preserve">, </w:t>
      </w:r>
      <w:r w:rsidR="003855C2">
        <w:t xml:space="preserve">and </w:t>
      </w:r>
      <w:proofErr w:type="spellStart"/>
      <w:r>
        <w:t>O</w:t>
      </w:r>
      <w:r w:rsidRPr="003F1BE0">
        <w:rPr>
          <w:vertAlign w:val="subscript"/>
        </w:rPr>
        <w:t>amide</w:t>
      </w:r>
      <w:proofErr w:type="spellEnd"/>
      <w:r>
        <w:t xml:space="preserve">, </w:t>
      </w:r>
      <w:r w:rsidR="003855C2">
        <w:t>which</w:t>
      </w:r>
      <w:r>
        <w:t xml:space="preserve"> captures C</w:t>
      </w:r>
      <w:r w:rsidRPr="003F1BE0">
        <w:rPr>
          <w:vertAlign w:val="subscript"/>
        </w:rPr>
        <w:t>α</w:t>
      </w:r>
      <w:r>
        <w:t xml:space="preserve">’s </w:t>
      </w:r>
      <w:r w:rsidR="00190904">
        <w:t xml:space="preserve">(denoted by a green dot) </w:t>
      </w:r>
      <w:r>
        <w:t>immediate environment. Thus, data describing this fragment can be isolated and used to create a kriging model for C</w:t>
      </w:r>
      <w:r w:rsidRPr="003F1BE0">
        <w:rPr>
          <w:vertAlign w:val="subscript"/>
        </w:rPr>
        <w:t>α</w:t>
      </w:r>
      <w:r>
        <w:t>.</w:t>
      </w:r>
      <w:r w:rsidR="00CD3B92">
        <w:t xml:space="preserve"> </w:t>
      </w:r>
      <w:r w:rsidR="003855C2">
        <w:t xml:space="preserve">The atom </w:t>
      </w:r>
      <w:proofErr w:type="spellStart"/>
      <w:r w:rsidR="00CD3B92">
        <w:t>H</w:t>
      </w:r>
      <w:r w:rsidR="00CD3B92" w:rsidRPr="003F1BE0">
        <w:rPr>
          <w:vertAlign w:val="subscript"/>
        </w:rPr>
        <w:t>amide</w:t>
      </w:r>
      <w:proofErr w:type="spellEnd"/>
      <w:r w:rsidR="00CD3B92">
        <w:t xml:space="preserve"> (denoted by an orange dot) uses a different fragment </w:t>
      </w:r>
      <w:r w:rsidR="00C834CD">
        <w:t xml:space="preserve">(inside orange brackets) </w:t>
      </w:r>
      <w:r w:rsidR="003855C2">
        <w:t xml:space="preserve">consisting </w:t>
      </w:r>
      <w:r w:rsidR="00CD3B92">
        <w:t xml:space="preserve">of </w:t>
      </w:r>
      <w:proofErr w:type="spellStart"/>
      <w:r w:rsidR="00CD3B92">
        <w:t>O</w:t>
      </w:r>
      <w:r w:rsidR="00CD3B92" w:rsidRPr="003F1BE0">
        <w:rPr>
          <w:vertAlign w:val="subscript"/>
        </w:rPr>
        <w:t>amide</w:t>
      </w:r>
      <w:proofErr w:type="spellEnd"/>
      <w:r w:rsidR="00CD3B92">
        <w:t xml:space="preserve">, </w:t>
      </w:r>
      <w:proofErr w:type="spellStart"/>
      <w:r w:rsidR="00CD3B92">
        <w:t>C</w:t>
      </w:r>
      <w:r w:rsidR="00CD3B92" w:rsidRPr="003F1BE0">
        <w:rPr>
          <w:vertAlign w:val="subscript"/>
        </w:rPr>
        <w:t>amide</w:t>
      </w:r>
      <w:proofErr w:type="spellEnd"/>
      <w:r w:rsidR="00CD3B92">
        <w:t xml:space="preserve">, </w:t>
      </w:r>
      <w:proofErr w:type="spellStart"/>
      <w:r w:rsidR="00CD3B92">
        <w:t>N</w:t>
      </w:r>
      <w:r w:rsidR="00CD3B92" w:rsidRPr="003F1BE0">
        <w:rPr>
          <w:vertAlign w:val="subscript"/>
        </w:rPr>
        <w:t>amide</w:t>
      </w:r>
      <w:proofErr w:type="spellEnd"/>
      <w:r w:rsidR="00CD3B92">
        <w:t xml:space="preserve">, </w:t>
      </w:r>
      <w:proofErr w:type="spellStart"/>
      <w:r w:rsidR="00CD3B92">
        <w:t>H</w:t>
      </w:r>
      <w:r w:rsidR="00CD3B92" w:rsidRPr="003F1BE0">
        <w:rPr>
          <w:vertAlign w:val="subscript"/>
        </w:rPr>
        <w:t>amide</w:t>
      </w:r>
      <w:proofErr w:type="spellEnd"/>
      <w:r w:rsidR="00CD3B92">
        <w:t>, C</w:t>
      </w:r>
      <w:r w:rsidR="00CD3B92" w:rsidRPr="003F1BE0">
        <w:rPr>
          <w:vertAlign w:val="subscript"/>
        </w:rPr>
        <w:t>α</w:t>
      </w:r>
      <w:r w:rsidR="00CD3B92">
        <w:t xml:space="preserve"> </w:t>
      </w:r>
      <w:r w:rsidR="003855C2">
        <w:t xml:space="preserve">and </w:t>
      </w:r>
      <w:proofErr w:type="spellStart"/>
      <w:r w:rsidR="00CD3B92">
        <w:t>C</w:t>
      </w:r>
      <w:r w:rsidR="00CD3B92" w:rsidRPr="003F1BE0">
        <w:rPr>
          <w:vertAlign w:val="subscript"/>
        </w:rPr>
        <w:t>beta</w:t>
      </w:r>
      <w:proofErr w:type="spellEnd"/>
      <w:r w:rsidR="00CD3B92">
        <w:t xml:space="preserve">. </w:t>
      </w:r>
      <w:r w:rsidR="00C834CD">
        <w:t xml:space="preserve">It is desirable for a fragment to include atoms from all directions </w:t>
      </w:r>
      <w:r w:rsidR="003855C2">
        <w:t>with respect to</w:t>
      </w:r>
      <w:r w:rsidR="00C834CD">
        <w:t xml:space="preserve"> the atom being modelled.</w:t>
      </w:r>
    </w:p>
    <w:p w14:paraId="56F8E2B3" w14:textId="77777777" w:rsidR="003F1BE0" w:rsidRDefault="003F1BE0" w:rsidP="008D31CF">
      <w:pPr>
        <w:spacing w:line="360" w:lineRule="auto"/>
        <w:jc w:val="both"/>
      </w:pPr>
    </w:p>
    <w:p w14:paraId="251DE2F7" w14:textId="77777777" w:rsidR="003F1BE0" w:rsidRDefault="003F1BE0" w:rsidP="008D31CF">
      <w:pPr>
        <w:spacing w:line="360" w:lineRule="auto"/>
        <w:jc w:val="both"/>
      </w:pPr>
    </w:p>
    <w:p w14:paraId="0698F3D4" w14:textId="4CF96382" w:rsidR="00B51EA8" w:rsidRDefault="003F1BE0" w:rsidP="00B51EA8">
      <w:pPr>
        <w:spacing w:after="0" w:line="360" w:lineRule="auto"/>
        <w:jc w:val="both"/>
      </w:pPr>
      <w:r>
        <w:t xml:space="preserve">      </w:t>
      </w:r>
      <w:r w:rsidR="0095631F">
        <w:t>A kriging model made from a fragment of the molecular system is likely to be more generally applicable</w:t>
      </w:r>
      <w:r w:rsidR="00C834CD">
        <w:t xml:space="preserve"> than a kriging model that has full knowledge of the molecular system. S</w:t>
      </w:r>
      <w:r w:rsidR="0095631F">
        <w:t xml:space="preserve">ince the </w:t>
      </w:r>
      <w:r w:rsidR="00C834CD">
        <w:t xml:space="preserve">fragment </w:t>
      </w:r>
      <w:r w:rsidR="0095631F">
        <w:t>kriging model only requires knowledge of the fragment geometry, it can be applied to any other molecular system where this f</w:t>
      </w:r>
      <w:r w:rsidR="00B136A3">
        <w:t xml:space="preserve">ragment is found </w:t>
      </w:r>
      <w:r w:rsidR="00CF717C" w:rsidRPr="00700B4A">
        <w:t>as described in past work</w:t>
      </w:r>
      <w:r w:rsidR="004D4B19">
        <w:fldChar w:fldCharType="begin"/>
      </w:r>
      <w:r w:rsidR="00D12C1D">
        <w:instrText xml:space="preserve"> ADDIN EN.CITE &lt;EndNote&gt;&lt;Cite&gt;&lt;Author&gt;Fletcher&lt;/Author&gt;&lt;Year&gt;2014&lt;/Year&gt;&lt;RecNum&gt;6783&lt;/RecNum&gt;&lt;DisplayText&gt;&lt;style face="superscript"&gt;24, 41&lt;/style&gt;&lt;/DisplayText&gt;&lt;record&gt;&lt;rec-number&gt;6783&lt;/rec-number&gt;&lt;foreign-keys&gt;&lt;key app="EN" db-id="t25z50tvn5wv5he905wvarvjr5xzsaxpadra" timestamp="0"&gt;6783&lt;/key&gt;&lt;/foreign-keys&gt;&lt;ref-type name="Thesis"&gt;32&lt;/ref-type&gt;&lt;contributors&gt;&lt;authors&gt;&lt;author&gt;Fletcher, T.L.&lt;/author&gt;&lt;/authors&gt;&lt;/contributors&gt;&lt;titles&gt;&lt;title&gt;Polarizable Multipolar Electrostatics driven by kriging machine learning or a peptide force field: assessment, improvement and up-scaling.&lt;/title&gt;&lt;secondary-title&gt;School of Chemistry&lt;/secondary-title&gt;&lt;/titles&gt;&lt;volume&gt;PhD&lt;/volume&gt;&lt;dates&gt;&lt;year&gt;2014&lt;/year&gt;&lt;/dates&gt;&lt;pub-location&gt;Manchester&lt;/pub-location&gt;&lt;publisher&gt;PhD thesis, School of Chemistry, University of Manchester, Great Britain&lt;/publisher&gt;&lt;urls&gt;&lt;/urls&gt;&lt;/record&gt;&lt;/Cite&gt;&lt;Cite&gt;&lt;Author&gt;Fletcher&lt;/Author&gt;&lt;Year&gt;2017&lt;/Year&gt;&lt;RecNum&gt;8057&lt;/RecNum&gt;&lt;record&gt;&lt;rec-number&gt;8057&lt;/rec-number&gt;&lt;foreign-keys&gt;&lt;key app="EN" db-id="t25z50tvn5wv5he905wvarvjr5xzsaxpadra" timestamp="0"&gt;8057&lt;/key&gt;&lt;/foreign-keys&gt;&lt;ref-type name="Journal Article"&gt;17&lt;/ref-type&gt;&lt;contributors&gt;&lt;authors&gt;&lt;author&gt;Fletcher, T.L.&lt;/author&gt;&lt;author&gt;Popelier, P.L.A.&lt;/author&gt;&lt;/authors&gt;&lt;/contributors&gt;&lt;titles&gt;&lt;title&gt;Toward amino acid typing for proteins in FFLUX&lt;/title&gt;&lt;secondary-title&gt;J.Comput.Chem.&lt;/secondary-title&gt;&lt;/titles&gt;&lt;periodical&gt;&lt;full-title&gt;J.Comput.Chem.&lt;/full-title&gt;&lt;/periodical&gt;&lt;pages&gt;336-345&lt;/pages&gt;&lt;volume&gt;38&lt;/volume&gt;&lt;dates&gt;&lt;year&gt;2017&lt;/year&gt;&lt;/dates&gt;&lt;urls&gt;&lt;/urls&gt;&lt;/record&gt;&lt;/Cite&gt;&lt;/EndNote&gt;</w:instrText>
      </w:r>
      <w:r w:rsidR="004D4B19">
        <w:fldChar w:fldCharType="separate"/>
      </w:r>
      <w:r w:rsidR="00D12C1D" w:rsidRPr="00D12C1D">
        <w:rPr>
          <w:noProof/>
          <w:vertAlign w:val="superscript"/>
        </w:rPr>
        <w:t>24, 41</w:t>
      </w:r>
      <w:r w:rsidR="004D4B19">
        <w:fldChar w:fldCharType="end"/>
      </w:r>
      <w:r w:rsidR="00CF717C" w:rsidRPr="00700B4A">
        <w:t>.</w:t>
      </w:r>
      <w:r w:rsidR="003471FB" w:rsidRPr="00700B4A">
        <w:t xml:space="preserve"> </w:t>
      </w:r>
      <w:r w:rsidR="00B136A3">
        <w:t xml:space="preserve">In order to create a data set for a fragment, features describing the positions of atoms outside of a fragment should be discarded, keeping only a description of the molecular fragment. An identical fragment in another molecular system will then have the same corresponding set of features, different only in value. </w:t>
      </w:r>
      <w:r w:rsidR="003471FB" w:rsidRPr="00700B4A">
        <w:t>Indeed, it is possible to have an identical fragment from two entirely different systems in the</w:t>
      </w:r>
      <w:r w:rsidR="00B136A3">
        <w:t xml:space="preserve"> same</w:t>
      </w:r>
      <w:r w:rsidR="003471FB" w:rsidRPr="00700B4A">
        <w:t xml:space="preserve"> data set. When the fragment</w:t>
      </w:r>
      <w:r w:rsidR="00CD3B92">
        <w:t>’s system</w:t>
      </w:r>
      <w:r w:rsidR="003471FB" w:rsidRPr="00700B4A">
        <w:t xml:space="preserve"> </w:t>
      </w:r>
      <w:r w:rsidR="00CD3B92">
        <w:t xml:space="preserve">of origin is not represented </w:t>
      </w:r>
      <w:r w:rsidR="003471FB" w:rsidRPr="00700B4A">
        <w:t xml:space="preserve">in </w:t>
      </w:r>
      <w:r w:rsidR="00CD3B92">
        <w:t xml:space="preserve">any example in </w:t>
      </w:r>
      <w:r w:rsidR="003471FB" w:rsidRPr="00700B4A">
        <w:t xml:space="preserve">the test set, </w:t>
      </w:r>
      <w:r w:rsidR="005C0A63" w:rsidRPr="00700B4A">
        <w:t xml:space="preserve">we are using a kriging model to predict a system </w:t>
      </w:r>
      <w:r w:rsidR="00700B4A" w:rsidRPr="00700B4A">
        <w:t xml:space="preserve">that </w:t>
      </w:r>
      <w:r w:rsidR="005C0A63" w:rsidRPr="00700B4A">
        <w:t>it has no direct knowledge of</w:t>
      </w:r>
      <w:r>
        <w:t xml:space="preserve">. This application of a kriging model to a foreign system </w:t>
      </w:r>
      <w:r w:rsidR="005C0A63" w:rsidRPr="00700B4A">
        <w:t>is a basic example of transferability.</w:t>
      </w:r>
      <w:r w:rsidR="00CF717C">
        <w:t xml:space="preserve"> </w:t>
      </w:r>
      <w:r w:rsidR="00CD3B92">
        <w:t>S</w:t>
      </w:r>
      <w:r w:rsidR="00CF717C">
        <w:t xml:space="preserve">imilar fragments from </w:t>
      </w:r>
      <w:r w:rsidR="00CF717C">
        <w:lastRenderedPageBreak/>
        <w:t xml:space="preserve">different systems can be combined into a single training set, resulting in a more general kriging model that can be transferred to other systems. </w:t>
      </w:r>
    </w:p>
    <w:p w14:paraId="34CEB42E" w14:textId="77777777" w:rsidR="00B51EA8" w:rsidRDefault="00B51EA8" w:rsidP="00B51EA8">
      <w:pPr>
        <w:spacing w:after="0" w:line="360" w:lineRule="auto"/>
        <w:jc w:val="both"/>
      </w:pPr>
      <w:r>
        <w:t xml:space="preserve">       </w:t>
      </w:r>
      <w:r w:rsidR="00CF717C">
        <w:t>In this work, we describe 5 different types of data set that are made from the training sets previously described</w:t>
      </w:r>
      <w:r w:rsidR="00874B91">
        <w:t xml:space="preserve"> and </w:t>
      </w:r>
      <w:r>
        <w:t xml:space="preserve">that </w:t>
      </w:r>
      <w:r w:rsidR="00874B91">
        <w:t xml:space="preserve">are defined by </w:t>
      </w:r>
      <w:r>
        <w:t>the</w:t>
      </w:r>
      <w:r w:rsidR="00874B91">
        <w:t xml:space="preserve"> systems </w:t>
      </w:r>
      <w:r>
        <w:t xml:space="preserve">making up </w:t>
      </w:r>
      <w:r w:rsidR="00874B91">
        <w:t xml:space="preserve">a data set. </w:t>
      </w:r>
      <w:r>
        <w:t xml:space="preserve">The </w:t>
      </w:r>
      <w:r w:rsidR="00F71DC0">
        <w:t xml:space="preserve">various </w:t>
      </w:r>
      <w:r>
        <w:t>types can be defined as follows:</w:t>
      </w:r>
    </w:p>
    <w:p w14:paraId="78E309F8" w14:textId="77777777" w:rsidR="00B51EA8" w:rsidRDefault="00F71DC0" w:rsidP="00B51EA8">
      <w:pPr>
        <w:pStyle w:val="ListParagraph"/>
        <w:numPr>
          <w:ilvl w:val="0"/>
          <w:numId w:val="8"/>
        </w:numPr>
        <w:spacing w:line="360" w:lineRule="auto"/>
        <w:jc w:val="both"/>
      </w:pPr>
      <w:r>
        <w:t xml:space="preserve">If </w:t>
      </w:r>
      <w:r w:rsidR="009263EF">
        <w:t xml:space="preserve">trained by a single molecule and predicting for </w:t>
      </w:r>
      <w:r w:rsidR="00B51EA8">
        <w:t xml:space="preserve">the </w:t>
      </w:r>
      <w:r w:rsidR="00B51EA8" w:rsidRPr="00B51EA8">
        <w:rPr>
          <w:i/>
        </w:rPr>
        <w:t>same</w:t>
      </w:r>
      <w:r w:rsidR="00874B91">
        <w:t xml:space="preserve"> single </w:t>
      </w:r>
      <w:r w:rsidR="009263EF">
        <w:t>molecule</w:t>
      </w:r>
      <w:r w:rsidR="00385604">
        <w:t xml:space="preserve"> </w:t>
      </w:r>
      <w:r w:rsidR="00B51EA8" w:rsidRPr="00B51EA8">
        <w:rPr>
          <w:i/>
        </w:rPr>
        <w:t>with a full set of features</w:t>
      </w:r>
      <w:r w:rsidR="00B51EA8">
        <w:t xml:space="preserve"> </w:t>
      </w:r>
      <w:r>
        <w:t xml:space="preserve">the data set </w:t>
      </w:r>
      <w:r w:rsidR="00385604">
        <w:t xml:space="preserve">is </w:t>
      </w:r>
      <w:r>
        <w:t xml:space="preserve">called </w:t>
      </w:r>
      <w:r w:rsidR="00385604" w:rsidRPr="00E20517">
        <w:rPr>
          <w:i/>
        </w:rPr>
        <w:t>Regular</w:t>
      </w:r>
      <w:r w:rsidR="00874B91" w:rsidRPr="00E20517">
        <w:rPr>
          <w:i/>
        </w:rPr>
        <w:t>.</w:t>
      </w:r>
      <w:r w:rsidR="00874B91">
        <w:t xml:space="preserve"> </w:t>
      </w:r>
    </w:p>
    <w:p w14:paraId="39027750" w14:textId="77777777" w:rsidR="00B51EA8" w:rsidRDefault="007F04C2" w:rsidP="00B51EA8">
      <w:pPr>
        <w:pStyle w:val="ListParagraph"/>
        <w:numPr>
          <w:ilvl w:val="0"/>
          <w:numId w:val="8"/>
        </w:numPr>
        <w:spacing w:line="360" w:lineRule="auto"/>
        <w:jc w:val="both"/>
      </w:pPr>
      <w:r>
        <w:t xml:space="preserve">If </w:t>
      </w:r>
      <w:r w:rsidR="00874B91">
        <w:t>train</w:t>
      </w:r>
      <w:r w:rsidR="00B51EA8">
        <w:t>ed by</w:t>
      </w:r>
      <w:r w:rsidR="00874B91">
        <w:t xml:space="preserve"> a single system </w:t>
      </w:r>
      <w:r>
        <w:t>but</w:t>
      </w:r>
      <w:r w:rsidR="00874B91">
        <w:t xml:space="preserve"> predict</w:t>
      </w:r>
      <w:r w:rsidR="004D098C">
        <w:t>ing</w:t>
      </w:r>
      <w:r w:rsidR="00874B91">
        <w:t xml:space="preserve"> </w:t>
      </w:r>
      <w:r>
        <w:t xml:space="preserve">for </w:t>
      </w:r>
      <w:r w:rsidR="00874B91">
        <w:t xml:space="preserve">another </w:t>
      </w:r>
      <w:r w:rsidR="004D098C">
        <w:t xml:space="preserve">system </w:t>
      </w:r>
      <w:r>
        <w:t xml:space="preserve">the data set </w:t>
      </w:r>
      <w:r w:rsidR="00874B91">
        <w:t xml:space="preserve">is </w:t>
      </w:r>
      <w:r w:rsidR="004D098C">
        <w:t>called</w:t>
      </w:r>
      <w:r w:rsidR="00874B91">
        <w:t xml:space="preserve"> </w:t>
      </w:r>
      <w:r w:rsidR="00874B91" w:rsidRPr="00E20517">
        <w:rPr>
          <w:i/>
        </w:rPr>
        <w:t>Mismatched.</w:t>
      </w:r>
      <w:r w:rsidR="00874B91">
        <w:t xml:space="preserve"> </w:t>
      </w:r>
    </w:p>
    <w:p w14:paraId="2EA81A98" w14:textId="77777777" w:rsidR="00B51EA8" w:rsidRDefault="00D239C1" w:rsidP="00B51EA8">
      <w:pPr>
        <w:pStyle w:val="ListParagraph"/>
        <w:numPr>
          <w:ilvl w:val="0"/>
          <w:numId w:val="8"/>
        </w:numPr>
        <w:spacing w:line="360" w:lineRule="auto"/>
        <w:jc w:val="both"/>
      </w:pPr>
      <w:r>
        <w:t>If trained by multiple systems and predicting for one of the systems in the training set</w:t>
      </w:r>
      <w:r w:rsidR="00874B91">
        <w:t xml:space="preserve"> </w:t>
      </w:r>
      <w:r>
        <w:t xml:space="preserve">the data set </w:t>
      </w:r>
      <w:r w:rsidR="00874B91">
        <w:t xml:space="preserve">is </w:t>
      </w:r>
      <w:r>
        <w:t>called</w:t>
      </w:r>
      <w:r w:rsidR="00874B91">
        <w:t xml:space="preserve"> </w:t>
      </w:r>
      <w:r w:rsidR="00874B91" w:rsidRPr="00E20517">
        <w:rPr>
          <w:i/>
        </w:rPr>
        <w:t>Shared.</w:t>
      </w:r>
      <w:r w:rsidR="00874B91">
        <w:t xml:space="preserve"> </w:t>
      </w:r>
    </w:p>
    <w:p w14:paraId="02110D98" w14:textId="77777777" w:rsidR="00B51EA8" w:rsidRDefault="00874B91" w:rsidP="00B51EA8">
      <w:pPr>
        <w:pStyle w:val="ListParagraph"/>
        <w:numPr>
          <w:ilvl w:val="0"/>
          <w:numId w:val="8"/>
        </w:numPr>
        <w:spacing w:line="360" w:lineRule="auto"/>
        <w:jc w:val="both"/>
      </w:pPr>
      <w:r>
        <w:t xml:space="preserve">A data set using multiple systems for its training data and different systems in the test data is termed a </w:t>
      </w:r>
      <w:r w:rsidRPr="00E20517">
        <w:rPr>
          <w:i/>
        </w:rPr>
        <w:t>Transferred</w:t>
      </w:r>
      <w:r>
        <w:t xml:space="preserve"> </w:t>
      </w:r>
      <w:r w:rsidR="007F04C2">
        <w:t xml:space="preserve">data </w:t>
      </w:r>
      <w:r>
        <w:t>set</w:t>
      </w:r>
      <w:r w:rsidR="007F04C2">
        <w:t>. This</w:t>
      </w:r>
      <w:r>
        <w:t xml:space="preserve"> is the basis of transferable models in FFLUX. </w:t>
      </w:r>
    </w:p>
    <w:p w14:paraId="6343218F" w14:textId="77777777" w:rsidR="00B51EA8" w:rsidRDefault="00B51EA8" w:rsidP="00B51EA8">
      <w:pPr>
        <w:pStyle w:val="ListParagraph"/>
        <w:numPr>
          <w:ilvl w:val="0"/>
          <w:numId w:val="8"/>
        </w:numPr>
        <w:spacing w:line="360" w:lineRule="auto"/>
        <w:jc w:val="both"/>
      </w:pPr>
      <w:r>
        <w:t>A</w:t>
      </w:r>
      <w:r w:rsidR="00874B91" w:rsidRPr="00E20517">
        <w:rPr>
          <w:i/>
        </w:rPr>
        <w:t xml:space="preserve"> Universal </w:t>
      </w:r>
      <w:r w:rsidR="00874B91">
        <w:t>data set includes every applicable system in the training and test data</w:t>
      </w:r>
      <w:r w:rsidR="007F04C2">
        <w:t>. This type is</w:t>
      </w:r>
      <w:r w:rsidR="00874B91">
        <w:t xml:space="preserve"> an expansion of the Shared data set. </w:t>
      </w:r>
    </w:p>
    <w:p w14:paraId="216B64A3" w14:textId="77777777" w:rsidR="00CF717C" w:rsidRDefault="00874B91" w:rsidP="00B51EA8">
      <w:pPr>
        <w:spacing w:line="360" w:lineRule="auto"/>
        <w:jc w:val="both"/>
      </w:pPr>
      <w:r>
        <w:t xml:space="preserve">These </w:t>
      </w:r>
      <w:r w:rsidR="009C0370">
        <w:t>five</w:t>
      </w:r>
      <w:r>
        <w:t xml:space="preserve"> data sets are illustrated in Figure </w:t>
      </w:r>
      <w:r w:rsidR="000E761C">
        <w:t xml:space="preserve">3 </w:t>
      </w:r>
      <w:r>
        <w:t>with details on how to easily identify each type.</w:t>
      </w:r>
    </w:p>
    <w:p w14:paraId="30008B18" w14:textId="77777777" w:rsidR="00D43DB1" w:rsidRDefault="00D43DB1" w:rsidP="00635896">
      <w:pPr>
        <w:spacing w:line="360" w:lineRule="auto"/>
        <w:jc w:val="both"/>
        <w:rPr>
          <w:b/>
        </w:rPr>
      </w:pPr>
    </w:p>
    <w:p w14:paraId="1FE4F54E" w14:textId="77777777" w:rsidR="00183247" w:rsidRDefault="00183247" w:rsidP="00635896">
      <w:pPr>
        <w:spacing w:line="360" w:lineRule="auto"/>
        <w:jc w:val="both"/>
        <w:rPr>
          <w:b/>
        </w:rPr>
      </w:pPr>
    </w:p>
    <w:p w14:paraId="2DA38628" w14:textId="77777777" w:rsidR="00183247" w:rsidRDefault="00183247" w:rsidP="00635896">
      <w:pPr>
        <w:spacing w:line="360" w:lineRule="auto"/>
        <w:jc w:val="both"/>
        <w:rPr>
          <w:b/>
        </w:rPr>
      </w:pPr>
    </w:p>
    <w:p w14:paraId="755E77AE" w14:textId="77777777" w:rsidR="00183247" w:rsidRDefault="00183247" w:rsidP="00635896">
      <w:pPr>
        <w:spacing w:line="360" w:lineRule="auto"/>
        <w:jc w:val="both"/>
        <w:rPr>
          <w:b/>
        </w:rPr>
      </w:pPr>
    </w:p>
    <w:p w14:paraId="44225588" w14:textId="77777777" w:rsidR="00183247" w:rsidRDefault="00183247" w:rsidP="00635896">
      <w:pPr>
        <w:spacing w:line="360" w:lineRule="auto"/>
        <w:jc w:val="both"/>
        <w:rPr>
          <w:b/>
        </w:rPr>
      </w:pPr>
      <w:r>
        <w:rPr>
          <w:b/>
          <w:noProof/>
        </w:rPr>
        <w:lastRenderedPageBreak/>
        <w:drawing>
          <wp:inline distT="0" distB="0" distL="0" distR="0" wp14:anchorId="3764DDA6" wp14:editId="3397EDCA">
            <wp:extent cx="5382236" cy="6826250"/>
            <wp:effectExtent l="0" t="0" r="9525" b="0"/>
            <wp:docPr id="2" name="Picture 2" descr="C:\plap\COMMUNICATION\my_publications\papers\papers_2016\215_ala_helix_III\manuscript\Fig3_v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lap\COMMUNICATION\my_publications\papers\papers_2016\215_ala_helix_III\manuscript\Fig3_v4.b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82236" cy="6826250"/>
                    </a:xfrm>
                    <a:prstGeom prst="rect">
                      <a:avLst/>
                    </a:prstGeom>
                    <a:noFill/>
                    <a:ln>
                      <a:noFill/>
                    </a:ln>
                  </pic:spPr>
                </pic:pic>
              </a:graphicData>
            </a:graphic>
          </wp:inline>
        </w:drawing>
      </w:r>
    </w:p>
    <w:p w14:paraId="74381E0A" w14:textId="77777777" w:rsidR="00CF717C" w:rsidRDefault="00CF717C" w:rsidP="00E4525D">
      <w:pPr>
        <w:spacing w:after="0" w:line="360" w:lineRule="auto"/>
        <w:jc w:val="both"/>
      </w:pPr>
      <w:proofErr w:type="gramStart"/>
      <w:r w:rsidRPr="000949AE">
        <w:rPr>
          <w:b/>
        </w:rPr>
        <w:t xml:space="preserve">Figure </w:t>
      </w:r>
      <w:r w:rsidR="000E761C">
        <w:rPr>
          <w:b/>
        </w:rPr>
        <w:t>3</w:t>
      </w:r>
      <w:r w:rsidR="00784AE7">
        <w:rPr>
          <w:b/>
        </w:rPr>
        <w:t>.</w:t>
      </w:r>
      <w:proofErr w:type="gramEnd"/>
      <w:r>
        <w:t xml:space="preserve"> </w:t>
      </w:r>
      <w:r w:rsidR="00A119A3">
        <w:t xml:space="preserve">Anatomy of a data set and how to differentiate between each of the 5 data set types used in this study. Regular and Mismatched data sets use kriging models with a single system’s training data. Shared and </w:t>
      </w:r>
      <w:proofErr w:type="gramStart"/>
      <w:r w:rsidR="00A119A3">
        <w:t>Transferred</w:t>
      </w:r>
      <w:proofErr w:type="gramEnd"/>
      <w:r w:rsidR="00A119A3">
        <w:t xml:space="preserve"> data sets use kriging models comprised of multiple systems’ training data. Universal data sets can be thought of as a special type of Shared data set that contains data for </w:t>
      </w:r>
      <w:r w:rsidR="00A119A3" w:rsidRPr="00700B4A">
        <w:rPr>
          <w:i/>
        </w:rPr>
        <w:t>all</w:t>
      </w:r>
      <w:r w:rsidR="00A119A3">
        <w:t xml:space="preserve"> available molecular systems.</w:t>
      </w:r>
    </w:p>
    <w:p w14:paraId="27E56B75" w14:textId="77777777" w:rsidR="00656523" w:rsidRDefault="00656523" w:rsidP="00E4525D">
      <w:pPr>
        <w:spacing w:after="0" w:line="360" w:lineRule="auto"/>
        <w:jc w:val="both"/>
      </w:pPr>
    </w:p>
    <w:p w14:paraId="27582ADE" w14:textId="77777777" w:rsidR="00CF717C" w:rsidRDefault="00784AE7" w:rsidP="0041116C">
      <w:pPr>
        <w:spacing w:after="0" w:line="360" w:lineRule="auto"/>
        <w:jc w:val="both"/>
      </w:pPr>
      <w:r>
        <w:lastRenderedPageBreak/>
        <w:t xml:space="preserve">          </w:t>
      </w:r>
      <w:r w:rsidR="00385604">
        <w:t xml:space="preserve">It should be noted that a Regular data set has no removed features and thus </w:t>
      </w:r>
      <w:r w:rsidR="00700B4A">
        <w:t>contains</w:t>
      </w:r>
      <w:r w:rsidR="00385604">
        <w:t xml:space="preserve"> a complete description of the system. A Regular data set is a ‘gold standard’ in terms of kriging prediction accuracy but </w:t>
      </w:r>
      <w:r w:rsidR="00700B4A">
        <w:t xml:space="preserve">it </w:t>
      </w:r>
      <w:r w:rsidR="00385604">
        <w:t xml:space="preserve">is computationally expensive </w:t>
      </w:r>
      <w:r w:rsidR="00700B4A">
        <w:t>because it does not benefit from feature reduction (compared to the other types of data set</w:t>
      </w:r>
      <w:r w:rsidR="0041116C">
        <w:t>,</w:t>
      </w:r>
      <w:r w:rsidR="00700B4A">
        <w:t xml:space="preserve"> which do)</w:t>
      </w:r>
      <w:r w:rsidR="009C0370">
        <w:t>.</w:t>
      </w:r>
      <w:r w:rsidR="00700B4A">
        <w:t xml:space="preserve"> </w:t>
      </w:r>
      <w:r w:rsidR="00465297">
        <w:t>Of course, a Regular data set does</w:t>
      </w:r>
      <w:r w:rsidR="00700B4A">
        <w:t xml:space="preserve"> not </w:t>
      </w:r>
      <w:r w:rsidR="00465297">
        <w:t xml:space="preserve">invoke </w:t>
      </w:r>
      <w:r w:rsidR="00700B4A">
        <w:t>transferab</w:t>
      </w:r>
      <w:r w:rsidR="00465297">
        <w:t>ility.</w:t>
      </w:r>
      <w:r w:rsidR="00700B4A">
        <w:t xml:space="preserve"> </w:t>
      </w:r>
      <w:r w:rsidR="009C0370">
        <w:t xml:space="preserve">On the other hand, </w:t>
      </w:r>
      <w:r w:rsidR="009279E9">
        <w:t>Mismatched, Shared, Transferred and Universal data sets all have a reduced number of features that d</w:t>
      </w:r>
      <w:r w:rsidR="00276949">
        <w:t xml:space="preserve">escribe a transferable fragment. </w:t>
      </w:r>
    </w:p>
    <w:p w14:paraId="7C71456F" w14:textId="77777777" w:rsidR="00575A85" w:rsidRDefault="007878DB" w:rsidP="007878DB">
      <w:pPr>
        <w:spacing w:line="360" w:lineRule="auto"/>
        <w:jc w:val="both"/>
      </w:pPr>
      <w:r>
        <w:t xml:space="preserve">         </w:t>
      </w:r>
      <w:r w:rsidR="00874B91">
        <w:t xml:space="preserve">When the kriging model predicts </w:t>
      </w:r>
      <w:r w:rsidR="00B57D49">
        <w:t>atomic charges</w:t>
      </w:r>
      <w:r w:rsidR="00874B91">
        <w:t xml:space="preserve">, </w:t>
      </w:r>
      <w:r w:rsidR="00575A85" w:rsidRPr="00491BE1">
        <w:t xml:space="preserve">we can calculate </w:t>
      </w:r>
      <w:r w:rsidR="00575A85">
        <w:t>the error between</w:t>
      </w:r>
      <w:r w:rsidR="00575A85" w:rsidRPr="00491BE1">
        <w:t xml:space="preserve"> </w:t>
      </w:r>
      <w:r w:rsidR="00874B91">
        <w:t xml:space="preserve">the </w:t>
      </w:r>
      <w:r w:rsidR="00575A85" w:rsidRPr="00491BE1">
        <w:t xml:space="preserve">predicted moments </w:t>
      </w:r>
      <w:r w:rsidR="00575A85">
        <w:t>and their original (</w:t>
      </w:r>
      <w:r w:rsidR="00575A85">
        <w:rPr>
          <w:i/>
        </w:rPr>
        <w:t>ab initio</w:t>
      </w:r>
      <w:r w:rsidR="00575A85">
        <w:t xml:space="preserve">) counterparts. The error of a single </w:t>
      </w:r>
      <w:r w:rsidR="0041116C">
        <w:t>atomic charge</w:t>
      </w:r>
      <w:r w:rsidR="00575A85">
        <w:t xml:space="preserve"> is given in equation 2</w:t>
      </w:r>
      <w:r w:rsidR="00784AE7">
        <w:t>,</w:t>
      </w:r>
    </w:p>
    <w:p w14:paraId="2081BBC5" w14:textId="77777777" w:rsidR="00575A85" w:rsidRPr="00491BE1" w:rsidRDefault="0041116C" w:rsidP="00575A85">
      <w:pPr>
        <w:spacing w:line="360" w:lineRule="auto"/>
        <w:ind w:firstLine="709"/>
        <w:jc w:val="right"/>
      </w:pPr>
      <w:r w:rsidRPr="00B0221D">
        <w:rPr>
          <w:position w:val="-16"/>
        </w:rPr>
        <w:object w:dxaOrig="2040" w:dyaOrig="440" w14:anchorId="668A38F8">
          <v:shape id="_x0000_i1027" type="#_x0000_t75" style="width:112.3pt;height:24.7pt" o:ole="">
            <v:imagedata r:id="rId17" o:title=""/>
          </v:shape>
          <o:OLEObject Type="Embed" ProgID="Equation.DSMT4" ShapeID="_x0000_i1027" DrawAspect="Content" ObjectID="_1548573355" r:id="rId18"/>
        </w:object>
      </w:r>
      <w:r w:rsidR="00575A85">
        <w:tab/>
      </w:r>
      <w:r w:rsidR="00575A85">
        <w:tab/>
      </w:r>
      <w:r w:rsidR="00575A85">
        <w:tab/>
      </w:r>
      <w:r w:rsidR="00575A85">
        <w:tab/>
      </w:r>
      <w:r w:rsidR="00575A85" w:rsidRPr="00491BE1">
        <w:tab/>
      </w:r>
      <w:r w:rsidR="00575A85">
        <w:t>(2</w:t>
      </w:r>
      <w:r w:rsidR="00575A85" w:rsidRPr="00491BE1">
        <w:t>)</w:t>
      </w:r>
    </w:p>
    <w:p w14:paraId="2C0D4591" w14:textId="2F88FCEA" w:rsidR="00255D4E" w:rsidRDefault="00575A85" w:rsidP="007375C1">
      <w:pPr>
        <w:spacing w:after="0" w:line="360" w:lineRule="auto"/>
        <w:jc w:val="both"/>
      </w:pPr>
      <w:proofErr w:type="gramStart"/>
      <w:r w:rsidRPr="00491BE1">
        <w:t>where</w:t>
      </w:r>
      <w:proofErr w:type="gramEnd"/>
      <w:r w:rsidRPr="00491BE1">
        <w:t xml:space="preserve"> Q</w:t>
      </w:r>
      <w:r w:rsidR="0041116C">
        <w:rPr>
          <w:vertAlign w:val="subscript"/>
        </w:rPr>
        <w:t>00</w:t>
      </w:r>
      <w:r w:rsidRPr="00491BE1">
        <w:t xml:space="preserve"> is </w:t>
      </w:r>
      <w:r w:rsidR="0041116C">
        <w:t xml:space="preserve">the notation for a charge, used in the context of </w:t>
      </w:r>
      <w:proofErr w:type="spellStart"/>
      <w:r w:rsidR="0041116C">
        <w:t>multipole</w:t>
      </w:r>
      <w:proofErr w:type="spellEnd"/>
      <w:r w:rsidR="0041116C">
        <w:t xml:space="preserve"> </w:t>
      </w:r>
      <w:r w:rsidRPr="00491BE1">
        <w:t>moment</w:t>
      </w:r>
      <w:r w:rsidR="0041116C">
        <w:t xml:space="preserve">s </w:t>
      </w:r>
      <w:proofErr w:type="spellStart"/>
      <w:r w:rsidR="0041116C" w:rsidRPr="00491BE1">
        <w:t>Q</w:t>
      </w:r>
      <w:r w:rsidR="0041116C">
        <w:rPr>
          <w:vertAlign w:val="subscript"/>
        </w:rPr>
        <w:t>lm</w:t>
      </w:r>
      <w:proofErr w:type="spellEnd"/>
      <w:r w:rsidRPr="00491BE1">
        <w:t xml:space="preserve"> </w:t>
      </w:r>
      <w:r w:rsidR="0041116C">
        <w:t>where</w:t>
      </w:r>
      <w:r w:rsidRPr="00491BE1">
        <w:t xml:space="preserve"> </w:t>
      </w:r>
      <w:r w:rsidRPr="00491BE1">
        <w:rPr>
          <w:rFonts w:ascii="Times New Roman" w:hAnsi="Times New Roman" w:cs="Times New Roman"/>
          <w:i/>
        </w:rPr>
        <w:t>l</w:t>
      </w:r>
      <w:r w:rsidRPr="00491BE1">
        <w:t xml:space="preserve"> </w:t>
      </w:r>
      <w:r w:rsidR="0041116C">
        <w:t xml:space="preserve">is the rank </w:t>
      </w:r>
      <w:r w:rsidRPr="00491BE1">
        <w:t xml:space="preserve">and </w:t>
      </w:r>
      <w:r w:rsidR="0041116C" w:rsidRPr="0041116C">
        <w:rPr>
          <w:i/>
        </w:rPr>
        <w:t>m</w:t>
      </w:r>
      <w:r w:rsidR="0041116C">
        <w:t xml:space="preserve"> the </w:t>
      </w:r>
      <w:r w:rsidRPr="00491BE1">
        <w:t xml:space="preserve">component. </w:t>
      </w:r>
      <w:r>
        <w:t>The focus of this work revolves around the charge</w:t>
      </w:r>
      <w:r w:rsidR="004D4B19">
        <w:fldChar w:fldCharType="begin"/>
      </w:r>
      <w:r w:rsidR="00D12C1D">
        <w:instrText xml:space="preserve"> ADDIN EN.CITE &lt;EndNote&gt;&lt;Cite&gt;&lt;Author&gt;Bultinck&lt;/Author&gt;&lt;Year&gt;2004&lt;/Year&gt;&lt;RecNum&gt;4019&lt;/RecNum&gt;&lt;DisplayText&gt;&lt;style face="superscript"&gt;42&lt;/style&gt;&lt;/DisplayText&gt;&lt;record&gt;&lt;rec-number&gt;4019&lt;/rec-number&gt;&lt;foreign-keys&gt;&lt;key app="EN" db-id="t25z50tvn5wv5he905wvarvjr5xzsaxpadra" timestamp="0"&gt;4019&lt;/key&gt;&lt;/foreign-keys&gt;&lt;ref-type name="Journal Article"&gt;17&lt;/ref-type&gt;&lt;contributors&gt;&lt;authors&gt;&lt;author&gt;Bultinck, P.&lt;/author&gt;&lt;author&gt;Vanholme, R.&lt;/author&gt;&lt;author&gt;Popelier, P.L.A.&lt;/author&gt;&lt;author&gt;De Proft, F.&lt;/author&gt;&lt;author&gt;Geerlings, P.&lt;/author&gt;&lt;/authors&gt;&lt;/contributors&gt;&lt;titles&gt;&lt;title&gt;High-Speed Calculation of AIM Charges through the Electronegativity Equalization Method&lt;/title&gt;&lt;secondary-title&gt;J.Phys.Chem.A&lt;/secondary-title&gt;&lt;/titles&gt;&lt;periodical&gt;&lt;full-title&gt;J.Phys.Chem.A&lt;/full-title&gt;&lt;/periodical&gt;&lt;pages&gt;10359-10366&lt;/pages&gt;&lt;volume&gt;108&lt;/volume&gt;&lt;dates&gt;&lt;year&gt;2004&lt;/year&gt;&lt;/dates&gt;&lt;urls&gt;&lt;/urls&gt;&lt;/record&gt;&lt;/Cite&gt;&lt;/EndNote&gt;</w:instrText>
      </w:r>
      <w:r w:rsidR="004D4B19">
        <w:fldChar w:fldCharType="separate"/>
      </w:r>
      <w:r w:rsidR="00D12C1D" w:rsidRPr="00D12C1D">
        <w:rPr>
          <w:noProof/>
          <w:vertAlign w:val="superscript"/>
        </w:rPr>
        <w:t>42</w:t>
      </w:r>
      <w:r w:rsidR="004D4B19">
        <w:fldChar w:fldCharType="end"/>
      </w:r>
      <w:r>
        <w:t xml:space="preserve"> </w:t>
      </w:r>
      <w:r w:rsidR="00257C01">
        <w:t xml:space="preserve">(rather than higher multipole moments) for two reasons. </w:t>
      </w:r>
      <w:r w:rsidR="00255D4E">
        <w:t>First, i</w:t>
      </w:r>
      <w:r w:rsidR="00257C01">
        <w:t>t can be shown</w:t>
      </w:r>
      <w:r w:rsidR="004D4B19">
        <w:fldChar w:fldCharType="begin"/>
      </w:r>
      <w:r w:rsidR="00D12C1D">
        <w:instrText xml:space="preserve"> ADDIN EN.CITE &lt;EndNote&gt;&lt;Cite&gt;&lt;Author&gt;Mills&lt;/Author&gt;&lt;Year&gt;2012&lt;/Year&gt;&lt;RecNum&gt;5628&lt;/RecNum&gt;&lt;DisplayText&gt;&lt;style face="superscript"&gt;33&lt;/style&gt;&lt;/DisplayText&gt;&lt;record&gt;&lt;rec-number&gt;5628&lt;/rec-number&gt;&lt;foreign-keys&gt;&lt;key app="EN" db-id="t25z50tvn5wv5he905wvarvjr5xzsaxpadra" timestamp="0"&gt;5628&lt;/key&gt;&lt;/foreign-keys&gt;&lt;ref-type name="Journal Article"&gt;17&lt;/ref-type&gt;&lt;contributors&gt;&lt;authors&gt;&lt;author&gt;Mills, M.J.L.&lt;/author&gt;&lt;author&gt;Popelier, P.L.A.&lt;/author&gt;&lt;/authors&gt;&lt;/contributors&gt;&lt;titles&gt;&lt;title&gt;Polarisable multipolar electrostatics from the machine learning method Kriging: an application to alanine.&lt;/title&gt;&lt;secondary-title&gt;Theor.Chem.Acc. &lt;/secondary-title&gt;&lt;/titles&gt;&lt;periodical&gt;&lt;full-title&gt;Theor.Chem.Acc.&lt;/full-title&gt;&lt;/periodical&gt;&lt;pages&gt;1137-1153 &lt;/pages&gt;&lt;volume&gt;131&lt;/volume&gt;&lt;dates&gt;&lt;year&gt;2012&lt;/year&gt;&lt;/dates&gt;&lt;urls&gt;&lt;/urls&gt;&lt;/record&gt;&lt;/Cite&gt;&lt;/EndNote&gt;</w:instrText>
      </w:r>
      <w:r w:rsidR="004D4B19">
        <w:fldChar w:fldCharType="separate"/>
      </w:r>
      <w:r w:rsidR="00D12C1D" w:rsidRPr="00D12C1D">
        <w:rPr>
          <w:noProof/>
          <w:vertAlign w:val="superscript"/>
        </w:rPr>
        <w:t>33</w:t>
      </w:r>
      <w:r w:rsidR="004D4B19">
        <w:fldChar w:fldCharType="end"/>
      </w:r>
      <w:r w:rsidR="00257C01">
        <w:t xml:space="preserve"> mathematically that any effort to improve the accuracy of multipolar electrostatics (which is exact in the limit, provided </w:t>
      </w:r>
      <w:r w:rsidR="007375C1">
        <w:t>the multipole expansion</w:t>
      </w:r>
      <w:r w:rsidR="00257C01">
        <w:t xml:space="preserve"> converges) must focus on the lower rank multipole moments; the monopole </w:t>
      </w:r>
      <w:r w:rsidR="007375C1">
        <w:t>(i.e.</w:t>
      </w:r>
      <w:r w:rsidR="00257C01">
        <w:t xml:space="preserve"> charge</w:t>
      </w:r>
      <w:r w:rsidR="007375C1">
        <w:t>)</w:t>
      </w:r>
      <w:r w:rsidR="00257C01">
        <w:t xml:space="preserve"> </w:t>
      </w:r>
      <w:r w:rsidR="009325BB">
        <w:t xml:space="preserve">has </w:t>
      </w:r>
      <w:r w:rsidR="00257C01">
        <w:t xml:space="preserve">the lowest </w:t>
      </w:r>
      <w:r w:rsidR="009325BB">
        <w:t>rank</w:t>
      </w:r>
      <w:r w:rsidR="00257C01">
        <w:t xml:space="preserve">. </w:t>
      </w:r>
      <w:r w:rsidR="00255D4E">
        <w:t xml:space="preserve">Secondly, the charge-charge contribution to the electrostatic energy is the longest “surviving” </w:t>
      </w:r>
      <w:r w:rsidR="007375C1">
        <w:t xml:space="preserve">one </w:t>
      </w:r>
      <w:r w:rsidR="00255D4E">
        <w:t xml:space="preserve">at very long range, and the vast majority of atom-atom interactions in a protein are of that range. </w:t>
      </w:r>
      <w:r>
        <w:t>The error involved with the reproduction of atomic charges is used to assess the quality of a model and thus the success of implemented transferability.</w:t>
      </w:r>
      <w:r w:rsidR="009325BB">
        <w:t xml:space="preserve"> </w:t>
      </w:r>
    </w:p>
    <w:p w14:paraId="14328CB7" w14:textId="77777777" w:rsidR="00575A85" w:rsidRDefault="00255D4E" w:rsidP="00575A85">
      <w:pPr>
        <w:spacing w:line="360" w:lineRule="auto"/>
        <w:jc w:val="both"/>
      </w:pPr>
      <w:r>
        <w:t xml:space="preserve">            </w:t>
      </w:r>
      <w:r w:rsidR="009325BB">
        <w:t xml:space="preserve">Equation 3 translates an error in a charge of atom </w:t>
      </w:r>
      <w:r w:rsidR="009325BB" w:rsidRPr="009325BB">
        <w:rPr>
          <w:i/>
        </w:rPr>
        <w:t xml:space="preserve">A </w:t>
      </w:r>
      <w:r w:rsidR="009325BB">
        <w:t>into an electrostatic energy, as this atom interacts with atom</w:t>
      </w:r>
      <w:r w:rsidR="009325BB" w:rsidRPr="009325BB">
        <w:rPr>
          <w:i/>
        </w:rPr>
        <w:t xml:space="preserve"> B</w:t>
      </w:r>
      <w:r w:rsidR="009325BB">
        <w:t xml:space="preserve">, at a distance </w:t>
      </w:r>
      <w:proofErr w:type="gramStart"/>
      <w:r w:rsidR="009325BB" w:rsidRPr="0082517C">
        <w:rPr>
          <w:i/>
        </w:rPr>
        <w:t>R</w:t>
      </w:r>
      <w:r w:rsidR="009325BB" w:rsidRPr="0082517C">
        <w:rPr>
          <w:i/>
          <w:vertAlign w:val="subscript"/>
        </w:rPr>
        <w:t>AB</w:t>
      </w:r>
      <w:r w:rsidR="0082517C">
        <w:rPr>
          <w:i/>
          <w:vertAlign w:val="subscript"/>
        </w:rPr>
        <w:t xml:space="preserve"> </w:t>
      </w:r>
      <w:r w:rsidR="009325BB">
        <w:t>,</w:t>
      </w:r>
      <w:proofErr w:type="gramEnd"/>
      <w:r w:rsidR="009325BB">
        <w:t xml:space="preserve"> </w:t>
      </w:r>
      <w:r w:rsidR="007375C1">
        <w:t>that is</w:t>
      </w:r>
      <w:r w:rsidR="009325BB">
        <w:t xml:space="preserve"> </w:t>
      </w:r>
    </w:p>
    <w:p w14:paraId="724D156E" w14:textId="77777777" w:rsidR="009C0370" w:rsidRDefault="0072035C" w:rsidP="009325BB">
      <w:pPr>
        <w:spacing w:line="360" w:lineRule="auto"/>
        <w:jc w:val="center"/>
      </w:pPr>
      <w:r w:rsidRPr="009C0370">
        <w:rPr>
          <w:position w:val="-30"/>
        </w:rPr>
        <w:object w:dxaOrig="2780" w:dyaOrig="780" w14:anchorId="5FB87316">
          <v:shape id="_x0000_i1028" type="#_x0000_t75" style="width:153.65pt;height:43.5pt" o:ole="">
            <v:imagedata r:id="rId19" o:title=""/>
          </v:shape>
          <o:OLEObject Type="Embed" ProgID="Equation.DSMT4" ShapeID="_x0000_i1028" DrawAspect="Content" ObjectID="_1548573356" r:id="rId20"/>
        </w:object>
      </w:r>
      <w:r w:rsidR="009325BB">
        <w:t xml:space="preserve">                                        (3)</w:t>
      </w:r>
    </w:p>
    <w:p w14:paraId="123C0BB5" w14:textId="77777777" w:rsidR="00D10DFB" w:rsidRDefault="009325BB" w:rsidP="009325BB">
      <w:pPr>
        <w:spacing w:line="360" w:lineRule="auto"/>
        <w:jc w:val="both"/>
      </w:pPr>
      <w:r>
        <w:t xml:space="preserve">         </w:t>
      </w:r>
      <w:r w:rsidR="0072035C">
        <w:t>For convenience, t</w:t>
      </w:r>
      <w:r>
        <w:t xml:space="preserve">his equation takes the atomic charge in </w:t>
      </w:r>
      <w:proofErr w:type="spellStart"/>
      <w:r>
        <w:t>milli</w:t>
      </w:r>
      <w:proofErr w:type="spellEnd"/>
      <w:r>
        <w:t>-electron (me), which is one thousandth of an atomic unit of charge</w:t>
      </w:r>
      <w:r w:rsidR="007375C1">
        <w:t>. Equation (3) takes</w:t>
      </w:r>
      <w:r>
        <w:t xml:space="preserve"> the distance in </w:t>
      </w:r>
      <w:r w:rsidR="0072035C">
        <w:t>Å</w:t>
      </w:r>
      <w:r>
        <w:t xml:space="preserve">, and returns </w:t>
      </w:r>
      <w:r w:rsidR="0072035C">
        <w:t>the energy in kJmol</w:t>
      </w:r>
      <w:r w:rsidR="0072035C" w:rsidRPr="0072035C">
        <w:rPr>
          <w:vertAlign w:val="superscript"/>
        </w:rPr>
        <w:t>-1</w:t>
      </w:r>
      <w:r>
        <w:t xml:space="preserve">. </w:t>
      </w:r>
      <w:r w:rsidR="00255D4E">
        <w:t xml:space="preserve">For example, if the charge error is </w:t>
      </w:r>
      <w:proofErr w:type="gramStart"/>
      <w:r w:rsidR="00255D4E">
        <w:t>10 me</w:t>
      </w:r>
      <w:proofErr w:type="gramEnd"/>
      <w:r w:rsidR="00255D4E">
        <w:t xml:space="preserve"> then the energy of its interaction with a test charge of 1000 me </w:t>
      </w:r>
      <w:r w:rsidR="007375C1">
        <w:t xml:space="preserve">that is </w:t>
      </w:r>
      <w:r w:rsidR="00255D4E">
        <w:t xml:space="preserve">10 Å away </w:t>
      </w:r>
      <w:r w:rsidR="0082517C">
        <w:t>will be 1.4 kJmol</w:t>
      </w:r>
      <w:r w:rsidR="0082517C" w:rsidRPr="0082517C">
        <w:rPr>
          <w:vertAlign w:val="superscript"/>
        </w:rPr>
        <w:t>-1</w:t>
      </w:r>
      <w:r w:rsidR="0082517C">
        <w:t>.</w:t>
      </w:r>
    </w:p>
    <w:p w14:paraId="2499E437" w14:textId="77777777" w:rsidR="00D10DFB" w:rsidRDefault="00D10DFB" w:rsidP="00B76CEE">
      <w:pPr>
        <w:spacing w:line="360" w:lineRule="auto"/>
        <w:ind w:firstLine="720"/>
        <w:jc w:val="both"/>
      </w:pPr>
    </w:p>
    <w:p w14:paraId="3ED4D411" w14:textId="77777777" w:rsidR="00D10DFB" w:rsidRDefault="00D10DFB" w:rsidP="00B76CEE">
      <w:pPr>
        <w:spacing w:line="360" w:lineRule="auto"/>
        <w:ind w:firstLine="720"/>
        <w:jc w:val="both"/>
      </w:pPr>
    </w:p>
    <w:p w14:paraId="05D871F6" w14:textId="77777777" w:rsidR="00D10DFB" w:rsidRDefault="00D10DFB" w:rsidP="00B76CEE">
      <w:pPr>
        <w:spacing w:line="360" w:lineRule="auto"/>
        <w:ind w:firstLine="720"/>
        <w:jc w:val="both"/>
      </w:pPr>
    </w:p>
    <w:p w14:paraId="5B989F6A" w14:textId="77777777" w:rsidR="00052A5E" w:rsidRDefault="009E285E" w:rsidP="00B76CEE">
      <w:pPr>
        <w:spacing w:line="360" w:lineRule="auto"/>
        <w:ind w:firstLine="720"/>
        <w:jc w:val="both"/>
      </w:pPr>
      <w:r>
        <w:lastRenderedPageBreak/>
        <w:t>Finally,</w:t>
      </w:r>
      <w:r w:rsidR="0038414F">
        <w:t xml:space="preserve"> we introduce </w:t>
      </w:r>
      <w:r>
        <w:t>a</w:t>
      </w:r>
      <w:r w:rsidR="009C0370">
        <w:t xml:space="preserve"> </w:t>
      </w:r>
      <w:r w:rsidR="00D10DFB" w:rsidRPr="007375C1">
        <w:rPr>
          <w:i/>
        </w:rPr>
        <w:t>Custom (</w:t>
      </w:r>
      <w:proofErr w:type="spellStart"/>
      <w:r>
        <w:t>deca</w:t>
      </w:r>
      <w:proofErr w:type="spellEnd"/>
      <w:proofErr w:type="gramStart"/>
      <w:r w:rsidR="00D10DFB">
        <w:t>)</w:t>
      </w:r>
      <w:r>
        <w:t>peptide</w:t>
      </w:r>
      <w:proofErr w:type="gramEnd"/>
      <w:r w:rsidR="0041116C">
        <w:t>:</w:t>
      </w:r>
      <w:r>
        <w:t xml:space="preserve"> </w:t>
      </w:r>
      <w:r w:rsidRPr="00405F9E">
        <w:rPr>
          <w:b/>
        </w:rPr>
        <w:t>VAL</w:t>
      </w:r>
      <w:r>
        <w:t>-ALA-</w:t>
      </w:r>
      <w:r w:rsidRPr="00405F9E">
        <w:rPr>
          <w:b/>
        </w:rPr>
        <w:t>GLY</w:t>
      </w:r>
      <w:r>
        <w:t>-ALA-</w:t>
      </w:r>
      <w:r w:rsidRPr="00405F9E">
        <w:rPr>
          <w:b/>
        </w:rPr>
        <w:t>THR</w:t>
      </w:r>
      <w:r>
        <w:t>-ALA-</w:t>
      </w:r>
      <w:r w:rsidRPr="00405F9E">
        <w:rPr>
          <w:b/>
        </w:rPr>
        <w:t>CYS</w:t>
      </w:r>
      <w:r>
        <w:t>-ALA-</w:t>
      </w:r>
      <w:r w:rsidRPr="00405F9E">
        <w:rPr>
          <w:b/>
        </w:rPr>
        <w:t>ASN</w:t>
      </w:r>
      <w:r w:rsidR="00D2182A">
        <w:t>-ALA</w:t>
      </w:r>
      <w:r w:rsidR="00405F9E">
        <w:t xml:space="preserve">, where the </w:t>
      </w:r>
      <w:r w:rsidR="00D10DFB">
        <w:t xml:space="preserve">bold emphasises the substituted </w:t>
      </w:r>
      <w:proofErr w:type="spellStart"/>
      <w:r w:rsidR="00D10DFB">
        <w:t>alanines</w:t>
      </w:r>
      <w:proofErr w:type="spellEnd"/>
      <w:r>
        <w:t>.</w:t>
      </w:r>
      <w:r w:rsidR="0038414F">
        <w:t xml:space="preserve"> </w:t>
      </w:r>
      <w:r>
        <w:t xml:space="preserve">This </w:t>
      </w:r>
      <w:proofErr w:type="spellStart"/>
      <w:r>
        <w:t>decapeptide</w:t>
      </w:r>
      <w:proofErr w:type="spellEnd"/>
      <w:r w:rsidR="00D10DFB">
        <w:t xml:space="preserve"> </w:t>
      </w:r>
      <w:r w:rsidR="0038414F">
        <w:t xml:space="preserve">is created in identical fashion to the </w:t>
      </w:r>
      <w:r w:rsidR="00C60C50">
        <w:t>first set of 9 peptides in that it is a substituted alanine helix</w:t>
      </w:r>
      <w:r w:rsidR="0038414F">
        <w:t xml:space="preserve">. In </w:t>
      </w:r>
      <w:r>
        <w:t xml:space="preserve">the </w:t>
      </w:r>
      <w:r w:rsidRPr="007375C1">
        <w:rPr>
          <w:i/>
        </w:rPr>
        <w:t>Custom peptide</w:t>
      </w:r>
      <w:r w:rsidR="0038414F">
        <w:t xml:space="preserve">, </w:t>
      </w:r>
      <w:r w:rsidR="009C0370">
        <w:t>five</w:t>
      </w:r>
      <w:r w:rsidR="00236E17">
        <w:t xml:space="preserve"> different </w:t>
      </w:r>
      <w:r w:rsidR="009C0370">
        <w:t xml:space="preserve">but now simultaneous </w:t>
      </w:r>
      <w:r w:rsidR="00236E17">
        <w:t xml:space="preserve">substitutions are made at the </w:t>
      </w:r>
      <w:r w:rsidR="0038414F">
        <w:t xml:space="preserve">1, 3, 5, 7 and 9 </w:t>
      </w:r>
      <w:r w:rsidR="00236E17">
        <w:t>positions along the alanine helix to c</w:t>
      </w:r>
      <w:r w:rsidR="00106F2F">
        <w:t xml:space="preserve">reate a new </w:t>
      </w:r>
      <w:proofErr w:type="spellStart"/>
      <w:r w:rsidR="00106F2F">
        <w:t>decape</w:t>
      </w:r>
      <w:r w:rsidR="0038414F">
        <w:t>ptide</w:t>
      </w:r>
      <w:proofErr w:type="spellEnd"/>
      <w:r w:rsidR="00C60C50">
        <w:t xml:space="preserve">, a schematic for which is shown in </w:t>
      </w:r>
      <w:r w:rsidR="0038414F">
        <w:t xml:space="preserve">Figure </w:t>
      </w:r>
      <w:r w:rsidR="000E761C">
        <w:t>4</w:t>
      </w:r>
      <w:r w:rsidR="0038414F">
        <w:t>.</w:t>
      </w:r>
    </w:p>
    <w:p w14:paraId="0928966E" w14:textId="77777777" w:rsidR="008C33E6" w:rsidRDefault="008C33E6" w:rsidP="00B76CEE">
      <w:pPr>
        <w:spacing w:line="360" w:lineRule="auto"/>
        <w:ind w:firstLine="720"/>
        <w:jc w:val="both"/>
      </w:pPr>
    </w:p>
    <w:p w14:paraId="751FA32B" w14:textId="77777777" w:rsidR="00D10DFB" w:rsidRDefault="008C33E6" w:rsidP="007375C1">
      <w:pPr>
        <w:spacing w:after="0" w:line="360" w:lineRule="auto"/>
        <w:jc w:val="center"/>
        <w:rPr>
          <w:b/>
        </w:rPr>
      </w:pPr>
      <w:r>
        <w:rPr>
          <w:noProof/>
        </w:rPr>
        <w:drawing>
          <wp:inline distT="0" distB="0" distL="0" distR="0" wp14:anchorId="4223E989" wp14:editId="76C2FEBD">
            <wp:extent cx="5152030" cy="1423002"/>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Peptide.b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163186" cy="1426083"/>
                    </a:xfrm>
                    <a:prstGeom prst="rect">
                      <a:avLst/>
                    </a:prstGeom>
                  </pic:spPr>
                </pic:pic>
              </a:graphicData>
            </a:graphic>
          </wp:inline>
        </w:drawing>
      </w:r>
      <w:r w:rsidR="007A01B2">
        <w:br/>
      </w:r>
    </w:p>
    <w:p w14:paraId="59C3A513" w14:textId="77777777" w:rsidR="007D63C3" w:rsidRPr="008C33E6" w:rsidRDefault="007A01B2" w:rsidP="005E670C">
      <w:pPr>
        <w:spacing w:after="0" w:line="360" w:lineRule="auto"/>
        <w:jc w:val="both"/>
      </w:pPr>
      <w:proofErr w:type="gramStart"/>
      <w:r w:rsidRPr="007D63C3">
        <w:rPr>
          <w:b/>
        </w:rPr>
        <w:t xml:space="preserve">Figure </w:t>
      </w:r>
      <w:r w:rsidR="000E761C">
        <w:rPr>
          <w:b/>
        </w:rPr>
        <w:t>4</w:t>
      </w:r>
      <w:r w:rsidR="002E4C91">
        <w:rPr>
          <w:b/>
        </w:rPr>
        <w:t>.</w:t>
      </w:r>
      <w:proofErr w:type="gramEnd"/>
      <w:r>
        <w:t xml:space="preserve"> </w:t>
      </w:r>
      <w:proofErr w:type="gramStart"/>
      <w:r w:rsidRPr="00D2182A">
        <w:t xml:space="preserve">Schematic view of </w:t>
      </w:r>
      <w:r w:rsidR="009E285E" w:rsidRPr="00D2182A">
        <w:t xml:space="preserve">the </w:t>
      </w:r>
      <w:r w:rsidR="009E285E" w:rsidRPr="007375C1">
        <w:rPr>
          <w:i/>
        </w:rPr>
        <w:t>Custom peptide</w:t>
      </w:r>
      <w:r w:rsidR="00D10DFB">
        <w:t xml:space="preserve">, which is </w:t>
      </w:r>
      <w:r w:rsidRPr="00D2182A">
        <w:t xml:space="preserve">a </w:t>
      </w:r>
      <w:r w:rsidR="009E285E" w:rsidRPr="00D2182A">
        <w:t xml:space="preserve">highly </w:t>
      </w:r>
      <w:r w:rsidRPr="00D2182A">
        <w:t xml:space="preserve">substituted </w:t>
      </w:r>
      <w:proofErr w:type="spellStart"/>
      <w:r w:rsidRPr="00D2182A">
        <w:t>deca</w:t>
      </w:r>
      <w:proofErr w:type="spellEnd"/>
      <w:r w:rsidR="00BB24A4">
        <w:t>-</w:t>
      </w:r>
      <w:r w:rsidRPr="00D2182A">
        <w:t>alanine helix.</w:t>
      </w:r>
      <w:proofErr w:type="gramEnd"/>
      <w:r w:rsidRPr="00D2182A">
        <w:t xml:space="preserve"> Substitutions for natural amino acids occur at residues 1, 3, 5, 7 and 9 (V, G, T, C, R, respectively, in blue circles). </w:t>
      </w:r>
      <w:r w:rsidR="00D24CFD" w:rsidRPr="00D2182A">
        <w:t>This results in 4 alanine residues (positions 2, 4, 6, 8</w:t>
      </w:r>
      <w:r w:rsidR="008C33E6" w:rsidRPr="00D2182A">
        <w:t>, in red circles</w:t>
      </w:r>
      <w:r w:rsidR="00D24CFD" w:rsidRPr="00D2182A">
        <w:t>) that are flanked by two sub</w:t>
      </w:r>
      <w:r w:rsidR="0000310C" w:rsidRPr="00D2182A">
        <w:t>stituted residues</w:t>
      </w:r>
      <w:r w:rsidR="008C33E6" w:rsidRPr="00D2182A">
        <w:t xml:space="preserve"> and are used for modelling in this work. The final </w:t>
      </w:r>
      <w:r w:rsidR="009C0370">
        <w:t>(10</w:t>
      </w:r>
      <w:r w:rsidR="009C0370" w:rsidRPr="00D10DFB">
        <w:rPr>
          <w:vertAlign w:val="superscript"/>
        </w:rPr>
        <w:t>th</w:t>
      </w:r>
      <w:r w:rsidR="009C0370">
        <w:t xml:space="preserve">) </w:t>
      </w:r>
      <w:r w:rsidR="008C33E6" w:rsidRPr="00D2182A">
        <w:t xml:space="preserve">alanine residue </w:t>
      </w:r>
      <w:r w:rsidR="009C0370">
        <w:t xml:space="preserve">(utmost right) </w:t>
      </w:r>
      <w:r w:rsidR="008C33E6" w:rsidRPr="00D2182A">
        <w:t xml:space="preserve">is not modelled in this work </w:t>
      </w:r>
      <w:r w:rsidR="009C0370">
        <w:t xml:space="preserve">(and hence not marked in red) </w:t>
      </w:r>
      <w:r w:rsidR="008C33E6" w:rsidRPr="00D2182A">
        <w:t>due to its proximity to the terminal atoms.</w:t>
      </w:r>
    </w:p>
    <w:p w14:paraId="41A0BEDE" w14:textId="77777777" w:rsidR="007D63C3" w:rsidRDefault="007D63C3" w:rsidP="005E670C">
      <w:pPr>
        <w:spacing w:after="0" w:line="360" w:lineRule="auto"/>
        <w:rPr>
          <w:i/>
        </w:rPr>
      </w:pPr>
    </w:p>
    <w:p w14:paraId="462C1F79" w14:textId="07026E6E" w:rsidR="00FF6149" w:rsidRDefault="00FF6149" w:rsidP="005E670C">
      <w:pPr>
        <w:spacing w:after="0" w:line="360" w:lineRule="auto"/>
        <w:rPr>
          <w:i/>
        </w:rPr>
      </w:pPr>
    </w:p>
    <w:p w14:paraId="03531ACD" w14:textId="77777777" w:rsidR="00DA74E9" w:rsidRDefault="00DA74E9" w:rsidP="005E670C">
      <w:pPr>
        <w:spacing w:after="0" w:line="360" w:lineRule="auto"/>
        <w:rPr>
          <w:i/>
        </w:rPr>
      </w:pPr>
    </w:p>
    <w:p w14:paraId="25C047B7" w14:textId="77777777" w:rsidR="00183247" w:rsidRDefault="00183247" w:rsidP="005E670C">
      <w:pPr>
        <w:spacing w:after="0" w:line="360" w:lineRule="auto"/>
        <w:rPr>
          <w:i/>
        </w:rPr>
      </w:pPr>
    </w:p>
    <w:p w14:paraId="5C8BFA64" w14:textId="77777777" w:rsidR="00D1589A" w:rsidRDefault="005E670C" w:rsidP="00D10DFB">
      <w:pPr>
        <w:spacing w:after="0" w:line="360" w:lineRule="auto"/>
        <w:jc w:val="both"/>
      </w:pPr>
      <w:r>
        <w:t xml:space="preserve">       </w:t>
      </w:r>
      <w:r w:rsidR="009E285E">
        <w:t xml:space="preserve">The Custom peptide </w:t>
      </w:r>
      <w:r w:rsidR="007D63C3">
        <w:t xml:space="preserve">is the final test for transferable models, simulating </w:t>
      </w:r>
      <w:r w:rsidR="00C60C50">
        <w:t xml:space="preserve">4 different scenarios of an alanine residue in </w:t>
      </w:r>
      <w:r w:rsidR="007D63C3">
        <w:t xml:space="preserve">a random peptide sequence. In a manner identical to previously-described data sets, 2000 </w:t>
      </w:r>
      <w:r w:rsidR="007375C1">
        <w:t>geometries</w:t>
      </w:r>
      <w:r w:rsidR="007D63C3">
        <w:t xml:space="preserve"> of this helix are generated and have their </w:t>
      </w:r>
      <w:proofErr w:type="spellStart"/>
      <w:r w:rsidR="007D63C3">
        <w:t>wavefunctions</w:t>
      </w:r>
      <w:proofErr w:type="spellEnd"/>
      <w:r w:rsidR="007D63C3">
        <w:t xml:space="preserve"> and </w:t>
      </w:r>
      <w:r w:rsidR="00B57D49">
        <w:t>atomic charges</w:t>
      </w:r>
      <w:r w:rsidR="007D63C3">
        <w:t xml:space="preserve"> calculated before training sets </w:t>
      </w:r>
      <w:r w:rsidR="007375C1">
        <w:t>we</w:t>
      </w:r>
      <w:r w:rsidR="007D63C3">
        <w:t>re made.</w:t>
      </w:r>
      <w:r w:rsidR="00D1589A">
        <w:t xml:space="preserve"> Note that 20,000 </w:t>
      </w:r>
      <w:proofErr w:type="spellStart"/>
      <w:r w:rsidR="00D1589A">
        <w:t>wavefunctions</w:t>
      </w:r>
      <w:proofErr w:type="spellEnd"/>
      <w:r w:rsidR="00D1589A">
        <w:t xml:space="preserve"> are generated because there are 2,000 geometries for each of the 10 possible systems, </w:t>
      </w:r>
      <w:r w:rsidR="00D26E48">
        <w:t>consisting of</w:t>
      </w:r>
      <w:r w:rsidR="00D1589A">
        <w:t xml:space="preserve"> the Custom peptide and the 9 </w:t>
      </w:r>
      <w:r w:rsidR="00D26E48">
        <w:t>s</w:t>
      </w:r>
      <w:r w:rsidR="00D1589A">
        <w:t>ingl</w:t>
      </w:r>
      <w:r w:rsidR="00D26E48">
        <w:t>e</w:t>
      </w:r>
      <w:r w:rsidR="00D1589A">
        <w:t xml:space="preserve">-substituted </w:t>
      </w:r>
      <w:proofErr w:type="spellStart"/>
      <w:r w:rsidR="00D1589A">
        <w:t>deca-alanines</w:t>
      </w:r>
      <w:proofErr w:type="spellEnd"/>
      <w:r w:rsidR="00D1589A">
        <w:t>.</w:t>
      </w:r>
    </w:p>
    <w:p w14:paraId="0111B00A" w14:textId="77777777" w:rsidR="00512ECC" w:rsidRDefault="005E670C" w:rsidP="005E670C">
      <w:pPr>
        <w:spacing w:after="0" w:line="360" w:lineRule="auto"/>
        <w:jc w:val="both"/>
      </w:pPr>
      <w:r>
        <w:t xml:space="preserve">    </w:t>
      </w:r>
      <w:r w:rsidR="00D10DFB">
        <w:t xml:space="preserve">     </w:t>
      </w:r>
      <w:r>
        <w:t xml:space="preserve"> </w:t>
      </w:r>
      <w:r w:rsidR="00512ECC">
        <w:t xml:space="preserve">It is our ultimate goal to create </w:t>
      </w:r>
      <w:r w:rsidR="001754C0">
        <w:t xml:space="preserve">simple, transferable </w:t>
      </w:r>
      <w:r w:rsidR="00512ECC">
        <w:t>models using data from the 9 sing</w:t>
      </w:r>
      <w:r w:rsidR="009B7A35">
        <w:t>le-</w:t>
      </w:r>
      <w:r w:rsidR="00512ECC">
        <w:t xml:space="preserve">substituted </w:t>
      </w:r>
      <w:proofErr w:type="spellStart"/>
      <w:r w:rsidR="00512ECC">
        <w:t>decapeptides</w:t>
      </w:r>
      <w:proofErr w:type="spellEnd"/>
      <w:r w:rsidR="00512ECC">
        <w:t xml:space="preserve"> and use those models to predict </w:t>
      </w:r>
      <w:r w:rsidR="001754C0">
        <w:t xml:space="preserve">atoms in the Custom </w:t>
      </w:r>
      <w:proofErr w:type="spellStart"/>
      <w:r w:rsidR="001754C0">
        <w:t>decapeptide</w:t>
      </w:r>
      <w:proofErr w:type="spellEnd"/>
      <w:r w:rsidR="001754C0">
        <w:t xml:space="preserve">. </w:t>
      </w:r>
      <w:r w:rsidR="00D10DFB">
        <w:t>In this work, a</w:t>
      </w:r>
      <w:r w:rsidR="001754C0">
        <w:t>lanine C</w:t>
      </w:r>
      <w:r w:rsidR="002D30DD">
        <w:rPr>
          <w:vertAlign w:val="subscript"/>
        </w:rPr>
        <w:t>α</w:t>
      </w:r>
      <w:r w:rsidR="001754C0">
        <w:t xml:space="preserve"> and </w:t>
      </w:r>
      <w:proofErr w:type="spellStart"/>
      <w:r w:rsidR="001754C0">
        <w:t>H</w:t>
      </w:r>
      <w:r w:rsidR="001754C0" w:rsidRPr="001754C0">
        <w:rPr>
          <w:vertAlign w:val="subscript"/>
        </w:rPr>
        <w:t>amide</w:t>
      </w:r>
      <w:proofErr w:type="spellEnd"/>
      <w:r w:rsidR="001754C0">
        <w:t xml:space="preserve"> atoms are investigated as examples of atoms in the same system that can be handled using different data sets.</w:t>
      </w:r>
    </w:p>
    <w:p w14:paraId="1E9B1DB7" w14:textId="77777777" w:rsidR="00D10DFB" w:rsidRDefault="00D10DFB" w:rsidP="005E670C">
      <w:pPr>
        <w:spacing w:after="0" w:line="360" w:lineRule="auto"/>
        <w:jc w:val="both"/>
      </w:pPr>
    </w:p>
    <w:p w14:paraId="3FCFC428" w14:textId="77777777" w:rsidR="000F5F4D" w:rsidRDefault="000F5F4D" w:rsidP="009C0370">
      <w:pPr>
        <w:pStyle w:val="ListParagraph"/>
        <w:numPr>
          <w:ilvl w:val="0"/>
          <w:numId w:val="6"/>
        </w:numPr>
        <w:spacing w:after="0" w:line="360" w:lineRule="auto"/>
        <w:rPr>
          <w:b/>
          <w:sz w:val="24"/>
        </w:rPr>
      </w:pPr>
      <w:r w:rsidRPr="009C0370">
        <w:rPr>
          <w:b/>
          <w:sz w:val="24"/>
        </w:rPr>
        <w:lastRenderedPageBreak/>
        <w:t>Results</w:t>
      </w:r>
    </w:p>
    <w:p w14:paraId="20A50D3C" w14:textId="77777777" w:rsidR="009C0370" w:rsidRPr="007375C1" w:rsidRDefault="009C0370" w:rsidP="009C0370">
      <w:pPr>
        <w:spacing w:after="0" w:line="360" w:lineRule="auto"/>
        <w:rPr>
          <w:b/>
        </w:rPr>
      </w:pPr>
      <w:r w:rsidRPr="007375C1">
        <w:rPr>
          <w:b/>
        </w:rPr>
        <w:t>3.1 Alpha Carbons</w:t>
      </w:r>
      <w:r w:rsidR="007375C1" w:rsidRPr="007375C1">
        <w:rPr>
          <w:b/>
        </w:rPr>
        <w:t xml:space="preserve"> (C</w:t>
      </w:r>
      <w:r w:rsidR="007375C1" w:rsidRPr="007375C1">
        <w:rPr>
          <w:b/>
          <w:vertAlign w:val="subscript"/>
        </w:rPr>
        <w:t>α</w:t>
      </w:r>
      <w:r w:rsidR="007375C1" w:rsidRPr="007375C1">
        <w:rPr>
          <w:b/>
        </w:rPr>
        <w:t>)</w:t>
      </w:r>
    </w:p>
    <w:p w14:paraId="76F978BB" w14:textId="77777777" w:rsidR="00EC08E1" w:rsidRPr="00635896" w:rsidRDefault="00D10DFB" w:rsidP="00D10DFB">
      <w:pPr>
        <w:spacing w:after="0" w:line="360" w:lineRule="auto"/>
        <w:jc w:val="both"/>
      </w:pPr>
      <w:r>
        <w:t xml:space="preserve">       </w:t>
      </w:r>
      <w:r w:rsidR="009C0370">
        <w:t>Nine</w:t>
      </w:r>
      <w:r w:rsidR="00D24CFD" w:rsidRPr="002E4C91">
        <w:t xml:space="preserve"> kriging models for the Q</w:t>
      </w:r>
      <w:r w:rsidR="00D24CFD" w:rsidRPr="002E4C91">
        <w:rPr>
          <w:vertAlign w:val="subscript"/>
        </w:rPr>
        <w:t>00</w:t>
      </w:r>
      <w:r w:rsidR="00D24CFD" w:rsidRPr="002E4C91">
        <w:t xml:space="preserve"> of an alanine C</w:t>
      </w:r>
      <w:r w:rsidR="002D30DD">
        <w:rPr>
          <w:vertAlign w:val="subscript"/>
        </w:rPr>
        <w:t>α</w:t>
      </w:r>
      <w:r w:rsidR="00D24CFD" w:rsidRPr="002E4C91">
        <w:t xml:space="preserve"> atom are created</w:t>
      </w:r>
      <w:r w:rsidR="00183247">
        <w:t>,</w:t>
      </w:r>
      <w:r w:rsidR="00D24CFD" w:rsidRPr="002E4C91">
        <w:t xml:space="preserve"> one for each of the </w:t>
      </w:r>
      <w:proofErr w:type="spellStart"/>
      <w:r w:rsidR="00D24CFD" w:rsidRPr="002E4C91">
        <w:t>decapeptides</w:t>
      </w:r>
      <w:proofErr w:type="spellEnd"/>
      <w:r w:rsidR="00D24CFD" w:rsidRPr="002E4C91">
        <w:t xml:space="preserve"> in Figure </w:t>
      </w:r>
      <w:r w:rsidR="000A02C8" w:rsidRPr="002E4C91">
        <w:t>1</w:t>
      </w:r>
      <w:r w:rsidR="00D24CFD" w:rsidRPr="002E4C91">
        <w:t>. The alanine C</w:t>
      </w:r>
      <w:r w:rsidR="002D30DD">
        <w:rPr>
          <w:vertAlign w:val="subscript"/>
        </w:rPr>
        <w:t>α</w:t>
      </w:r>
      <w:r w:rsidR="00D24CFD" w:rsidRPr="002E4C91">
        <w:t xml:space="preserve"> in question is always on the </w:t>
      </w:r>
      <w:r>
        <w:t>5</w:t>
      </w:r>
      <w:r w:rsidR="00D24CFD" w:rsidRPr="002E4C91">
        <w:rPr>
          <w:vertAlign w:val="superscript"/>
        </w:rPr>
        <w:t>th</w:t>
      </w:r>
      <w:r w:rsidR="00D24CFD" w:rsidRPr="002E4C91">
        <w:t xml:space="preserve"> residue </w:t>
      </w:r>
      <w:r w:rsidR="004D1F67">
        <w:t>(neighbouring the substituted 6</w:t>
      </w:r>
      <w:r w:rsidR="00956DB4" w:rsidRPr="00956DB4">
        <w:rPr>
          <w:vertAlign w:val="superscript"/>
        </w:rPr>
        <w:t>th</w:t>
      </w:r>
      <w:r w:rsidR="004D1F67">
        <w:t xml:space="preserve"> residue) </w:t>
      </w:r>
      <w:r w:rsidR="00D24CFD" w:rsidRPr="002E4C91">
        <w:t xml:space="preserve">from the C-Terminus of the </w:t>
      </w:r>
      <w:r w:rsidR="004D1F67">
        <w:t xml:space="preserve">alanine </w:t>
      </w:r>
      <w:r w:rsidR="00D24CFD" w:rsidRPr="002E4C91">
        <w:t>helix. Table 1 shows</w:t>
      </w:r>
      <w:r w:rsidR="008C33E6" w:rsidRPr="002E4C91">
        <w:t xml:space="preserve"> the accuracy that</w:t>
      </w:r>
      <w:r w:rsidR="00D24CFD" w:rsidRPr="002E4C91">
        <w:t xml:space="preserve"> each model (</w:t>
      </w:r>
      <w:r w:rsidR="00EC08E1" w:rsidRPr="002E4C91">
        <w:t>first</w:t>
      </w:r>
      <w:r w:rsidR="00D24CFD" w:rsidRPr="002E4C91">
        <w:t xml:space="preserve"> column) predicts </w:t>
      </w:r>
      <w:r>
        <w:t xml:space="preserve">for </w:t>
      </w:r>
      <w:r w:rsidR="00D24CFD" w:rsidRPr="002E4C91">
        <w:t>the same alanine C</w:t>
      </w:r>
      <w:r w:rsidR="002D30DD">
        <w:rPr>
          <w:vertAlign w:val="subscript"/>
        </w:rPr>
        <w:t>α</w:t>
      </w:r>
      <w:r w:rsidR="00D24CFD" w:rsidRPr="002E4C91">
        <w:t xml:space="preserve"> Q</w:t>
      </w:r>
      <w:r w:rsidR="00D24CFD" w:rsidRPr="002E4C91">
        <w:rPr>
          <w:vertAlign w:val="subscript"/>
        </w:rPr>
        <w:t>00</w:t>
      </w:r>
      <w:r w:rsidR="00D24CFD" w:rsidRPr="002E4C91">
        <w:t xml:space="preserve"> on each of the 9 </w:t>
      </w:r>
      <w:proofErr w:type="spellStart"/>
      <w:r w:rsidR="00D24CFD" w:rsidRPr="002E4C91">
        <w:t>decapeptides</w:t>
      </w:r>
      <w:proofErr w:type="spellEnd"/>
      <w:r w:rsidR="00D24CFD" w:rsidRPr="002E4C91">
        <w:t xml:space="preserve"> (</w:t>
      </w:r>
      <w:r w:rsidR="00EC08E1" w:rsidRPr="002E4C91">
        <w:t>first</w:t>
      </w:r>
      <w:r w:rsidR="00D24CFD" w:rsidRPr="002E4C91">
        <w:t xml:space="preserve"> row), resulting </w:t>
      </w:r>
      <w:r>
        <w:t xml:space="preserve">in </w:t>
      </w:r>
      <w:r w:rsidR="00D24CFD" w:rsidRPr="002E4C91">
        <w:t xml:space="preserve">81 </w:t>
      </w:r>
      <w:r>
        <w:t>combinations in total.</w:t>
      </w:r>
    </w:p>
    <w:p w14:paraId="5B999824" w14:textId="77777777" w:rsidR="00EC08E1" w:rsidRDefault="00EC08E1" w:rsidP="00D24CFD">
      <w:pPr>
        <w:jc w:val="both"/>
        <w:rPr>
          <w:sz w:val="24"/>
        </w:rPr>
      </w:pPr>
    </w:p>
    <w:tbl>
      <w:tblPr>
        <w:tblStyle w:val="TableGrid"/>
        <w:tblW w:w="0" w:type="auto"/>
        <w:jc w:val="center"/>
        <w:tblLook w:val="04A0" w:firstRow="1" w:lastRow="0" w:firstColumn="1" w:lastColumn="0" w:noHBand="0" w:noVBand="1"/>
      </w:tblPr>
      <w:tblGrid>
        <w:gridCol w:w="498"/>
        <w:gridCol w:w="985"/>
        <w:gridCol w:w="721"/>
        <w:gridCol w:w="721"/>
        <w:gridCol w:w="721"/>
        <w:gridCol w:w="721"/>
        <w:gridCol w:w="721"/>
        <w:gridCol w:w="721"/>
        <w:gridCol w:w="721"/>
        <w:gridCol w:w="721"/>
        <w:gridCol w:w="721"/>
      </w:tblGrid>
      <w:tr w:rsidR="007C520A" w:rsidRPr="00E1551A" w14:paraId="347BB232" w14:textId="77777777" w:rsidTr="00EC08E1">
        <w:trPr>
          <w:trHeight w:val="300"/>
          <w:jc w:val="center"/>
        </w:trPr>
        <w:tc>
          <w:tcPr>
            <w:tcW w:w="0" w:type="auto"/>
            <w:tcBorders>
              <w:bottom w:val="nil"/>
              <w:right w:val="nil"/>
            </w:tcBorders>
          </w:tcPr>
          <w:p w14:paraId="2E6E80CF" w14:textId="77777777" w:rsidR="007C520A" w:rsidRPr="00E1551A" w:rsidRDefault="007C520A" w:rsidP="00E1551A">
            <w:pPr>
              <w:ind w:left="360"/>
              <w:rPr>
                <w:b/>
                <w:bCs/>
              </w:rPr>
            </w:pPr>
          </w:p>
        </w:tc>
        <w:tc>
          <w:tcPr>
            <w:tcW w:w="0" w:type="auto"/>
            <w:tcBorders>
              <w:left w:val="nil"/>
              <w:bottom w:val="nil"/>
              <w:right w:val="nil"/>
            </w:tcBorders>
            <w:noWrap/>
          </w:tcPr>
          <w:p w14:paraId="605055F8" w14:textId="77777777" w:rsidR="007C520A" w:rsidRPr="00E1551A" w:rsidRDefault="007C520A" w:rsidP="00E1551A">
            <w:pPr>
              <w:ind w:left="360"/>
              <w:rPr>
                <w:b/>
                <w:bCs/>
              </w:rPr>
            </w:pPr>
          </w:p>
        </w:tc>
        <w:tc>
          <w:tcPr>
            <w:tcW w:w="0" w:type="auto"/>
            <w:tcBorders>
              <w:left w:val="nil"/>
              <w:bottom w:val="nil"/>
              <w:right w:val="nil"/>
            </w:tcBorders>
            <w:noWrap/>
          </w:tcPr>
          <w:p w14:paraId="04FF03F5" w14:textId="77777777" w:rsidR="007C520A" w:rsidRPr="00E1551A" w:rsidRDefault="007C520A" w:rsidP="00525139">
            <w:pPr>
              <w:jc w:val="center"/>
              <w:rPr>
                <w:b/>
                <w:bCs/>
              </w:rPr>
            </w:pPr>
          </w:p>
        </w:tc>
        <w:tc>
          <w:tcPr>
            <w:tcW w:w="0" w:type="auto"/>
            <w:tcBorders>
              <w:left w:val="nil"/>
              <w:bottom w:val="nil"/>
              <w:right w:val="nil"/>
            </w:tcBorders>
            <w:noWrap/>
          </w:tcPr>
          <w:p w14:paraId="464780F5" w14:textId="77777777" w:rsidR="007C520A" w:rsidRPr="00E1551A" w:rsidRDefault="007C520A" w:rsidP="00525139">
            <w:pPr>
              <w:jc w:val="center"/>
              <w:rPr>
                <w:b/>
                <w:bCs/>
              </w:rPr>
            </w:pPr>
          </w:p>
        </w:tc>
        <w:tc>
          <w:tcPr>
            <w:tcW w:w="0" w:type="auto"/>
            <w:tcBorders>
              <w:left w:val="nil"/>
              <w:bottom w:val="nil"/>
              <w:right w:val="nil"/>
            </w:tcBorders>
            <w:noWrap/>
          </w:tcPr>
          <w:p w14:paraId="402AFE43" w14:textId="77777777" w:rsidR="007C520A" w:rsidRPr="00E1551A" w:rsidRDefault="007C520A" w:rsidP="00525139">
            <w:pPr>
              <w:jc w:val="center"/>
              <w:rPr>
                <w:b/>
                <w:bCs/>
              </w:rPr>
            </w:pPr>
          </w:p>
        </w:tc>
        <w:tc>
          <w:tcPr>
            <w:tcW w:w="0" w:type="auto"/>
            <w:tcBorders>
              <w:left w:val="nil"/>
              <w:bottom w:val="nil"/>
              <w:right w:val="nil"/>
            </w:tcBorders>
            <w:noWrap/>
          </w:tcPr>
          <w:p w14:paraId="4C692037" w14:textId="77777777" w:rsidR="007C520A" w:rsidRPr="00E1551A" w:rsidRDefault="007C520A" w:rsidP="00525139">
            <w:pPr>
              <w:jc w:val="center"/>
              <w:rPr>
                <w:b/>
                <w:bCs/>
              </w:rPr>
            </w:pPr>
          </w:p>
        </w:tc>
        <w:tc>
          <w:tcPr>
            <w:tcW w:w="0" w:type="auto"/>
            <w:tcBorders>
              <w:left w:val="nil"/>
              <w:bottom w:val="nil"/>
              <w:right w:val="nil"/>
            </w:tcBorders>
            <w:noWrap/>
          </w:tcPr>
          <w:p w14:paraId="7805A994" w14:textId="77777777" w:rsidR="007C520A" w:rsidRPr="00E1551A" w:rsidRDefault="007C520A" w:rsidP="00525139">
            <w:pPr>
              <w:jc w:val="center"/>
              <w:rPr>
                <w:b/>
                <w:bCs/>
              </w:rPr>
            </w:pPr>
            <w:r>
              <w:rPr>
                <w:b/>
                <w:bCs/>
              </w:rPr>
              <w:t>TEST</w:t>
            </w:r>
          </w:p>
        </w:tc>
        <w:tc>
          <w:tcPr>
            <w:tcW w:w="0" w:type="auto"/>
            <w:tcBorders>
              <w:left w:val="nil"/>
              <w:bottom w:val="nil"/>
              <w:right w:val="nil"/>
            </w:tcBorders>
            <w:noWrap/>
          </w:tcPr>
          <w:p w14:paraId="0C479D89" w14:textId="77777777" w:rsidR="007C520A" w:rsidRPr="00E1551A" w:rsidRDefault="007C520A" w:rsidP="00525139">
            <w:pPr>
              <w:jc w:val="center"/>
              <w:rPr>
                <w:b/>
                <w:bCs/>
              </w:rPr>
            </w:pPr>
          </w:p>
        </w:tc>
        <w:tc>
          <w:tcPr>
            <w:tcW w:w="0" w:type="auto"/>
            <w:tcBorders>
              <w:left w:val="nil"/>
              <w:bottom w:val="nil"/>
              <w:right w:val="nil"/>
            </w:tcBorders>
            <w:noWrap/>
          </w:tcPr>
          <w:p w14:paraId="32735388" w14:textId="77777777" w:rsidR="007C520A" w:rsidRPr="00E1551A" w:rsidRDefault="007C520A" w:rsidP="00525139">
            <w:pPr>
              <w:jc w:val="center"/>
              <w:rPr>
                <w:b/>
                <w:bCs/>
              </w:rPr>
            </w:pPr>
          </w:p>
        </w:tc>
        <w:tc>
          <w:tcPr>
            <w:tcW w:w="0" w:type="auto"/>
            <w:tcBorders>
              <w:left w:val="nil"/>
              <w:bottom w:val="nil"/>
              <w:right w:val="nil"/>
            </w:tcBorders>
            <w:noWrap/>
          </w:tcPr>
          <w:p w14:paraId="0D585C2E" w14:textId="77777777" w:rsidR="007C520A" w:rsidRPr="00E1551A" w:rsidRDefault="007C520A" w:rsidP="00525139">
            <w:pPr>
              <w:jc w:val="center"/>
              <w:rPr>
                <w:b/>
                <w:bCs/>
              </w:rPr>
            </w:pPr>
          </w:p>
        </w:tc>
        <w:tc>
          <w:tcPr>
            <w:tcW w:w="0" w:type="auto"/>
            <w:tcBorders>
              <w:left w:val="nil"/>
              <w:bottom w:val="nil"/>
            </w:tcBorders>
            <w:noWrap/>
          </w:tcPr>
          <w:p w14:paraId="11D50709" w14:textId="77777777" w:rsidR="007C520A" w:rsidRPr="00E1551A" w:rsidRDefault="007C520A" w:rsidP="00525139">
            <w:pPr>
              <w:jc w:val="center"/>
              <w:rPr>
                <w:b/>
                <w:bCs/>
              </w:rPr>
            </w:pPr>
          </w:p>
        </w:tc>
      </w:tr>
      <w:tr w:rsidR="007C520A" w:rsidRPr="00E1551A" w14:paraId="6F7B9881" w14:textId="77777777" w:rsidTr="00EC08E1">
        <w:trPr>
          <w:trHeight w:val="300"/>
          <w:jc w:val="center"/>
        </w:trPr>
        <w:tc>
          <w:tcPr>
            <w:tcW w:w="0" w:type="auto"/>
            <w:tcBorders>
              <w:top w:val="nil"/>
              <w:bottom w:val="single" w:sz="4" w:space="0" w:color="auto"/>
              <w:right w:val="nil"/>
            </w:tcBorders>
          </w:tcPr>
          <w:p w14:paraId="086FFE69" w14:textId="77777777" w:rsidR="007C520A" w:rsidRPr="00E1551A" w:rsidRDefault="007C520A" w:rsidP="00E1551A">
            <w:pPr>
              <w:ind w:left="360"/>
              <w:rPr>
                <w:b/>
                <w:bCs/>
              </w:rPr>
            </w:pPr>
          </w:p>
        </w:tc>
        <w:tc>
          <w:tcPr>
            <w:tcW w:w="0" w:type="auto"/>
            <w:tcBorders>
              <w:top w:val="nil"/>
              <w:left w:val="nil"/>
              <w:bottom w:val="single" w:sz="4" w:space="0" w:color="auto"/>
              <w:right w:val="nil"/>
            </w:tcBorders>
            <w:noWrap/>
            <w:hideMark/>
          </w:tcPr>
          <w:p w14:paraId="4B7FB83E" w14:textId="77777777" w:rsidR="007C520A" w:rsidRPr="00E1551A" w:rsidRDefault="007C520A" w:rsidP="00E1551A">
            <w:pPr>
              <w:ind w:left="360"/>
              <w:rPr>
                <w:b/>
                <w:bCs/>
              </w:rPr>
            </w:pPr>
            <w:r w:rsidRPr="00E1551A">
              <w:rPr>
                <w:b/>
                <w:bCs/>
              </w:rPr>
              <w:t> </w:t>
            </w:r>
          </w:p>
        </w:tc>
        <w:tc>
          <w:tcPr>
            <w:tcW w:w="0" w:type="auto"/>
            <w:tcBorders>
              <w:top w:val="nil"/>
              <w:left w:val="nil"/>
              <w:bottom w:val="single" w:sz="4" w:space="0" w:color="auto"/>
              <w:right w:val="nil"/>
            </w:tcBorders>
            <w:noWrap/>
            <w:hideMark/>
          </w:tcPr>
          <w:p w14:paraId="7DCC01E7" w14:textId="77777777" w:rsidR="007C520A" w:rsidRPr="00E1551A" w:rsidRDefault="007C520A" w:rsidP="00525139">
            <w:pPr>
              <w:jc w:val="center"/>
              <w:rPr>
                <w:b/>
                <w:bCs/>
              </w:rPr>
            </w:pPr>
            <w:r w:rsidRPr="00E1551A">
              <w:rPr>
                <w:b/>
                <w:bCs/>
              </w:rPr>
              <w:t>ALA</w:t>
            </w:r>
          </w:p>
        </w:tc>
        <w:tc>
          <w:tcPr>
            <w:tcW w:w="0" w:type="auto"/>
            <w:tcBorders>
              <w:top w:val="nil"/>
              <w:left w:val="nil"/>
              <w:bottom w:val="single" w:sz="4" w:space="0" w:color="auto"/>
              <w:right w:val="nil"/>
            </w:tcBorders>
            <w:noWrap/>
            <w:hideMark/>
          </w:tcPr>
          <w:p w14:paraId="167203E4" w14:textId="77777777" w:rsidR="007C520A" w:rsidRPr="00E1551A" w:rsidRDefault="007C520A" w:rsidP="00525139">
            <w:pPr>
              <w:jc w:val="center"/>
              <w:rPr>
                <w:b/>
                <w:bCs/>
              </w:rPr>
            </w:pPr>
            <w:r w:rsidRPr="00E1551A">
              <w:rPr>
                <w:b/>
                <w:bCs/>
              </w:rPr>
              <w:t>GLY</w:t>
            </w:r>
          </w:p>
        </w:tc>
        <w:tc>
          <w:tcPr>
            <w:tcW w:w="0" w:type="auto"/>
            <w:tcBorders>
              <w:top w:val="nil"/>
              <w:left w:val="nil"/>
              <w:bottom w:val="single" w:sz="4" w:space="0" w:color="auto"/>
              <w:right w:val="nil"/>
            </w:tcBorders>
            <w:noWrap/>
            <w:hideMark/>
          </w:tcPr>
          <w:p w14:paraId="2F0BF6CE" w14:textId="77777777" w:rsidR="007C520A" w:rsidRPr="00E1551A" w:rsidRDefault="007C520A" w:rsidP="00525139">
            <w:pPr>
              <w:jc w:val="center"/>
              <w:rPr>
                <w:b/>
                <w:bCs/>
              </w:rPr>
            </w:pPr>
            <w:r w:rsidRPr="00E1551A">
              <w:rPr>
                <w:b/>
                <w:bCs/>
              </w:rPr>
              <w:t>VAL</w:t>
            </w:r>
          </w:p>
        </w:tc>
        <w:tc>
          <w:tcPr>
            <w:tcW w:w="0" w:type="auto"/>
            <w:tcBorders>
              <w:top w:val="nil"/>
              <w:left w:val="nil"/>
              <w:bottom w:val="single" w:sz="4" w:space="0" w:color="auto"/>
              <w:right w:val="nil"/>
            </w:tcBorders>
            <w:noWrap/>
            <w:hideMark/>
          </w:tcPr>
          <w:p w14:paraId="7908006B" w14:textId="77777777" w:rsidR="007C520A" w:rsidRPr="00E1551A" w:rsidRDefault="007C520A" w:rsidP="00525139">
            <w:pPr>
              <w:jc w:val="center"/>
              <w:rPr>
                <w:b/>
                <w:bCs/>
              </w:rPr>
            </w:pPr>
            <w:r w:rsidRPr="00E1551A">
              <w:rPr>
                <w:b/>
                <w:bCs/>
              </w:rPr>
              <w:t>CYS</w:t>
            </w:r>
          </w:p>
        </w:tc>
        <w:tc>
          <w:tcPr>
            <w:tcW w:w="0" w:type="auto"/>
            <w:tcBorders>
              <w:top w:val="nil"/>
              <w:left w:val="nil"/>
              <w:bottom w:val="single" w:sz="4" w:space="0" w:color="auto"/>
              <w:right w:val="nil"/>
            </w:tcBorders>
            <w:noWrap/>
            <w:hideMark/>
          </w:tcPr>
          <w:p w14:paraId="430502EE" w14:textId="77777777" w:rsidR="007C520A" w:rsidRPr="00E1551A" w:rsidRDefault="00195E80" w:rsidP="00525139">
            <w:pPr>
              <w:jc w:val="center"/>
              <w:rPr>
                <w:b/>
                <w:bCs/>
              </w:rPr>
            </w:pPr>
            <w:r>
              <w:rPr>
                <w:b/>
                <w:bCs/>
              </w:rPr>
              <w:t>MET</w:t>
            </w:r>
          </w:p>
        </w:tc>
        <w:tc>
          <w:tcPr>
            <w:tcW w:w="0" w:type="auto"/>
            <w:tcBorders>
              <w:top w:val="nil"/>
              <w:left w:val="nil"/>
              <w:bottom w:val="single" w:sz="4" w:space="0" w:color="auto"/>
              <w:right w:val="nil"/>
            </w:tcBorders>
            <w:noWrap/>
            <w:hideMark/>
          </w:tcPr>
          <w:p w14:paraId="324E3A41" w14:textId="77777777" w:rsidR="007C520A" w:rsidRPr="00E1551A" w:rsidRDefault="00195E80" w:rsidP="00525139">
            <w:pPr>
              <w:jc w:val="center"/>
              <w:rPr>
                <w:b/>
                <w:bCs/>
              </w:rPr>
            </w:pPr>
            <w:r>
              <w:rPr>
                <w:b/>
                <w:bCs/>
              </w:rPr>
              <w:t>THR</w:t>
            </w:r>
          </w:p>
        </w:tc>
        <w:tc>
          <w:tcPr>
            <w:tcW w:w="0" w:type="auto"/>
            <w:tcBorders>
              <w:top w:val="nil"/>
              <w:left w:val="nil"/>
              <w:bottom w:val="single" w:sz="4" w:space="0" w:color="auto"/>
              <w:right w:val="nil"/>
            </w:tcBorders>
            <w:noWrap/>
            <w:hideMark/>
          </w:tcPr>
          <w:p w14:paraId="7E1DA8A0" w14:textId="77777777" w:rsidR="007C520A" w:rsidRPr="00E1551A" w:rsidRDefault="007C520A" w:rsidP="00525139">
            <w:pPr>
              <w:jc w:val="center"/>
              <w:rPr>
                <w:b/>
                <w:bCs/>
              </w:rPr>
            </w:pPr>
            <w:r w:rsidRPr="00E1551A">
              <w:rPr>
                <w:b/>
                <w:bCs/>
              </w:rPr>
              <w:t>ARG</w:t>
            </w:r>
          </w:p>
        </w:tc>
        <w:tc>
          <w:tcPr>
            <w:tcW w:w="0" w:type="auto"/>
            <w:tcBorders>
              <w:top w:val="nil"/>
              <w:left w:val="nil"/>
              <w:bottom w:val="single" w:sz="4" w:space="0" w:color="auto"/>
              <w:right w:val="nil"/>
            </w:tcBorders>
            <w:noWrap/>
            <w:hideMark/>
          </w:tcPr>
          <w:p w14:paraId="52DAFA3C" w14:textId="77777777" w:rsidR="007C520A" w:rsidRPr="00E1551A" w:rsidRDefault="00195E80" w:rsidP="00525139">
            <w:pPr>
              <w:jc w:val="center"/>
              <w:rPr>
                <w:b/>
                <w:bCs/>
              </w:rPr>
            </w:pPr>
            <w:r>
              <w:rPr>
                <w:b/>
                <w:bCs/>
              </w:rPr>
              <w:t>ASN</w:t>
            </w:r>
          </w:p>
        </w:tc>
        <w:tc>
          <w:tcPr>
            <w:tcW w:w="0" w:type="auto"/>
            <w:tcBorders>
              <w:top w:val="nil"/>
              <w:left w:val="nil"/>
              <w:bottom w:val="single" w:sz="4" w:space="0" w:color="auto"/>
            </w:tcBorders>
            <w:noWrap/>
            <w:hideMark/>
          </w:tcPr>
          <w:p w14:paraId="35BEB03B" w14:textId="77777777" w:rsidR="007C520A" w:rsidRPr="00E1551A" w:rsidRDefault="00195E80" w:rsidP="00525139">
            <w:pPr>
              <w:jc w:val="center"/>
              <w:rPr>
                <w:b/>
                <w:bCs/>
              </w:rPr>
            </w:pPr>
            <w:r>
              <w:rPr>
                <w:b/>
                <w:bCs/>
              </w:rPr>
              <w:t>GLN</w:t>
            </w:r>
          </w:p>
        </w:tc>
      </w:tr>
      <w:tr w:rsidR="007C520A" w:rsidRPr="00E1551A" w14:paraId="1F965803" w14:textId="77777777" w:rsidTr="00EC08E1">
        <w:trPr>
          <w:trHeight w:val="300"/>
          <w:jc w:val="center"/>
        </w:trPr>
        <w:tc>
          <w:tcPr>
            <w:tcW w:w="0" w:type="auto"/>
            <w:vMerge w:val="restart"/>
            <w:tcBorders>
              <w:right w:val="nil"/>
            </w:tcBorders>
            <w:textDirection w:val="tbRl"/>
          </w:tcPr>
          <w:p w14:paraId="73967B3B" w14:textId="77777777" w:rsidR="007C520A" w:rsidRPr="00E1551A" w:rsidRDefault="007C520A" w:rsidP="007C520A">
            <w:pPr>
              <w:ind w:left="360" w:right="113"/>
              <w:rPr>
                <w:b/>
                <w:bCs/>
              </w:rPr>
            </w:pPr>
            <w:r>
              <w:rPr>
                <w:b/>
                <w:bCs/>
              </w:rPr>
              <w:t xml:space="preserve">           TRAINING</w:t>
            </w:r>
          </w:p>
        </w:tc>
        <w:tc>
          <w:tcPr>
            <w:tcW w:w="0" w:type="auto"/>
            <w:tcBorders>
              <w:left w:val="nil"/>
              <w:bottom w:val="nil"/>
            </w:tcBorders>
            <w:noWrap/>
            <w:hideMark/>
          </w:tcPr>
          <w:p w14:paraId="6F0275B3" w14:textId="77777777" w:rsidR="007C520A" w:rsidRPr="00E1551A" w:rsidRDefault="007C520A" w:rsidP="007C520A">
            <w:pPr>
              <w:ind w:left="360"/>
              <w:rPr>
                <w:b/>
                <w:bCs/>
              </w:rPr>
            </w:pPr>
            <w:r w:rsidRPr="00E1551A">
              <w:rPr>
                <w:b/>
                <w:bCs/>
              </w:rPr>
              <w:t>ALA</w:t>
            </w:r>
          </w:p>
        </w:tc>
        <w:tc>
          <w:tcPr>
            <w:tcW w:w="0" w:type="auto"/>
            <w:tcBorders>
              <w:bottom w:val="nil"/>
              <w:right w:val="nil"/>
            </w:tcBorders>
            <w:noWrap/>
            <w:hideMark/>
          </w:tcPr>
          <w:p w14:paraId="4C6A4A30" w14:textId="77777777" w:rsidR="007C520A" w:rsidRPr="00D10DFB" w:rsidRDefault="007C520A" w:rsidP="00525139">
            <w:pPr>
              <w:jc w:val="center"/>
              <w:rPr>
                <w:b/>
                <w:i/>
              </w:rPr>
            </w:pPr>
            <w:r w:rsidRPr="00D10DFB">
              <w:rPr>
                <w:b/>
                <w:i/>
              </w:rPr>
              <w:t>0.005</w:t>
            </w:r>
          </w:p>
        </w:tc>
        <w:tc>
          <w:tcPr>
            <w:tcW w:w="0" w:type="auto"/>
            <w:tcBorders>
              <w:left w:val="nil"/>
              <w:bottom w:val="nil"/>
              <w:right w:val="nil"/>
            </w:tcBorders>
            <w:noWrap/>
            <w:hideMark/>
          </w:tcPr>
          <w:p w14:paraId="24ACFE83" w14:textId="77777777" w:rsidR="007C520A" w:rsidRPr="00525139" w:rsidRDefault="007C520A" w:rsidP="00EC08E1">
            <w:pPr>
              <w:jc w:val="center"/>
              <w:rPr>
                <w:i/>
              </w:rPr>
            </w:pPr>
            <w:r w:rsidRPr="00525139">
              <w:rPr>
                <w:i/>
              </w:rPr>
              <w:t>0.0</w:t>
            </w:r>
            <w:r w:rsidR="00EC08E1">
              <w:rPr>
                <w:i/>
              </w:rPr>
              <w:t>15</w:t>
            </w:r>
          </w:p>
        </w:tc>
        <w:tc>
          <w:tcPr>
            <w:tcW w:w="0" w:type="auto"/>
            <w:tcBorders>
              <w:left w:val="nil"/>
              <w:bottom w:val="nil"/>
            </w:tcBorders>
            <w:noWrap/>
            <w:hideMark/>
          </w:tcPr>
          <w:p w14:paraId="1BACB0B9" w14:textId="77777777" w:rsidR="007C520A" w:rsidRPr="00525139" w:rsidRDefault="007C520A" w:rsidP="00EC08E1">
            <w:pPr>
              <w:jc w:val="center"/>
              <w:rPr>
                <w:i/>
              </w:rPr>
            </w:pPr>
            <w:r w:rsidRPr="00525139">
              <w:rPr>
                <w:i/>
              </w:rPr>
              <w:t>0.0</w:t>
            </w:r>
            <w:r w:rsidR="00EC08E1">
              <w:rPr>
                <w:i/>
              </w:rPr>
              <w:t>17</w:t>
            </w:r>
          </w:p>
        </w:tc>
        <w:tc>
          <w:tcPr>
            <w:tcW w:w="0" w:type="auto"/>
            <w:tcBorders>
              <w:bottom w:val="nil"/>
              <w:right w:val="nil"/>
            </w:tcBorders>
            <w:noWrap/>
            <w:hideMark/>
          </w:tcPr>
          <w:p w14:paraId="4B046779" w14:textId="77777777" w:rsidR="007C520A" w:rsidRPr="00E1551A" w:rsidRDefault="00EC08E1" w:rsidP="00525139">
            <w:pPr>
              <w:jc w:val="center"/>
            </w:pPr>
            <w:r>
              <w:t>0.018</w:t>
            </w:r>
          </w:p>
        </w:tc>
        <w:tc>
          <w:tcPr>
            <w:tcW w:w="0" w:type="auto"/>
            <w:tcBorders>
              <w:left w:val="nil"/>
              <w:bottom w:val="nil"/>
              <w:right w:val="nil"/>
            </w:tcBorders>
            <w:noWrap/>
            <w:hideMark/>
          </w:tcPr>
          <w:p w14:paraId="030264A1" w14:textId="77777777" w:rsidR="007C520A" w:rsidRPr="00E1551A" w:rsidRDefault="007C520A" w:rsidP="00525139">
            <w:pPr>
              <w:jc w:val="center"/>
            </w:pPr>
            <w:r w:rsidRPr="00E1551A">
              <w:t>0.019</w:t>
            </w:r>
          </w:p>
        </w:tc>
        <w:tc>
          <w:tcPr>
            <w:tcW w:w="0" w:type="auto"/>
            <w:tcBorders>
              <w:left w:val="nil"/>
              <w:bottom w:val="nil"/>
            </w:tcBorders>
            <w:noWrap/>
            <w:hideMark/>
          </w:tcPr>
          <w:p w14:paraId="0DDB1589" w14:textId="77777777" w:rsidR="007C520A" w:rsidRPr="00E1551A" w:rsidRDefault="007C520A" w:rsidP="00525139">
            <w:pPr>
              <w:jc w:val="center"/>
            </w:pPr>
            <w:r w:rsidRPr="00E1551A">
              <w:t>0.017</w:t>
            </w:r>
          </w:p>
        </w:tc>
        <w:tc>
          <w:tcPr>
            <w:tcW w:w="0" w:type="auto"/>
            <w:tcBorders>
              <w:bottom w:val="nil"/>
              <w:right w:val="nil"/>
            </w:tcBorders>
            <w:noWrap/>
            <w:hideMark/>
          </w:tcPr>
          <w:p w14:paraId="28D5E038" w14:textId="77777777" w:rsidR="007C520A" w:rsidRPr="00E1551A" w:rsidRDefault="007C520A" w:rsidP="00525139">
            <w:pPr>
              <w:jc w:val="center"/>
            </w:pPr>
            <w:r w:rsidRPr="00E1551A">
              <w:t>0.097</w:t>
            </w:r>
          </w:p>
        </w:tc>
        <w:tc>
          <w:tcPr>
            <w:tcW w:w="0" w:type="auto"/>
            <w:tcBorders>
              <w:left w:val="nil"/>
              <w:bottom w:val="nil"/>
              <w:right w:val="nil"/>
            </w:tcBorders>
            <w:noWrap/>
            <w:hideMark/>
          </w:tcPr>
          <w:p w14:paraId="30079EB5" w14:textId="77777777" w:rsidR="007C520A" w:rsidRPr="00E1551A" w:rsidRDefault="007C520A" w:rsidP="00525139">
            <w:pPr>
              <w:jc w:val="center"/>
            </w:pPr>
            <w:r w:rsidRPr="00E1551A">
              <w:t>0.040</w:t>
            </w:r>
          </w:p>
        </w:tc>
        <w:tc>
          <w:tcPr>
            <w:tcW w:w="0" w:type="auto"/>
            <w:tcBorders>
              <w:left w:val="nil"/>
              <w:bottom w:val="nil"/>
            </w:tcBorders>
            <w:noWrap/>
            <w:hideMark/>
          </w:tcPr>
          <w:p w14:paraId="2F6061D8" w14:textId="77777777" w:rsidR="007C520A" w:rsidRPr="00E1551A" w:rsidRDefault="007C520A" w:rsidP="00525139">
            <w:pPr>
              <w:jc w:val="center"/>
            </w:pPr>
            <w:r w:rsidRPr="00E1551A">
              <w:t>0.095</w:t>
            </w:r>
          </w:p>
        </w:tc>
      </w:tr>
      <w:tr w:rsidR="007C520A" w:rsidRPr="00E1551A" w14:paraId="1EFA75AE" w14:textId="77777777" w:rsidTr="00EC08E1">
        <w:trPr>
          <w:trHeight w:val="300"/>
          <w:jc w:val="center"/>
        </w:trPr>
        <w:tc>
          <w:tcPr>
            <w:tcW w:w="0" w:type="auto"/>
            <w:vMerge/>
            <w:tcBorders>
              <w:right w:val="nil"/>
            </w:tcBorders>
          </w:tcPr>
          <w:p w14:paraId="65BB3BEF" w14:textId="77777777" w:rsidR="007C520A" w:rsidRPr="00E1551A" w:rsidRDefault="007C520A" w:rsidP="007C520A">
            <w:pPr>
              <w:ind w:left="360"/>
              <w:jc w:val="center"/>
              <w:rPr>
                <w:b/>
                <w:bCs/>
              </w:rPr>
            </w:pPr>
          </w:p>
        </w:tc>
        <w:tc>
          <w:tcPr>
            <w:tcW w:w="0" w:type="auto"/>
            <w:tcBorders>
              <w:top w:val="nil"/>
              <w:left w:val="nil"/>
              <w:bottom w:val="nil"/>
            </w:tcBorders>
            <w:noWrap/>
            <w:hideMark/>
          </w:tcPr>
          <w:p w14:paraId="5AF73FA7" w14:textId="77777777" w:rsidR="007C520A" w:rsidRPr="00E1551A" w:rsidRDefault="007C520A" w:rsidP="007C520A">
            <w:pPr>
              <w:ind w:left="360"/>
              <w:rPr>
                <w:b/>
                <w:bCs/>
              </w:rPr>
            </w:pPr>
            <w:r w:rsidRPr="00E1551A">
              <w:rPr>
                <w:b/>
                <w:bCs/>
              </w:rPr>
              <w:t>GLY</w:t>
            </w:r>
          </w:p>
        </w:tc>
        <w:tc>
          <w:tcPr>
            <w:tcW w:w="0" w:type="auto"/>
            <w:tcBorders>
              <w:top w:val="nil"/>
              <w:bottom w:val="nil"/>
              <w:right w:val="nil"/>
            </w:tcBorders>
            <w:noWrap/>
            <w:hideMark/>
          </w:tcPr>
          <w:p w14:paraId="5A51BEDC" w14:textId="77777777" w:rsidR="007C520A" w:rsidRPr="00525139" w:rsidRDefault="00EC08E1" w:rsidP="00525139">
            <w:pPr>
              <w:jc w:val="center"/>
              <w:rPr>
                <w:i/>
              </w:rPr>
            </w:pPr>
            <w:r>
              <w:rPr>
                <w:i/>
              </w:rPr>
              <w:t>0.013</w:t>
            </w:r>
          </w:p>
        </w:tc>
        <w:tc>
          <w:tcPr>
            <w:tcW w:w="0" w:type="auto"/>
            <w:tcBorders>
              <w:top w:val="nil"/>
              <w:left w:val="nil"/>
              <w:bottom w:val="nil"/>
              <w:right w:val="nil"/>
            </w:tcBorders>
            <w:noWrap/>
            <w:hideMark/>
          </w:tcPr>
          <w:p w14:paraId="0D13EBEC" w14:textId="77777777" w:rsidR="007C520A" w:rsidRPr="00D10DFB" w:rsidRDefault="007C520A" w:rsidP="00525139">
            <w:pPr>
              <w:jc w:val="center"/>
              <w:rPr>
                <w:b/>
                <w:i/>
              </w:rPr>
            </w:pPr>
            <w:r w:rsidRPr="00D10DFB">
              <w:rPr>
                <w:b/>
                <w:i/>
              </w:rPr>
              <w:t>0.004</w:t>
            </w:r>
          </w:p>
        </w:tc>
        <w:tc>
          <w:tcPr>
            <w:tcW w:w="0" w:type="auto"/>
            <w:tcBorders>
              <w:top w:val="nil"/>
              <w:left w:val="nil"/>
              <w:bottom w:val="nil"/>
            </w:tcBorders>
            <w:noWrap/>
            <w:hideMark/>
          </w:tcPr>
          <w:p w14:paraId="504E62B9" w14:textId="77777777" w:rsidR="007C520A" w:rsidRPr="00525139" w:rsidRDefault="00EC08E1" w:rsidP="00525139">
            <w:pPr>
              <w:jc w:val="center"/>
              <w:rPr>
                <w:i/>
              </w:rPr>
            </w:pPr>
            <w:r>
              <w:rPr>
                <w:i/>
              </w:rPr>
              <w:t>0.011</w:t>
            </w:r>
          </w:p>
        </w:tc>
        <w:tc>
          <w:tcPr>
            <w:tcW w:w="0" w:type="auto"/>
            <w:tcBorders>
              <w:top w:val="nil"/>
              <w:bottom w:val="nil"/>
              <w:right w:val="nil"/>
            </w:tcBorders>
            <w:noWrap/>
            <w:hideMark/>
          </w:tcPr>
          <w:p w14:paraId="6A2E3091" w14:textId="77777777" w:rsidR="007C520A" w:rsidRPr="00E1551A" w:rsidRDefault="007C520A" w:rsidP="00525139">
            <w:pPr>
              <w:jc w:val="center"/>
            </w:pPr>
            <w:r w:rsidRPr="00E1551A">
              <w:t>0.065</w:t>
            </w:r>
          </w:p>
        </w:tc>
        <w:tc>
          <w:tcPr>
            <w:tcW w:w="0" w:type="auto"/>
            <w:tcBorders>
              <w:top w:val="nil"/>
              <w:left w:val="nil"/>
              <w:bottom w:val="nil"/>
              <w:right w:val="nil"/>
            </w:tcBorders>
            <w:noWrap/>
            <w:hideMark/>
          </w:tcPr>
          <w:p w14:paraId="090A10F5" w14:textId="77777777" w:rsidR="007C520A" w:rsidRPr="00E1551A" w:rsidRDefault="007C520A" w:rsidP="00525139">
            <w:pPr>
              <w:jc w:val="center"/>
            </w:pPr>
            <w:r w:rsidRPr="00E1551A">
              <w:t>0.022</w:t>
            </w:r>
          </w:p>
        </w:tc>
        <w:tc>
          <w:tcPr>
            <w:tcW w:w="0" w:type="auto"/>
            <w:tcBorders>
              <w:top w:val="nil"/>
              <w:left w:val="nil"/>
              <w:bottom w:val="nil"/>
            </w:tcBorders>
            <w:noWrap/>
            <w:hideMark/>
          </w:tcPr>
          <w:p w14:paraId="62393828" w14:textId="77777777" w:rsidR="007C520A" w:rsidRPr="00E1551A" w:rsidRDefault="00EC08E1" w:rsidP="00525139">
            <w:pPr>
              <w:jc w:val="center"/>
            </w:pPr>
            <w:r>
              <w:t>0.016</w:t>
            </w:r>
          </w:p>
        </w:tc>
        <w:tc>
          <w:tcPr>
            <w:tcW w:w="0" w:type="auto"/>
            <w:tcBorders>
              <w:top w:val="nil"/>
              <w:bottom w:val="nil"/>
              <w:right w:val="nil"/>
            </w:tcBorders>
            <w:noWrap/>
            <w:hideMark/>
          </w:tcPr>
          <w:p w14:paraId="482C365D" w14:textId="77777777" w:rsidR="007C520A" w:rsidRPr="00E1551A" w:rsidRDefault="007C520A" w:rsidP="00525139">
            <w:pPr>
              <w:jc w:val="center"/>
            </w:pPr>
            <w:r w:rsidRPr="00E1551A">
              <w:t>0.016</w:t>
            </w:r>
          </w:p>
        </w:tc>
        <w:tc>
          <w:tcPr>
            <w:tcW w:w="0" w:type="auto"/>
            <w:tcBorders>
              <w:top w:val="nil"/>
              <w:left w:val="nil"/>
              <w:bottom w:val="nil"/>
              <w:right w:val="nil"/>
            </w:tcBorders>
            <w:noWrap/>
            <w:hideMark/>
          </w:tcPr>
          <w:p w14:paraId="632E73D6" w14:textId="77777777" w:rsidR="007C520A" w:rsidRPr="00E1551A" w:rsidRDefault="007C520A" w:rsidP="00525139">
            <w:pPr>
              <w:jc w:val="center"/>
            </w:pPr>
            <w:r w:rsidRPr="00E1551A">
              <w:t>0.113</w:t>
            </w:r>
          </w:p>
        </w:tc>
        <w:tc>
          <w:tcPr>
            <w:tcW w:w="0" w:type="auto"/>
            <w:tcBorders>
              <w:top w:val="nil"/>
              <w:left w:val="nil"/>
              <w:bottom w:val="nil"/>
            </w:tcBorders>
            <w:noWrap/>
            <w:hideMark/>
          </w:tcPr>
          <w:p w14:paraId="081EC1B8" w14:textId="77777777" w:rsidR="007C520A" w:rsidRPr="00E1551A" w:rsidRDefault="007C520A" w:rsidP="00525139">
            <w:pPr>
              <w:jc w:val="center"/>
            </w:pPr>
            <w:r w:rsidRPr="00E1551A">
              <w:t>0.209</w:t>
            </w:r>
          </w:p>
        </w:tc>
      </w:tr>
      <w:tr w:rsidR="007C520A" w:rsidRPr="00E1551A" w14:paraId="79BFACA2" w14:textId="77777777" w:rsidTr="00EC08E1">
        <w:trPr>
          <w:trHeight w:val="300"/>
          <w:jc w:val="center"/>
        </w:trPr>
        <w:tc>
          <w:tcPr>
            <w:tcW w:w="0" w:type="auto"/>
            <w:vMerge/>
            <w:tcBorders>
              <w:right w:val="nil"/>
            </w:tcBorders>
          </w:tcPr>
          <w:p w14:paraId="098152C8" w14:textId="77777777" w:rsidR="007C520A" w:rsidRPr="00E1551A" w:rsidRDefault="007C520A" w:rsidP="007C520A">
            <w:pPr>
              <w:ind w:left="360"/>
              <w:jc w:val="center"/>
              <w:rPr>
                <w:b/>
                <w:bCs/>
              </w:rPr>
            </w:pPr>
          </w:p>
        </w:tc>
        <w:tc>
          <w:tcPr>
            <w:tcW w:w="0" w:type="auto"/>
            <w:tcBorders>
              <w:top w:val="nil"/>
              <w:left w:val="nil"/>
              <w:bottom w:val="nil"/>
            </w:tcBorders>
            <w:noWrap/>
            <w:hideMark/>
          </w:tcPr>
          <w:p w14:paraId="41516978" w14:textId="77777777" w:rsidR="007C520A" w:rsidRPr="00E1551A" w:rsidRDefault="007C520A" w:rsidP="007C520A">
            <w:pPr>
              <w:ind w:left="360"/>
              <w:rPr>
                <w:b/>
                <w:bCs/>
              </w:rPr>
            </w:pPr>
            <w:r w:rsidRPr="00E1551A">
              <w:rPr>
                <w:b/>
                <w:bCs/>
              </w:rPr>
              <w:t>VAL</w:t>
            </w:r>
          </w:p>
        </w:tc>
        <w:tc>
          <w:tcPr>
            <w:tcW w:w="0" w:type="auto"/>
            <w:tcBorders>
              <w:top w:val="nil"/>
              <w:bottom w:val="single" w:sz="4" w:space="0" w:color="auto"/>
              <w:right w:val="nil"/>
            </w:tcBorders>
            <w:noWrap/>
            <w:hideMark/>
          </w:tcPr>
          <w:p w14:paraId="6B47FDE1" w14:textId="77777777" w:rsidR="007C520A" w:rsidRPr="00525139" w:rsidRDefault="00EC08E1" w:rsidP="00525139">
            <w:pPr>
              <w:jc w:val="center"/>
              <w:rPr>
                <w:i/>
              </w:rPr>
            </w:pPr>
            <w:r>
              <w:rPr>
                <w:i/>
              </w:rPr>
              <w:t>0.017</w:t>
            </w:r>
          </w:p>
        </w:tc>
        <w:tc>
          <w:tcPr>
            <w:tcW w:w="0" w:type="auto"/>
            <w:tcBorders>
              <w:top w:val="nil"/>
              <w:left w:val="nil"/>
              <w:bottom w:val="single" w:sz="4" w:space="0" w:color="auto"/>
              <w:right w:val="nil"/>
            </w:tcBorders>
            <w:noWrap/>
            <w:hideMark/>
          </w:tcPr>
          <w:p w14:paraId="43E3800C" w14:textId="77777777" w:rsidR="007C520A" w:rsidRPr="00525139" w:rsidRDefault="00EC08E1" w:rsidP="00525139">
            <w:pPr>
              <w:jc w:val="center"/>
              <w:rPr>
                <w:i/>
              </w:rPr>
            </w:pPr>
            <w:r>
              <w:rPr>
                <w:i/>
              </w:rPr>
              <w:t>0.013</w:t>
            </w:r>
          </w:p>
        </w:tc>
        <w:tc>
          <w:tcPr>
            <w:tcW w:w="0" w:type="auto"/>
            <w:tcBorders>
              <w:top w:val="nil"/>
              <w:left w:val="nil"/>
              <w:bottom w:val="single" w:sz="4" w:space="0" w:color="auto"/>
            </w:tcBorders>
            <w:noWrap/>
            <w:hideMark/>
          </w:tcPr>
          <w:p w14:paraId="09B42800" w14:textId="77777777" w:rsidR="007C520A" w:rsidRPr="00D10DFB" w:rsidRDefault="007C520A" w:rsidP="00525139">
            <w:pPr>
              <w:jc w:val="center"/>
              <w:rPr>
                <w:b/>
                <w:i/>
              </w:rPr>
            </w:pPr>
            <w:r w:rsidRPr="00D10DFB">
              <w:rPr>
                <w:b/>
                <w:i/>
              </w:rPr>
              <w:t>0.003</w:t>
            </w:r>
          </w:p>
        </w:tc>
        <w:tc>
          <w:tcPr>
            <w:tcW w:w="0" w:type="auto"/>
            <w:tcBorders>
              <w:top w:val="nil"/>
              <w:bottom w:val="single" w:sz="4" w:space="0" w:color="auto"/>
              <w:right w:val="nil"/>
            </w:tcBorders>
            <w:noWrap/>
            <w:hideMark/>
          </w:tcPr>
          <w:p w14:paraId="5F6F4118" w14:textId="77777777" w:rsidR="007C520A" w:rsidRPr="00E1551A" w:rsidRDefault="007C520A" w:rsidP="00525139">
            <w:pPr>
              <w:jc w:val="center"/>
            </w:pPr>
            <w:r w:rsidRPr="00E1551A">
              <w:t>0.013</w:t>
            </w:r>
          </w:p>
        </w:tc>
        <w:tc>
          <w:tcPr>
            <w:tcW w:w="0" w:type="auto"/>
            <w:tcBorders>
              <w:top w:val="nil"/>
              <w:left w:val="nil"/>
              <w:bottom w:val="single" w:sz="4" w:space="0" w:color="auto"/>
              <w:right w:val="nil"/>
            </w:tcBorders>
            <w:noWrap/>
            <w:hideMark/>
          </w:tcPr>
          <w:p w14:paraId="4A211F4B" w14:textId="77777777" w:rsidR="007C520A" w:rsidRPr="00E1551A" w:rsidRDefault="007C520A" w:rsidP="00525139">
            <w:pPr>
              <w:jc w:val="center"/>
            </w:pPr>
            <w:r w:rsidRPr="00E1551A">
              <w:t>0.037</w:t>
            </w:r>
          </w:p>
        </w:tc>
        <w:tc>
          <w:tcPr>
            <w:tcW w:w="0" w:type="auto"/>
            <w:tcBorders>
              <w:top w:val="nil"/>
              <w:left w:val="nil"/>
              <w:bottom w:val="single" w:sz="4" w:space="0" w:color="auto"/>
            </w:tcBorders>
            <w:noWrap/>
            <w:hideMark/>
          </w:tcPr>
          <w:p w14:paraId="73BA5776" w14:textId="77777777" w:rsidR="007C520A" w:rsidRPr="00E1551A" w:rsidRDefault="007C520A" w:rsidP="00525139">
            <w:pPr>
              <w:jc w:val="center"/>
            </w:pPr>
            <w:r w:rsidRPr="00E1551A">
              <w:t>0.017</w:t>
            </w:r>
          </w:p>
        </w:tc>
        <w:tc>
          <w:tcPr>
            <w:tcW w:w="0" w:type="auto"/>
            <w:tcBorders>
              <w:top w:val="nil"/>
              <w:bottom w:val="single" w:sz="4" w:space="0" w:color="auto"/>
              <w:right w:val="nil"/>
            </w:tcBorders>
            <w:noWrap/>
            <w:hideMark/>
          </w:tcPr>
          <w:p w14:paraId="4EBA3431" w14:textId="77777777" w:rsidR="007C520A" w:rsidRPr="00E1551A" w:rsidRDefault="007C520A" w:rsidP="00525139">
            <w:pPr>
              <w:jc w:val="center"/>
            </w:pPr>
            <w:r w:rsidRPr="00E1551A">
              <w:t>0.008</w:t>
            </w:r>
          </w:p>
        </w:tc>
        <w:tc>
          <w:tcPr>
            <w:tcW w:w="0" w:type="auto"/>
            <w:tcBorders>
              <w:top w:val="nil"/>
              <w:left w:val="nil"/>
              <w:bottom w:val="single" w:sz="4" w:space="0" w:color="auto"/>
              <w:right w:val="nil"/>
            </w:tcBorders>
            <w:noWrap/>
            <w:hideMark/>
          </w:tcPr>
          <w:p w14:paraId="58710C0C" w14:textId="77777777" w:rsidR="007C520A" w:rsidRPr="00E1551A" w:rsidRDefault="007C520A" w:rsidP="00525139">
            <w:pPr>
              <w:jc w:val="center"/>
            </w:pPr>
            <w:r w:rsidRPr="00E1551A">
              <w:t>0.147</w:t>
            </w:r>
          </w:p>
        </w:tc>
        <w:tc>
          <w:tcPr>
            <w:tcW w:w="0" w:type="auto"/>
            <w:tcBorders>
              <w:top w:val="nil"/>
              <w:left w:val="nil"/>
              <w:bottom w:val="single" w:sz="4" w:space="0" w:color="auto"/>
            </w:tcBorders>
            <w:noWrap/>
            <w:hideMark/>
          </w:tcPr>
          <w:p w14:paraId="03E816CF" w14:textId="77777777" w:rsidR="007C520A" w:rsidRPr="00E1551A" w:rsidRDefault="007C520A" w:rsidP="00525139">
            <w:pPr>
              <w:jc w:val="center"/>
            </w:pPr>
            <w:r w:rsidRPr="00E1551A">
              <w:t>0.177</w:t>
            </w:r>
          </w:p>
        </w:tc>
      </w:tr>
      <w:tr w:rsidR="007C520A" w:rsidRPr="00E1551A" w14:paraId="4848A067" w14:textId="77777777" w:rsidTr="00EC08E1">
        <w:trPr>
          <w:trHeight w:val="300"/>
          <w:jc w:val="center"/>
        </w:trPr>
        <w:tc>
          <w:tcPr>
            <w:tcW w:w="0" w:type="auto"/>
            <w:vMerge/>
            <w:tcBorders>
              <w:right w:val="nil"/>
            </w:tcBorders>
          </w:tcPr>
          <w:p w14:paraId="494EADD9" w14:textId="77777777" w:rsidR="007C520A" w:rsidRPr="00E1551A" w:rsidRDefault="007C520A" w:rsidP="007C520A">
            <w:pPr>
              <w:ind w:left="360"/>
              <w:jc w:val="center"/>
              <w:rPr>
                <w:b/>
                <w:bCs/>
              </w:rPr>
            </w:pPr>
          </w:p>
        </w:tc>
        <w:tc>
          <w:tcPr>
            <w:tcW w:w="0" w:type="auto"/>
            <w:tcBorders>
              <w:top w:val="nil"/>
              <w:left w:val="nil"/>
              <w:bottom w:val="nil"/>
            </w:tcBorders>
            <w:noWrap/>
            <w:hideMark/>
          </w:tcPr>
          <w:p w14:paraId="6A70465B" w14:textId="77777777" w:rsidR="007C520A" w:rsidRPr="00E1551A" w:rsidRDefault="007C520A" w:rsidP="007C520A">
            <w:pPr>
              <w:ind w:left="360"/>
              <w:rPr>
                <w:b/>
                <w:bCs/>
              </w:rPr>
            </w:pPr>
            <w:r w:rsidRPr="00E1551A">
              <w:rPr>
                <w:b/>
                <w:bCs/>
              </w:rPr>
              <w:t>CYS</w:t>
            </w:r>
          </w:p>
        </w:tc>
        <w:tc>
          <w:tcPr>
            <w:tcW w:w="0" w:type="auto"/>
            <w:tcBorders>
              <w:bottom w:val="nil"/>
              <w:right w:val="nil"/>
            </w:tcBorders>
            <w:noWrap/>
            <w:hideMark/>
          </w:tcPr>
          <w:p w14:paraId="7047F9CE" w14:textId="77777777" w:rsidR="007C520A" w:rsidRPr="00E1551A" w:rsidRDefault="00EC08E1" w:rsidP="00525139">
            <w:pPr>
              <w:jc w:val="center"/>
            </w:pPr>
            <w:r>
              <w:t>0.017</w:t>
            </w:r>
          </w:p>
        </w:tc>
        <w:tc>
          <w:tcPr>
            <w:tcW w:w="0" w:type="auto"/>
            <w:tcBorders>
              <w:left w:val="nil"/>
              <w:bottom w:val="nil"/>
              <w:right w:val="nil"/>
            </w:tcBorders>
            <w:noWrap/>
            <w:hideMark/>
          </w:tcPr>
          <w:p w14:paraId="1447517E" w14:textId="77777777" w:rsidR="007C520A" w:rsidRPr="00E1551A" w:rsidRDefault="007C520A" w:rsidP="00525139">
            <w:pPr>
              <w:jc w:val="center"/>
            </w:pPr>
            <w:r w:rsidRPr="00E1551A">
              <w:t>0.100</w:t>
            </w:r>
          </w:p>
        </w:tc>
        <w:tc>
          <w:tcPr>
            <w:tcW w:w="0" w:type="auto"/>
            <w:tcBorders>
              <w:left w:val="nil"/>
              <w:bottom w:val="nil"/>
            </w:tcBorders>
            <w:noWrap/>
            <w:hideMark/>
          </w:tcPr>
          <w:p w14:paraId="0F0E19C8" w14:textId="77777777" w:rsidR="007C520A" w:rsidRPr="00E1551A" w:rsidRDefault="00EC08E1" w:rsidP="00525139">
            <w:pPr>
              <w:jc w:val="center"/>
            </w:pPr>
            <w:r>
              <w:t>0.007</w:t>
            </w:r>
          </w:p>
        </w:tc>
        <w:tc>
          <w:tcPr>
            <w:tcW w:w="0" w:type="auto"/>
            <w:tcBorders>
              <w:bottom w:val="nil"/>
              <w:right w:val="nil"/>
            </w:tcBorders>
            <w:noWrap/>
            <w:hideMark/>
          </w:tcPr>
          <w:p w14:paraId="2AFFBA51" w14:textId="77777777" w:rsidR="007C520A" w:rsidRPr="00D10DFB" w:rsidRDefault="007C520A" w:rsidP="00525139">
            <w:pPr>
              <w:jc w:val="center"/>
              <w:rPr>
                <w:b/>
                <w:i/>
              </w:rPr>
            </w:pPr>
            <w:r w:rsidRPr="00D10DFB">
              <w:rPr>
                <w:b/>
                <w:i/>
              </w:rPr>
              <w:t>0.005</w:t>
            </w:r>
          </w:p>
        </w:tc>
        <w:tc>
          <w:tcPr>
            <w:tcW w:w="0" w:type="auto"/>
            <w:tcBorders>
              <w:left w:val="nil"/>
              <w:bottom w:val="nil"/>
              <w:right w:val="nil"/>
            </w:tcBorders>
            <w:noWrap/>
            <w:hideMark/>
          </w:tcPr>
          <w:p w14:paraId="2F9B72CB" w14:textId="77777777" w:rsidR="007C520A" w:rsidRPr="00525139" w:rsidRDefault="00EC08E1" w:rsidP="00525139">
            <w:pPr>
              <w:jc w:val="center"/>
              <w:rPr>
                <w:i/>
              </w:rPr>
            </w:pPr>
            <w:r>
              <w:rPr>
                <w:i/>
              </w:rPr>
              <w:t>0.013</w:t>
            </w:r>
          </w:p>
        </w:tc>
        <w:tc>
          <w:tcPr>
            <w:tcW w:w="0" w:type="auto"/>
            <w:tcBorders>
              <w:left w:val="nil"/>
              <w:bottom w:val="nil"/>
            </w:tcBorders>
            <w:noWrap/>
            <w:hideMark/>
          </w:tcPr>
          <w:p w14:paraId="798FA684" w14:textId="77777777" w:rsidR="007C520A" w:rsidRPr="00525139" w:rsidRDefault="00EC08E1" w:rsidP="00525139">
            <w:pPr>
              <w:jc w:val="center"/>
              <w:rPr>
                <w:i/>
              </w:rPr>
            </w:pPr>
            <w:r>
              <w:rPr>
                <w:i/>
              </w:rPr>
              <w:t>0.016</w:t>
            </w:r>
          </w:p>
        </w:tc>
        <w:tc>
          <w:tcPr>
            <w:tcW w:w="0" w:type="auto"/>
            <w:tcBorders>
              <w:bottom w:val="nil"/>
              <w:right w:val="nil"/>
            </w:tcBorders>
            <w:noWrap/>
            <w:hideMark/>
          </w:tcPr>
          <w:p w14:paraId="16F40ED1" w14:textId="77777777" w:rsidR="007C520A" w:rsidRPr="00E1551A" w:rsidRDefault="007C520A" w:rsidP="00525139">
            <w:pPr>
              <w:jc w:val="center"/>
            </w:pPr>
            <w:r w:rsidRPr="00E1551A">
              <w:t>0.047</w:t>
            </w:r>
          </w:p>
        </w:tc>
        <w:tc>
          <w:tcPr>
            <w:tcW w:w="0" w:type="auto"/>
            <w:tcBorders>
              <w:left w:val="nil"/>
              <w:bottom w:val="nil"/>
              <w:right w:val="nil"/>
            </w:tcBorders>
            <w:noWrap/>
            <w:hideMark/>
          </w:tcPr>
          <w:p w14:paraId="2BE91AF4" w14:textId="77777777" w:rsidR="007C520A" w:rsidRPr="00E1551A" w:rsidRDefault="00EC08E1" w:rsidP="00525139">
            <w:pPr>
              <w:jc w:val="center"/>
            </w:pPr>
            <w:r>
              <w:t>0.030</w:t>
            </w:r>
          </w:p>
        </w:tc>
        <w:tc>
          <w:tcPr>
            <w:tcW w:w="0" w:type="auto"/>
            <w:tcBorders>
              <w:left w:val="nil"/>
              <w:bottom w:val="nil"/>
            </w:tcBorders>
            <w:noWrap/>
            <w:hideMark/>
          </w:tcPr>
          <w:p w14:paraId="28BBD0DE" w14:textId="77777777" w:rsidR="007C520A" w:rsidRPr="00E1551A" w:rsidRDefault="007C520A" w:rsidP="00525139">
            <w:pPr>
              <w:jc w:val="center"/>
            </w:pPr>
            <w:r w:rsidRPr="00E1551A">
              <w:t>0.055</w:t>
            </w:r>
          </w:p>
        </w:tc>
      </w:tr>
      <w:tr w:rsidR="007C520A" w:rsidRPr="00E1551A" w14:paraId="7C84AC10" w14:textId="77777777" w:rsidTr="00EC08E1">
        <w:trPr>
          <w:trHeight w:val="300"/>
          <w:jc w:val="center"/>
        </w:trPr>
        <w:tc>
          <w:tcPr>
            <w:tcW w:w="0" w:type="auto"/>
            <w:vMerge/>
            <w:tcBorders>
              <w:right w:val="nil"/>
            </w:tcBorders>
          </w:tcPr>
          <w:p w14:paraId="253E5B66" w14:textId="77777777" w:rsidR="007C520A" w:rsidRDefault="007C520A" w:rsidP="007C520A">
            <w:pPr>
              <w:ind w:left="360"/>
              <w:jc w:val="center"/>
              <w:rPr>
                <w:b/>
                <w:bCs/>
              </w:rPr>
            </w:pPr>
          </w:p>
        </w:tc>
        <w:tc>
          <w:tcPr>
            <w:tcW w:w="0" w:type="auto"/>
            <w:tcBorders>
              <w:top w:val="nil"/>
              <w:left w:val="nil"/>
              <w:bottom w:val="nil"/>
            </w:tcBorders>
            <w:noWrap/>
            <w:hideMark/>
          </w:tcPr>
          <w:p w14:paraId="64451292" w14:textId="77777777" w:rsidR="007C520A" w:rsidRPr="00E1551A" w:rsidRDefault="007C520A" w:rsidP="007C520A">
            <w:pPr>
              <w:ind w:left="360"/>
              <w:rPr>
                <w:b/>
                <w:bCs/>
              </w:rPr>
            </w:pPr>
            <w:r>
              <w:rPr>
                <w:b/>
                <w:bCs/>
              </w:rPr>
              <w:t>MET</w:t>
            </w:r>
          </w:p>
        </w:tc>
        <w:tc>
          <w:tcPr>
            <w:tcW w:w="0" w:type="auto"/>
            <w:tcBorders>
              <w:top w:val="nil"/>
              <w:bottom w:val="nil"/>
              <w:right w:val="nil"/>
            </w:tcBorders>
            <w:noWrap/>
            <w:hideMark/>
          </w:tcPr>
          <w:p w14:paraId="48E665EC" w14:textId="77777777" w:rsidR="007C520A" w:rsidRPr="00E1551A" w:rsidRDefault="00EC08E1" w:rsidP="00525139">
            <w:pPr>
              <w:jc w:val="center"/>
            </w:pPr>
            <w:r>
              <w:t>0.014</w:t>
            </w:r>
          </w:p>
        </w:tc>
        <w:tc>
          <w:tcPr>
            <w:tcW w:w="0" w:type="auto"/>
            <w:tcBorders>
              <w:top w:val="nil"/>
              <w:left w:val="nil"/>
              <w:bottom w:val="nil"/>
              <w:right w:val="nil"/>
            </w:tcBorders>
            <w:noWrap/>
            <w:hideMark/>
          </w:tcPr>
          <w:p w14:paraId="49E0E461" w14:textId="77777777" w:rsidR="007C520A" w:rsidRPr="00E1551A" w:rsidRDefault="00EC08E1" w:rsidP="00525139">
            <w:pPr>
              <w:jc w:val="center"/>
            </w:pPr>
            <w:r>
              <w:t>0.019</w:t>
            </w:r>
          </w:p>
        </w:tc>
        <w:tc>
          <w:tcPr>
            <w:tcW w:w="0" w:type="auto"/>
            <w:tcBorders>
              <w:top w:val="nil"/>
              <w:left w:val="nil"/>
              <w:bottom w:val="nil"/>
            </w:tcBorders>
            <w:noWrap/>
            <w:hideMark/>
          </w:tcPr>
          <w:p w14:paraId="53A62851" w14:textId="77777777" w:rsidR="007C520A" w:rsidRPr="00E1551A" w:rsidRDefault="007C520A" w:rsidP="00525139">
            <w:pPr>
              <w:jc w:val="center"/>
            </w:pPr>
            <w:r w:rsidRPr="00E1551A">
              <w:t>0.185</w:t>
            </w:r>
          </w:p>
        </w:tc>
        <w:tc>
          <w:tcPr>
            <w:tcW w:w="0" w:type="auto"/>
            <w:tcBorders>
              <w:top w:val="nil"/>
              <w:bottom w:val="nil"/>
              <w:right w:val="nil"/>
            </w:tcBorders>
            <w:noWrap/>
            <w:hideMark/>
          </w:tcPr>
          <w:p w14:paraId="2865856B" w14:textId="77777777" w:rsidR="007C520A" w:rsidRPr="00525139" w:rsidRDefault="00EC08E1" w:rsidP="00525139">
            <w:pPr>
              <w:jc w:val="center"/>
              <w:rPr>
                <w:i/>
              </w:rPr>
            </w:pPr>
            <w:r>
              <w:rPr>
                <w:i/>
              </w:rPr>
              <w:t>0.012</w:t>
            </w:r>
          </w:p>
        </w:tc>
        <w:tc>
          <w:tcPr>
            <w:tcW w:w="0" w:type="auto"/>
            <w:tcBorders>
              <w:top w:val="nil"/>
              <w:left w:val="nil"/>
              <w:bottom w:val="nil"/>
              <w:right w:val="nil"/>
            </w:tcBorders>
            <w:noWrap/>
            <w:hideMark/>
          </w:tcPr>
          <w:p w14:paraId="59BC131D" w14:textId="77777777" w:rsidR="007C520A" w:rsidRPr="00D10DFB" w:rsidRDefault="007C520A" w:rsidP="00525139">
            <w:pPr>
              <w:jc w:val="center"/>
              <w:rPr>
                <w:b/>
                <w:i/>
              </w:rPr>
            </w:pPr>
            <w:r w:rsidRPr="00D10DFB">
              <w:rPr>
                <w:b/>
                <w:i/>
              </w:rPr>
              <w:t>0.002</w:t>
            </w:r>
          </w:p>
        </w:tc>
        <w:tc>
          <w:tcPr>
            <w:tcW w:w="0" w:type="auto"/>
            <w:tcBorders>
              <w:top w:val="nil"/>
              <w:left w:val="nil"/>
              <w:bottom w:val="nil"/>
            </w:tcBorders>
            <w:noWrap/>
            <w:hideMark/>
          </w:tcPr>
          <w:p w14:paraId="1F36370C" w14:textId="77777777" w:rsidR="007C520A" w:rsidRPr="00525139" w:rsidRDefault="00EC08E1" w:rsidP="00525139">
            <w:pPr>
              <w:jc w:val="center"/>
              <w:rPr>
                <w:i/>
              </w:rPr>
            </w:pPr>
            <w:r>
              <w:rPr>
                <w:i/>
              </w:rPr>
              <w:t>0.013</w:t>
            </w:r>
          </w:p>
        </w:tc>
        <w:tc>
          <w:tcPr>
            <w:tcW w:w="0" w:type="auto"/>
            <w:tcBorders>
              <w:top w:val="nil"/>
              <w:bottom w:val="nil"/>
              <w:right w:val="nil"/>
            </w:tcBorders>
            <w:noWrap/>
            <w:hideMark/>
          </w:tcPr>
          <w:p w14:paraId="7DEA9655" w14:textId="77777777" w:rsidR="007C520A" w:rsidRPr="00E1551A" w:rsidRDefault="007C520A" w:rsidP="00525139">
            <w:pPr>
              <w:jc w:val="center"/>
            </w:pPr>
            <w:r w:rsidRPr="00E1551A">
              <w:t>0.036</w:t>
            </w:r>
          </w:p>
        </w:tc>
        <w:tc>
          <w:tcPr>
            <w:tcW w:w="0" w:type="auto"/>
            <w:tcBorders>
              <w:top w:val="nil"/>
              <w:left w:val="nil"/>
              <w:bottom w:val="nil"/>
              <w:right w:val="nil"/>
            </w:tcBorders>
            <w:noWrap/>
            <w:hideMark/>
          </w:tcPr>
          <w:p w14:paraId="2B9625F4" w14:textId="77777777" w:rsidR="007C520A" w:rsidRPr="00E1551A" w:rsidRDefault="00EC08E1" w:rsidP="00525139">
            <w:pPr>
              <w:jc w:val="center"/>
            </w:pPr>
            <w:r>
              <w:t>0.025</w:t>
            </w:r>
          </w:p>
        </w:tc>
        <w:tc>
          <w:tcPr>
            <w:tcW w:w="0" w:type="auto"/>
            <w:tcBorders>
              <w:top w:val="nil"/>
              <w:left w:val="nil"/>
              <w:bottom w:val="nil"/>
            </w:tcBorders>
            <w:noWrap/>
            <w:hideMark/>
          </w:tcPr>
          <w:p w14:paraId="3A3ACAD9" w14:textId="77777777" w:rsidR="007C520A" w:rsidRPr="00E1551A" w:rsidRDefault="007C520A" w:rsidP="00525139">
            <w:pPr>
              <w:jc w:val="center"/>
            </w:pPr>
            <w:r w:rsidRPr="00E1551A">
              <w:t>0.084</w:t>
            </w:r>
          </w:p>
        </w:tc>
      </w:tr>
      <w:tr w:rsidR="007C520A" w:rsidRPr="00E1551A" w14:paraId="0837BB49" w14:textId="77777777" w:rsidTr="00EC08E1">
        <w:trPr>
          <w:trHeight w:val="300"/>
          <w:jc w:val="center"/>
        </w:trPr>
        <w:tc>
          <w:tcPr>
            <w:tcW w:w="0" w:type="auto"/>
            <w:vMerge/>
            <w:tcBorders>
              <w:right w:val="nil"/>
            </w:tcBorders>
          </w:tcPr>
          <w:p w14:paraId="08C9DBB9" w14:textId="77777777" w:rsidR="007C520A" w:rsidRDefault="007C520A" w:rsidP="007C520A">
            <w:pPr>
              <w:ind w:left="360"/>
              <w:jc w:val="center"/>
              <w:rPr>
                <w:b/>
                <w:bCs/>
              </w:rPr>
            </w:pPr>
          </w:p>
        </w:tc>
        <w:tc>
          <w:tcPr>
            <w:tcW w:w="0" w:type="auto"/>
            <w:tcBorders>
              <w:top w:val="nil"/>
              <w:left w:val="nil"/>
              <w:bottom w:val="nil"/>
            </w:tcBorders>
            <w:noWrap/>
            <w:hideMark/>
          </w:tcPr>
          <w:p w14:paraId="42FF1010" w14:textId="77777777" w:rsidR="007C520A" w:rsidRPr="00E1551A" w:rsidRDefault="007C520A" w:rsidP="007C520A">
            <w:pPr>
              <w:ind w:left="360"/>
              <w:rPr>
                <w:b/>
                <w:bCs/>
              </w:rPr>
            </w:pPr>
            <w:r>
              <w:rPr>
                <w:b/>
                <w:bCs/>
              </w:rPr>
              <w:t>THR</w:t>
            </w:r>
          </w:p>
        </w:tc>
        <w:tc>
          <w:tcPr>
            <w:tcW w:w="0" w:type="auto"/>
            <w:tcBorders>
              <w:top w:val="nil"/>
              <w:bottom w:val="single" w:sz="4" w:space="0" w:color="auto"/>
              <w:right w:val="nil"/>
            </w:tcBorders>
            <w:noWrap/>
            <w:hideMark/>
          </w:tcPr>
          <w:p w14:paraId="4E181712" w14:textId="77777777" w:rsidR="007C520A" w:rsidRPr="00E1551A" w:rsidRDefault="00EC08E1" w:rsidP="00525139">
            <w:pPr>
              <w:jc w:val="center"/>
            </w:pPr>
            <w:r>
              <w:t>0.01</w:t>
            </w:r>
            <w:r w:rsidR="007C520A" w:rsidRPr="00E1551A">
              <w:t>8</w:t>
            </w:r>
          </w:p>
        </w:tc>
        <w:tc>
          <w:tcPr>
            <w:tcW w:w="0" w:type="auto"/>
            <w:tcBorders>
              <w:top w:val="nil"/>
              <w:left w:val="nil"/>
              <w:bottom w:val="single" w:sz="4" w:space="0" w:color="auto"/>
              <w:right w:val="nil"/>
            </w:tcBorders>
            <w:noWrap/>
            <w:hideMark/>
          </w:tcPr>
          <w:p w14:paraId="0D39DE8A" w14:textId="77777777" w:rsidR="007C520A" w:rsidRPr="00E1551A" w:rsidRDefault="00EC08E1" w:rsidP="00525139">
            <w:pPr>
              <w:jc w:val="center"/>
            </w:pPr>
            <w:r>
              <w:t>0.018</w:t>
            </w:r>
          </w:p>
        </w:tc>
        <w:tc>
          <w:tcPr>
            <w:tcW w:w="0" w:type="auto"/>
            <w:tcBorders>
              <w:top w:val="nil"/>
              <w:left w:val="nil"/>
              <w:bottom w:val="single" w:sz="4" w:space="0" w:color="auto"/>
            </w:tcBorders>
            <w:noWrap/>
            <w:hideMark/>
          </w:tcPr>
          <w:p w14:paraId="001B152D" w14:textId="77777777" w:rsidR="007C520A" w:rsidRPr="00E1551A" w:rsidRDefault="007C520A" w:rsidP="00525139">
            <w:pPr>
              <w:jc w:val="center"/>
            </w:pPr>
            <w:r w:rsidRPr="00E1551A">
              <w:t>0.014</w:t>
            </w:r>
          </w:p>
        </w:tc>
        <w:tc>
          <w:tcPr>
            <w:tcW w:w="0" w:type="auto"/>
            <w:tcBorders>
              <w:top w:val="nil"/>
              <w:bottom w:val="single" w:sz="4" w:space="0" w:color="auto"/>
              <w:right w:val="nil"/>
            </w:tcBorders>
            <w:noWrap/>
            <w:hideMark/>
          </w:tcPr>
          <w:p w14:paraId="2A0805F0" w14:textId="77777777" w:rsidR="007C520A" w:rsidRPr="00525139" w:rsidRDefault="00EC08E1" w:rsidP="00525139">
            <w:pPr>
              <w:jc w:val="center"/>
              <w:rPr>
                <w:i/>
              </w:rPr>
            </w:pPr>
            <w:r>
              <w:rPr>
                <w:i/>
              </w:rPr>
              <w:t>0.012</w:t>
            </w:r>
          </w:p>
        </w:tc>
        <w:tc>
          <w:tcPr>
            <w:tcW w:w="0" w:type="auto"/>
            <w:tcBorders>
              <w:top w:val="nil"/>
              <w:left w:val="nil"/>
              <w:bottom w:val="single" w:sz="4" w:space="0" w:color="auto"/>
              <w:right w:val="nil"/>
            </w:tcBorders>
            <w:noWrap/>
            <w:hideMark/>
          </w:tcPr>
          <w:p w14:paraId="10D89093" w14:textId="77777777" w:rsidR="007C520A" w:rsidRPr="00525139" w:rsidRDefault="00EC08E1" w:rsidP="00525139">
            <w:pPr>
              <w:jc w:val="center"/>
              <w:rPr>
                <w:i/>
              </w:rPr>
            </w:pPr>
            <w:r>
              <w:rPr>
                <w:i/>
              </w:rPr>
              <w:t>0.014</w:t>
            </w:r>
          </w:p>
        </w:tc>
        <w:tc>
          <w:tcPr>
            <w:tcW w:w="0" w:type="auto"/>
            <w:tcBorders>
              <w:top w:val="nil"/>
              <w:left w:val="nil"/>
              <w:bottom w:val="single" w:sz="4" w:space="0" w:color="auto"/>
            </w:tcBorders>
            <w:noWrap/>
            <w:hideMark/>
          </w:tcPr>
          <w:p w14:paraId="5F2F04BB" w14:textId="77777777" w:rsidR="007C520A" w:rsidRPr="00D10DFB" w:rsidRDefault="007C520A" w:rsidP="00525139">
            <w:pPr>
              <w:jc w:val="center"/>
              <w:rPr>
                <w:b/>
                <w:i/>
              </w:rPr>
            </w:pPr>
            <w:r w:rsidRPr="00D10DFB">
              <w:rPr>
                <w:b/>
                <w:i/>
              </w:rPr>
              <w:t>0.008</w:t>
            </w:r>
          </w:p>
        </w:tc>
        <w:tc>
          <w:tcPr>
            <w:tcW w:w="0" w:type="auto"/>
            <w:tcBorders>
              <w:top w:val="nil"/>
              <w:bottom w:val="single" w:sz="4" w:space="0" w:color="auto"/>
              <w:right w:val="nil"/>
            </w:tcBorders>
            <w:noWrap/>
            <w:hideMark/>
          </w:tcPr>
          <w:p w14:paraId="29D57604" w14:textId="77777777" w:rsidR="007C520A" w:rsidRPr="00E1551A" w:rsidRDefault="007C520A" w:rsidP="00525139">
            <w:pPr>
              <w:jc w:val="center"/>
            </w:pPr>
            <w:r w:rsidRPr="00E1551A">
              <w:t>0.009</w:t>
            </w:r>
          </w:p>
        </w:tc>
        <w:tc>
          <w:tcPr>
            <w:tcW w:w="0" w:type="auto"/>
            <w:tcBorders>
              <w:top w:val="nil"/>
              <w:left w:val="nil"/>
              <w:bottom w:val="single" w:sz="4" w:space="0" w:color="auto"/>
              <w:right w:val="nil"/>
            </w:tcBorders>
            <w:noWrap/>
            <w:hideMark/>
          </w:tcPr>
          <w:p w14:paraId="7D1D497F" w14:textId="77777777" w:rsidR="007C520A" w:rsidRPr="00E1551A" w:rsidRDefault="00EC08E1" w:rsidP="00525139">
            <w:pPr>
              <w:jc w:val="center"/>
            </w:pPr>
            <w:r>
              <w:t>0.021</w:t>
            </w:r>
          </w:p>
        </w:tc>
        <w:tc>
          <w:tcPr>
            <w:tcW w:w="0" w:type="auto"/>
            <w:tcBorders>
              <w:top w:val="nil"/>
              <w:left w:val="nil"/>
              <w:bottom w:val="single" w:sz="4" w:space="0" w:color="auto"/>
            </w:tcBorders>
            <w:noWrap/>
            <w:hideMark/>
          </w:tcPr>
          <w:p w14:paraId="6799895E" w14:textId="77777777" w:rsidR="007C520A" w:rsidRPr="00E1551A" w:rsidRDefault="007C520A" w:rsidP="00525139">
            <w:pPr>
              <w:jc w:val="center"/>
            </w:pPr>
            <w:r w:rsidRPr="00E1551A">
              <w:t>0.117</w:t>
            </w:r>
          </w:p>
        </w:tc>
      </w:tr>
      <w:tr w:rsidR="007C520A" w:rsidRPr="00E1551A" w14:paraId="64F71D80" w14:textId="77777777" w:rsidTr="00EC08E1">
        <w:trPr>
          <w:trHeight w:val="300"/>
          <w:jc w:val="center"/>
        </w:trPr>
        <w:tc>
          <w:tcPr>
            <w:tcW w:w="0" w:type="auto"/>
            <w:vMerge/>
            <w:tcBorders>
              <w:right w:val="nil"/>
            </w:tcBorders>
          </w:tcPr>
          <w:p w14:paraId="5D1894B8" w14:textId="77777777" w:rsidR="007C520A" w:rsidRPr="00E1551A" w:rsidRDefault="007C520A" w:rsidP="007C520A">
            <w:pPr>
              <w:ind w:left="360"/>
              <w:jc w:val="center"/>
              <w:rPr>
                <w:b/>
                <w:bCs/>
              </w:rPr>
            </w:pPr>
          </w:p>
        </w:tc>
        <w:tc>
          <w:tcPr>
            <w:tcW w:w="0" w:type="auto"/>
            <w:tcBorders>
              <w:top w:val="nil"/>
              <w:left w:val="nil"/>
              <w:bottom w:val="nil"/>
            </w:tcBorders>
            <w:noWrap/>
            <w:hideMark/>
          </w:tcPr>
          <w:p w14:paraId="130E2F56" w14:textId="77777777" w:rsidR="007C520A" w:rsidRPr="00E1551A" w:rsidRDefault="007C520A" w:rsidP="007C520A">
            <w:pPr>
              <w:ind w:left="360"/>
              <w:rPr>
                <w:b/>
                <w:bCs/>
              </w:rPr>
            </w:pPr>
            <w:r w:rsidRPr="00E1551A">
              <w:rPr>
                <w:b/>
                <w:bCs/>
              </w:rPr>
              <w:t>ARG</w:t>
            </w:r>
          </w:p>
        </w:tc>
        <w:tc>
          <w:tcPr>
            <w:tcW w:w="0" w:type="auto"/>
            <w:tcBorders>
              <w:bottom w:val="nil"/>
              <w:right w:val="nil"/>
            </w:tcBorders>
            <w:noWrap/>
            <w:hideMark/>
          </w:tcPr>
          <w:p w14:paraId="223ABD93" w14:textId="77777777" w:rsidR="007C520A" w:rsidRPr="00E1551A" w:rsidRDefault="007C520A" w:rsidP="00525139">
            <w:pPr>
              <w:jc w:val="center"/>
            </w:pPr>
            <w:r w:rsidRPr="00E1551A">
              <w:t>0.035</w:t>
            </w:r>
          </w:p>
        </w:tc>
        <w:tc>
          <w:tcPr>
            <w:tcW w:w="0" w:type="auto"/>
            <w:tcBorders>
              <w:left w:val="nil"/>
              <w:bottom w:val="nil"/>
              <w:right w:val="nil"/>
            </w:tcBorders>
            <w:noWrap/>
            <w:hideMark/>
          </w:tcPr>
          <w:p w14:paraId="4287873F" w14:textId="77777777" w:rsidR="007C520A" w:rsidRPr="00E1551A" w:rsidRDefault="00EC08E1" w:rsidP="00525139">
            <w:pPr>
              <w:jc w:val="center"/>
            </w:pPr>
            <w:r>
              <w:t>0.013</w:t>
            </w:r>
          </w:p>
        </w:tc>
        <w:tc>
          <w:tcPr>
            <w:tcW w:w="0" w:type="auto"/>
            <w:tcBorders>
              <w:left w:val="nil"/>
              <w:bottom w:val="nil"/>
            </w:tcBorders>
            <w:noWrap/>
            <w:hideMark/>
          </w:tcPr>
          <w:p w14:paraId="645C435E" w14:textId="77777777" w:rsidR="007C520A" w:rsidRPr="00E1551A" w:rsidRDefault="007C520A" w:rsidP="00525139">
            <w:pPr>
              <w:jc w:val="center"/>
            </w:pPr>
            <w:r w:rsidRPr="00E1551A">
              <w:t>0.108</w:t>
            </w:r>
          </w:p>
        </w:tc>
        <w:tc>
          <w:tcPr>
            <w:tcW w:w="0" w:type="auto"/>
            <w:tcBorders>
              <w:bottom w:val="nil"/>
              <w:right w:val="nil"/>
            </w:tcBorders>
            <w:noWrap/>
            <w:hideMark/>
          </w:tcPr>
          <w:p w14:paraId="429151ED" w14:textId="77777777" w:rsidR="007C520A" w:rsidRPr="00E1551A" w:rsidRDefault="00EC08E1" w:rsidP="00525139">
            <w:pPr>
              <w:jc w:val="center"/>
            </w:pPr>
            <w:r>
              <w:t>0.014</w:t>
            </w:r>
          </w:p>
        </w:tc>
        <w:tc>
          <w:tcPr>
            <w:tcW w:w="0" w:type="auto"/>
            <w:tcBorders>
              <w:left w:val="nil"/>
              <w:bottom w:val="nil"/>
              <w:right w:val="nil"/>
            </w:tcBorders>
            <w:noWrap/>
            <w:hideMark/>
          </w:tcPr>
          <w:p w14:paraId="5C00D6B3" w14:textId="77777777" w:rsidR="007C520A" w:rsidRPr="00E1551A" w:rsidRDefault="00EC08E1" w:rsidP="00525139">
            <w:pPr>
              <w:jc w:val="center"/>
            </w:pPr>
            <w:r>
              <w:t>0.018</w:t>
            </w:r>
          </w:p>
        </w:tc>
        <w:tc>
          <w:tcPr>
            <w:tcW w:w="0" w:type="auto"/>
            <w:tcBorders>
              <w:left w:val="nil"/>
              <w:bottom w:val="nil"/>
            </w:tcBorders>
            <w:noWrap/>
            <w:hideMark/>
          </w:tcPr>
          <w:p w14:paraId="2739768F" w14:textId="77777777" w:rsidR="007C520A" w:rsidRPr="00E1551A" w:rsidRDefault="007C520A" w:rsidP="00525139">
            <w:pPr>
              <w:jc w:val="center"/>
            </w:pPr>
            <w:r w:rsidRPr="00E1551A">
              <w:t>0.057</w:t>
            </w:r>
          </w:p>
        </w:tc>
        <w:tc>
          <w:tcPr>
            <w:tcW w:w="0" w:type="auto"/>
            <w:tcBorders>
              <w:bottom w:val="nil"/>
              <w:right w:val="nil"/>
            </w:tcBorders>
            <w:noWrap/>
            <w:hideMark/>
          </w:tcPr>
          <w:p w14:paraId="62860425" w14:textId="77777777" w:rsidR="007C520A" w:rsidRPr="00D10DFB" w:rsidRDefault="007C520A" w:rsidP="00525139">
            <w:pPr>
              <w:jc w:val="center"/>
              <w:rPr>
                <w:b/>
                <w:i/>
              </w:rPr>
            </w:pPr>
            <w:r w:rsidRPr="00D10DFB">
              <w:rPr>
                <w:b/>
                <w:i/>
              </w:rPr>
              <w:t>0.005</w:t>
            </w:r>
          </w:p>
        </w:tc>
        <w:tc>
          <w:tcPr>
            <w:tcW w:w="0" w:type="auto"/>
            <w:tcBorders>
              <w:left w:val="nil"/>
              <w:bottom w:val="nil"/>
              <w:right w:val="nil"/>
            </w:tcBorders>
            <w:noWrap/>
            <w:hideMark/>
          </w:tcPr>
          <w:p w14:paraId="4A59E21F" w14:textId="77777777" w:rsidR="007C520A" w:rsidRPr="00525139" w:rsidRDefault="00EC08E1" w:rsidP="00525139">
            <w:pPr>
              <w:jc w:val="center"/>
              <w:rPr>
                <w:i/>
              </w:rPr>
            </w:pPr>
            <w:r>
              <w:rPr>
                <w:i/>
              </w:rPr>
              <w:t>0.048</w:t>
            </w:r>
          </w:p>
        </w:tc>
        <w:tc>
          <w:tcPr>
            <w:tcW w:w="0" w:type="auto"/>
            <w:tcBorders>
              <w:left w:val="nil"/>
              <w:bottom w:val="nil"/>
            </w:tcBorders>
            <w:noWrap/>
            <w:hideMark/>
          </w:tcPr>
          <w:p w14:paraId="7544A191" w14:textId="77777777" w:rsidR="007C520A" w:rsidRPr="00525139" w:rsidRDefault="00EC08E1" w:rsidP="00525139">
            <w:pPr>
              <w:jc w:val="center"/>
              <w:rPr>
                <w:i/>
              </w:rPr>
            </w:pPr>
            <w:r>
              <w:rPr>
                <w:i/>
              </w:rPr>
              <w:t>0.013</w:t>
            </w:r>
          </w:p>
        </w:tc>
      </w:tr>
      <w:tr w:rsidR="007C520A" w:rsidRPr="00E1551A" w14:paraId="12DA8381" w14:textId="77777777" w:rsidTr="00EC08E1">
        <w:trPr>
          <w:trHeight w:val="300"/>
          <w:jc w:val="center"/>
        </w:trPr>
        <w:tc>
          <w:tcPr>
            <w:tcW w:w="0" w:type="auto"/>
            <w:vMerge/>
            <w:tcBorders>
              <w:right w:val="nil"/>
            </w:tcBorders>
          </w:tcPr>
          <w:p w14:paraId="7733B201" w14:textId="77777777" w:rsidR="007C520A" w:rsidRDefault="007C520A" w:rsidP="007C520A">
            <w:pPr>
              <w:ind w:left="360"/>
              <w:jc w:val="center"/>
              <w:rPr>
                <w:b/>
                <w:bCs/>
              </w:rPr>
            </w:pPr>
          </w:p>
        </w:tc>
        <w:tc>
          <w:tcPr>
            <w:tcW w:w="0" w:type="auto"/>
            <w:tcBorders>
              <w:top w:val="nil"/>
              <w:left w:val="nil"/>
              <w:bottom w:val="nil"/>
            </w:tcBorders>
            <w:noWrap/>
            <w:hideMark/>
          </w:tcPr>
          <w:p w14:paraId="1540CFE5" w14:textId="77777777" w:rsidR="007C520A" w:rsidRPr="00E1551A" w:rsidRDefault="007C520A" w:rsidP="007C520A">
            <w:pPr>
              <w:ind w:left="360"/>
              <w:rPr>
                <w:b/>
                <w:bCs/>
              </w:rPr>
            </w:pPr>
            <w:r>
              <w:rPr>
                <w:b/>
                <w:bCs/>
              </w:rPr>
              <w:t>ASN</w:t>
            </w:r>
          </w:p>
        </w:tc>
        <w:tc>
          <w:tcPr>
            <w:tcW w:w="0" w:type="auto"/>
            <w:tcBorders>
              <w:top w:val="nil"/>
              <w:bottom w:val="nil"/>
              <w:right w:val="nil"/>
            </w:tcBorders>
            <w:noWrap/>
            <w:hideMark/>
          </w:tcPr>
          <w:p w14:paraId="72743DA9" w14:textId="77777777" w:rsidR="007C520A" w:rsidRPr="00E1551A" w:rsidRDefault="007C520A" w:rsidP="00525139">
            <w:pPr>
              <w:jc w:val="center"/>
            </w:pPr>
            <w:r w:rsidRPr="00E1551A">
              <w:t>0.012</w:t>
            </w:r>
          </w:p>
        </w:tc>
        <w:tc>
          <w:tcPr>
            <w:tcW w:w="0" w:type="auto"/>
            <w:tcBorders>
              <w:top w:val="nil"/>
              <w:left w:val="nil"/>
              <w:bottom w:val="nil"/>
              <w:right w:val="nil"/>
            </w:tcBorders>
            <w:noWrap/>
            <w:hideMark/>
          </w:tcPr>
          <w:p w14:paraId="706E6272" w14:textId="77777777" w:rsidR="007C520A" w:rsidRPr="00E1551A" w:rsidRDefault="00EC08E1" w:rsidP="00525139">
            <w:pPr>
              <w:jc w:val="center"/>
            </w:pPr>
            <w:r>
              <w:t>0.02</w:t>
            </w:r>
            <w:r w:rsidR="007C520A" w:rsidRPr="00E1551A">
              <w:t>9</w:t>
            </w:r>
          </w:p>
        </w:tc>
        <w:tc>
          <w:tcPr>
            <w:tcW w:w="0" w:type="auto"/>
            <w:tcBorders>
              <w:top w:val="nil"/>
              <w:left w:val="nil"/>
              <w:bottom w:val="nil"/>
            </w:tcBorders>
            <w:noWrap/>
            <w:hideMark/>
          </w:tcPr>
          <w:p w14:paraId="55C3988A" w14:textId="77777777" w:rsidR="007C520A" w:rsidRPr="00E1551A" w:rsidRDefault="00EC08E1" w:rsidP="00525139">
            <w:pPr>
              <w:jc w:val="center"/>
            </w:pPr>
            <w:r>
              <w:t>0.013</w:t>
            </w:r>
          </w:p>
        </w:tc>
        <w:tc>
          <w:tcPr>
            <w:tcW w:w="0" w:type="auto"/>
            <w:tcBorders>
              <w:top w:val="nil"/>
              <w:bottom w:val="nil"/>
              <w:right w:val="nil"/>
            </w:tcBorders>
            <w:noWrap/>
            <w:hideMark/>
          </w:tcPr>
          <w:p w14:paraId="4BBFB9FA" w14:textId="77777777" w:rsidR="007C520A" w:rsidRPr="00E1551A" w:rsidRDefault="007C520A" w:rsidP="00525139">
            <w:pPr>
              <w:jc w:val="center"/>
            </w:pPr>
            <w:r w:rsidRPr="00E1551A">
              <w:t>0.021</w:t>
            </w:r>
          </w:p>
        </w:tc>
        <w:tc>
          <w:tcPr>
            <w:tcW w:w="0" w:type="auto"/>
            <w:tcBorders>
              <w:top w:val="nil"/>
              <w:left w:val="nil"/>
              <w:bottom w:val="nil"/>
              <w:right w:val="nil"/>
            </w:tcBorders>
            <w:noWrap/>
            <w:hideMark/>
          </w:tcPr>
          <w:p w14:paraId="154E8F7A" w14:textId="77777777" w:rsidR="007C520A" w:rsidRPr="00E1551A" w:rsidRDefault="007C520A" w:rsidP="00525139">
            <w:pPr>
              <w:jc w:val="center"/>
            </w:pPr>
            <w:r w:rsidRPr="00E1551A">
              <w:t>0.029</w:t>
            </w:r>
          </w:p>
        </w:tc>
        <w:tc>
          <w:tcPr>
            <w:tcW w:w="0" w:type="auto"/>
            <w:tcBorders>
              <w:top w:val="nil"/>
              <w:left w:val="nil"/>
              <w:bottom w:val="nil"/>
            </w:tcBorders>
            <w:noWrap/>
            <w:hideMark/>
          </w:tcPr>
          <w:p w14:paraId="01E30521" w14:textId="77777777" w:rsidR="007C520A" w:rsidRPr="00E1551A" w:rsidRDefault="00EC08E1" w:rsidP="00525139">
            <w:pPr>
              <w:jc w:val="center"/>
            </w:pPr>
            <w:r>
              <w:t>0.037</w:t>
            </w:r>
          </w:p>
        </w:tc>
        <w:tc>
          <w:tcPr>
            <w:tcW w:w="0" w:type="auto"/>
            <w:tcBorders>
              <w:top w:val="nil"/>
              <w:bottom w:val="nil"/>
              <w:right w:val="nil"/>
            </w:tcBorders>
            <w:noWrap/>
            <w:hideMark/>
          </w:tcPr>
          <w:p w14:paraId="7D48733D" w14:textId="77777777" w:rsidR="007C520A" w:rsidRPr="00525139" w:rsidRDefault="007C520A" w:rsidP="00525139">
            <w:pPr>
              <w:jc w:val="center"/>
              <w:rPr>
                <w:i/>
              </w:rPr>
            </w:pPr>
            <w:r w:rsidRPr="00525139">
              <w:rPr>
                <w:i/>
              </w:rPr>
              <w:t>0.011</w:t>
            </w:r>
          </w:p>
        </w:tc>
        <w:tc>
          <w:tcPr>
            <w:tcW w:w="0" w:type="auto"/>
            <w:tcBorders>
              <w:top w:val="nil"/>
              <w:left w:val="nil"/>
              <w:bottom w:val="nil"/>
              <w:right w:val="nil"/>
            </w:tcBorders>
            <w:noWrap/>
            <w:hideMark/>
          </w:tcPr>
          <w:p w14:paraId="5F79EA77" w14:textId="77777777" w:rsidR="007C520A" w:rsidRPr="00D10DFB" w:rsidRDefault="007C520A" w:rsidP="00525139">
            <w:pPr>
              <w:jc w:val="center"/>
              <w:rPr>
                <w:b/>
                <w:i/>
              </w:rPr>
            </w:pPr>
            <w:r w:rsidRPr="00D10DFB">
              <w:rPr>
                <w:b/>
                <w:i/>
              </w:rPr>
              <w:t>0.008</w:t>
            </w:r>
          </w:p>
        </w:tc>
        <w:tc>
          <w:tcPr>
            <w:tcW w:w="0" w:type="auto"/>
            <w:tcBorders>
              <w:top w:val="nil"/>
              <w:left w:val="nil"/>
              <w:bottom w:val="nil"/>
            </w:tcBorders>
            <w:noWrap/>
            <w:hideMark/>
          </w:tcPr>
          <w:p w14:paraId="6324B903" w14:textId="77777777" w:rsidR="007C520A" w:rsidRPr="00525139" w:rsidRDefault="00EC08E1" w:rsidP="00525139">
            <w:pPr>
              <w:jc w:val="center"/>
              <w:rPr>
                <w:i/>
              </w:rPr>
            </w:pPr>
            <w:r>
              <w:rPr>
                <w:i/>
              </w:rPr>
              <w:t>0.076</w:t>
            </w:r>
          </w:p>
        </w:tc>
      </w:tr>
      <w:tr w:rsidR="007C520A" w:rsidRPr="00E1551A" w14:paraId="3F1AB8B4" w14:textId="77777777" w:rsidTr="00EC08E1">
        <w:trPr>
          <w:trHeight w:val="300"/>
          <w:jc w:val="center"/>
        </w:trPr>
        <w:tc>
          <w:tcPr>
            <w:tcW w:w="0" w:type="auto"/>
            <w:vMerge/>
            <w:tcBorders>
              <w:right w:val="nil"/>
            </w:tcBorders>
          </w:tcPr>
          <w:p w14:paraId="63F3B66A" w14:textId="77777777" w:rsidR="007C520A" w:rsidRDefault="007C520A" w:rsidP="007C520A">
            <w:pPr>
              <w:ind w:left="360"/>
              <w:jc w:val="center"/>
              <w:rPr>
                <w:b/>
                <w:bCs/>
              </w:rPr>
            </w:pPr>
          </w:p>
        </w:tc>
        <w:tc>
          <w:tcPr>
            <w:tcW w:w="0" w:type="auto"/>
            <w:tcBorders>
              <w:top w:val="nil"/>
              <w:left w:val="nil"/>
            </w:tcBorders>
            <w:noWrap/>
            <w:hideMark/>
          </w:tcPr>
          <w:p w14:paraId="17A9F673" w14:textId="77777777" w:rsidR="007C520A" w:rsidRPr="00E1551A" w:rsidRDefault="007C520A" w:rsidP="007C520A">
            <w:pPr>
              <w:ind w:left="360"/>
              <w:rPr>
                <w:b/>
                <w:bCs/>
              </w:rPr>
            </w:pPr>
            <w:r>
              <w:rPr>
                <w:b/>
                <w:bCs/>
              </w:rPr>
              <w:t>GLN</w:t>
            </w:r>
          </w:p>
        </w:tc>
        <w:tc>
          <w:tcPr>
            <w:tcW w:w="0" w:type="auto"/>
            <w:tcBorders>
              <w:top w:val="nil"/>
              <w:right w:val="nil"/>
            </w:tcBorders>
            <w:noWrap/>
            <w:hideMark/>
          </w:tcPr>
          <w:p w14:paraId="6E604981" w14:textId="77777777" w:rsidR="007C520A" w:rsidRPr="00E1551A" w:rsidRDefault="007C520A" w:rsidP="00525139">
            <w:pPr>
              <w:jc w:val="center"/>
            </w:pPr>
            <w:r w:rsidRPr="00E1551A">
              <w:t>0.022</w:t>
            </w:r>
          </w:p>
        </w:tc>
        <w:tc>
          <w:tcPr>
            <w:tcW w:w="0" w:type="auto"/>
            <w:tcBorders>
              <w:top w:val="nil"/>
              <w:left w:val="nil"/>
              <w:right w:val="nil"/>
            </w:tcBorders>
            <w:noWrap/>
            <w:hideMark/>
          </w:tcPr>
          <w:p w14:paraId="7EF0CEBF" w14:textId="77777777" w:rsidR="007C520A" w:rsidRPr="00E1551A" w:rsidRDefault="007C520A" w:rsidP="00525139">
            <w:pPr>
              <w:jc w:val="center"/>
            </w:pPr>
            <w:r w:rsidRPr="00E1551A">
              <w:t>0.137</w:t>
            </w:r>
          </w:p>
        </w:tc>
        <w:tc>
          <w:tcPr>
            <w:tcW w:w="0" w:type="auto"/>
            <w:tcBorders>
              <w:top w:val="nil"/>
              <w:left w:val="nil"/>
            </w:tcBorders>
            <w:noWrap/>
            <w:hideMark/>
          </w:tcPr>
          <w:p w14:paraId="7738835F" w14:textId="77777777" w:rsidR="007C520A" w:rsidRPr="00E1551A" w:rsidRDefault="007C520A" w:rsidP="00525139">
            <w:pPr>
              <w:jc w:val="center"/>
            </w:pPr>
            <w:r w:rsidRPr="00E1551A">
              <w:t>0.092</w:t>
            </w:r>
          </w:p>
        </w:tc>
        <w:tc>
          <w:tcPr>
            <w:tcW w:w="0" w:type="auto"/>
            <w:tcBorders>
              <w:top w:val="nil"/>
              <w:right w:val="nil"/>
            </w:tcBorders>
            <w:noWrap/>
            <w:hideMark/>
          </w:tcPr>
          <w:p w14:paraId="4E14DBCE" w14:textId="77777777" w:rsidR="007C520A" w:rsidRPr="00E1551A" w:rsidRDefault="00EC08E1" w:rsidP="00525139">
            <w:pPr>
              <w:jc w:val="center"/>
            </w:pPr>
            <w:r>
              <w:t>0.008</w:t>
            </w:r>
          </w:p>
        </w:tc>
        <w:tc>
          <w:tcPr>
            <w:tcW w:w="0" w:type="auto"/>
            <w:tcBorders>
              <w:top w:val="nil"/>
              <w:left w:val="nil"/>
              <w:right w:val="nil"/>
            </w:tcBorders>
            <w:noWrap/>
            <w:hideMark/>
          </w:tcPr>
          <w:p w14:paraId="11415743" w14:textId="77777777" w:rsidR="007C520A" w:rsidRPr="00E1551A" w:rsidRDefault="007C520A" w:rsidP="00525139">
            <w:pPr>
              <w:jc w:val="center"/>
            </w:pPr>
            <w:r w:rsidRPr="00E1551A">
              <w:t>0.075</w:t>
            </w:r>
          </w:p>
        </w:tc>
        <w:tc>
          <w:tcPr>
            <w:tcW w:w="0" w:type="auto"/>
            <w:tcBorders>
              <w:top w:val="nil"/>
              <w:left w:val="nil"/>
            </w:tcBorders>
            <w:noWrap/>
            <w:hideMark/>
          </w:tcPr>
          <w:p w14:paraId="12BD6E9F" w14:textId="77777777" w:rsidR="007C520A" w:rsidRPr="00E1551A" w:rsidRDefault="007C520A" w:rsidP="00525139">
            <w:pPr>
              <w:jc w:val="center"/>
            </w:pPr>
            <w:r w:rsidRPr="00E1551A">
              <w:t>0.094</w:t>
            </w:r>
          </w:p>
        </w:tc>
        <w:tc>
          <w:tcPr>
            <w:tcW w:w="0" w:type="auto"/>
            <w:tcBorders>
              <w:top w:val="nil"/>
              <w:right w:val="nil"/>
            </w:tcBorders>
            <w:noWrap/>
            <w:hideMark/>
          </w:tcPr>
          <w:p w14:paraId="084995F8" w14:textId="77777777" w:rsidR="007C520A" w:rsidRPr="00525139" w:rsidRDefault="00EC08E1" w:rsidP="00525139">
            <w:pPr>
              <w:jc w:val="center"/>
              <w:rPr>
                <w:i/>
              </w:rPr>
            </w:pPr>
            <w:r>
              <w:rPr>
                <w:i/>
              </w:rPr>
              <w:t>0.012</w:t>
            </w:r>
          </w:p>
        </w:tc>
        <w:tc>
          <w:tcPr>
            <w:tcW w:w="0" w:type="auto"/>
            <w:tcBorders>
              <w:top w:val="nil"/>
              <w:left w:val="nil"/>
              <w:right w:val="nil"/>
            </w:tcBorders>
            <w:noWrap/>
            <w:hideMark/>
          </w:tcPr>
          <w:p w14:paraId="0A0AF428" w14:textId="77777777" w:rsidR="007C520A" w:rsidRPr="00525139" w:rsidRDefault="00EC08E1" w:rsidP="00525139">
            <w:pPr>
              <w:jc w:val="center"/>
              <w:rPr>
                <w:i/>
              </w:rPr>
            </w:pPr>
            <w:r>
              <w:rPr>
                <w:i/>
              </w:rPr>
              <w:t>0.013</w:t>
            </w:r>
          </w:p>
        </w:tc>
        <w:tc>
          <w:tcPr>
            <w:tcW w:w="0" w:type="auto"/>
            <w:tcBorders>
              <w:top w:val="nil"/>
              <w:left w:val="nil"/>
            </w:tcBorders>
            <w:noWrap/>
            <w:hideMark/>
          </w:tcPr>
          <w:p w14:paraId="61456AAF" w14:textId="77777777" w:rsidR="007C520A" w:rsidRPr="00D10DFB" w:rsidRDefault="007C520A" w:rsidP="00525139">
            <w:pPr>
              <w:jc w:val="center"/>
              <w:rPr>
                <w:b/>
                <w:i/>
              </w:rPr>
            </w:pPr>
            <w:r w:rsidRPr="00D10DFB">
              <w:rPr>
                <w:b/>
                <w:i/>
              </w:rPr>
              <w:t>0.007</w:t>
            </w:r>
          </w:p>
        </w:tc>
      </w:tr>
    </w:tbl>
    <w:p w14:paraId="7F2CB843" w14:textId="77777777" w:rsidR="002E4C91" w:rsidRDefault="002E4C91" w:rsidP="009C57F7">
      <w:pPr>
        <w:jc w:val="both"/>
        <w:rPr>
          <w:b/>
        </w:rPr>
      </w:pPr>
    </w:p>
    <w:p w14:paraId="71A5F19A" w14:textId="77777777" w:rsidR="00E1551A" w:rsidRDefault="00525139" w:rsidP="009C0370">
      <w:pPr>
        <w:spacing w:after="0" w:line="360" w:lineRule="auto"/>
        <w:jc w:val="both"/>
      </w:pPr>
      <w:proofErr w:type="gramStart"/>
      <w:r w:rsidRPr="009C57F7">
        <w:rPr>
          <w:b/>
        </w:rPr>
        <w:t>Table 1</w:t>
      </w:r>
      <w:r w:rsidR="002E4C91">
        <w:rPr>
          <w:b/>
        </w:rPr>
        <w:t>.</w:t>
      </w:r>
      <w:proofErr w:type="gramEnd"/>
      <w:r>
        <w:t xml:space="preserve"> </w:t>
      </w:r>
      <w:r w:rsidR="009C57F7">
        <w:t xml:space="preserve">Mean errors (au) </w:t>
      </w:r>
      <w:r w:rsidR="008C33E6">
        <w:t xml:space="preserve">of </w:t>
      </w:r>
      <w:r w:rsidR="007C520A">
        <w:t xml:space="preserve">9 models </w:t>
      </w:r>
      <w:r w:rsidR="008C33E6">
        <w:t>predict the charge of a</w:t>
      </w:r>
      <w:r w:rsidR="001D0BAB">
        <w:t>n</w:t>
      </w:r>
      <w:r w:rsidR="008C33E6">
        <w:t xml:space="preserve"> alanine </w:t>
      </w:r>
      <w:proofErr w:type="spellStart"/>
      <w:r w:rsidR="008C33E6">
        <w:t>C</w:t>
      </w:r>
      <w:r w:rsidR="008C33E6" w:rsidRPr="008C33E6">
        <w:rPr>
          <w:vertAlign w:val="subscript"/>
        </w:rPr>
        <w:t>alpha</w:t>
      </w:r>
      <w:proofErr w:type="spellEnd"/>
      <w:r w:rsidR="008C33E6">
        <w:t xml:space="preserve"> on 9 different </w:t>
      </w:r>
      <w:proofErr w:type="spellStart"/>
      <w:r w:rsidR="008C33E6">
        <w:t>decapeptides</w:t>
      </w:r>
      <w:proofErr w:type="spellEnd"/>
      <w:r w:rsidR="007C520A">
        <w:t xml:space="preserve">, resulting in 81 predictions. Each model was created using ‘TRAINING’ data for a particular </w:t>
      </w:r>
      <w:proofErr w:type="spellStart"/>
      <w:r w:rsidR="007C520A">
        <w:t>decapeptide</w:t>
      </w:r>
      <w:proofErr w:type="spellEnd"/>
      <w:r w:rsidR="007C520A">
        <w:t xml:space="preserve">, </w:t>
      </w:r>
      <w:r w:rsidR="008C33E6">
        <w:t xml:space="preserve">listed </w:t>
      </w:r>
      <w:r w:rsidR="007C520A">
        <w:t xml:space="preserve">down the first </w:t>
      </w:r>
      <w:r w:rsidR="00EC08E1">
        <w:t>column</w:t>
      </w:r>
      <w:r w:rsidR="008C33E6">
        <w:t xml:space="preserve">. </w:t>
      </w:r>
      <w:r w:rsidR="00D10DFB">
        <w:t>E</w:t>
      </w:r>
      <w:r w:rsidR="00EC08E1">
        <w:t>ach model predicts ‘TEST’ data for e</w:t>
      </w:r>
      <w:r w:rsidR="00D10DFB">
        <w:t>ach</w:t>
      </w:r>
      <w:r w:rsidR="00EC08E1">
        <w:t xml:space="preserve"> </w:t>
      </w:r>
      <w:proofErr w:type="spellStart"/>
      <w:r w:rsidR="00EC08E1">
        <w:t>decapeptide</w:t>
      </w:r>
      <w:proofErr w:type="spellEnd"/>
      <w:r w:rsidR="00EC08E1">
        <w:t xml:space="preserve">, listed across the first row. </w:t>
      </w:r>
      <w:r w:rsidR="008C33E6">
        <w:t>The rows and columns are sectioned into 3 groups that correspond to the amino acid groups s</w:t>
      </w:r>
      <w:r w:rsidR="00D26E48">
        <w:t>hown</w:t>
      </w:r>
      <w:r w:rsidR="008C33E6">
        <w:t xml:space="preserve"> in Figure </w:t>
      </w:r>
      <w:r w:rsidR="000A02C8">
        <w:t>1</w:t>
      </w:r>
      <w:r w:rsidR="00D10DFB">
        <w:t xml:space="preserve"> (A (ALA, GLY, VAL); B (CYS, MET, THR) and C</w:t>
      </w:r>
      <w:r w:rsidR="00D26E48">
        <w:t xml:space="preserve"> </w:t>
      </w:r>
      <w:r w:rsidR="00D10DFB">
        <w:t>(ARG,</w:t>
      </w:r>
      <w:r w:rsidR="00D26E48">
        <w:t xml:space="preserve"> </w:t>
      </w:r>
      <w:r w:rsidR="00D10DFB">
        <w:t>ASN,</w:t>
      </w:r>
      <w:r w:rsidR="00D26E48">
        <w:t xml:space="preserve"> </w:t>
      </w:r>
      <w:r w:rsidR="00D10DFB">
        <w:t>GLN</w:t>
      </w:r>
      <w:proofErr w:type="gramStart"/>
      <w:r w:rsidR="00D10DFB">
        <w:t>)</w:t>
      </w:r>
      <w:r w:rsidR="00D26E48">
        <w:t xml:space="preserve"> </w:t>
      </w:r>
      <w:r w:rsidR="00D10DFB">
        <w:t>)</w:t>
      </w:r>
      <w:proofErr w:type="gramEnd"/>
      <w:r w:rsidR="008C33E6">
        <w:t>.</w:t>
      </w:r>
    </w:p>
    <w:p w14:paraId="0632862D" w14:textId="77777777" w:rsidR="000F5F4D" w:rsidRDefault="000F5F4D"/>
    <w:p w14:paraId="5B522F1C" w14:textId="77777777" w:rsidR="00D10DFB" w:rsidRDefault="00D10DFB"/>
    <w:p w14:paraId="7AE618F0" w14:textId="77777777" w:rsidR="00D763FF" w:rsidRPr="002E4C91" w:rsidRDefault="00D10DFB" w:rsidP="00D10DFB">
      <w:pPr>
        <w:spacing w:after="0" w:line="360" w:lineRule="auto"/>
        <w:jc w:val="both"/>
      </w:pPr>
      <w:r>
        <w:t xml:space="preserve">          </w:t>
      </w:r>
      <w:r w:rsidR="00D763FF" w:rsidRPr="002E4C91">
        <w:t xml:space="preserve">Values along the diagonal </w:t>
      </w:r>
      <w:r w:rsidR="007C520A" w:rsidRPr="002E4C91">
        <w:t>(top-left to bottom-right</w:t>
      </w:r>
      <w:r>
        <w:t>, in bold italics</w:t>
      </w:r>
      <w:r w:rsidR="007C520A" w:rsidRPr="002E4C91">
        <w:t xml:space="preserve">) </w:t>
      </w:r>
      <w:r w:rsidR="00D763FF" w:rsidRPr="002E4C91">
        <w:t>of Table 1 indicate Regular predictions</w:t>
      </w:r>
      <w:r>
        <w:t>,</w:t>
      </w:r>
      <w:r w:rsidR="00D763FF" w:rsidRPr="002E4C91">
        <w:t xml:space="preserve"> where a kriging model is trained with </w:t>
      </w:r>
      <w:r w:rsidR="00E13B35">
        <w:t xml:space="preserve">a given </w:t>
      </w:r>
      <w:proofErr w:type="spellStart"/>
      <w:r w:rsidR="00E13B35">
        <w:t>decapeptide</w:t>
      </w:r>
      <w:proofErr w:type="spellEnd"/>
      <w:r w:rsidR="00E13B35">
        <w:t xml:space="preserve"> </w:t>
      </w:r>
      <w:r w:rsidR="00D763FF" w:rsidRPr="002E4C91">
        <w:t xml:space="preserve">and predicting for a single atom in </w:t>
      </w:r>
      <w:r w:rsidR="00E13B35">
        <w:t xml:space="preserve">the same </w:t>
      </w:r>
      <w:proofErr w:type="spellStart"/>
      <w:r w:rsidR="00E13B35">
        <w:t>decapeptide</w:t>
      </w:r>
      <w:proofErr w:type="spellEnd"/>
      <w:r w:rsidR="00D763FF" w:rsidRPr="002E4C91">
        <w:t>.</w:t>
      </w:r>
      <w:r w:rsidR="007C520A" w:rsidRPr="002E4C91">
        <w:t xml:space="preserve"> The Regular</w:t>
      </w:r>
      <w:r w:rsidR="00D763FF" w:rsidRPr="002E4C91">
        <w:t xml:space="preserve"> predictions </w:t>
      </w:r>
      <w:r w:rsidR="00D26E48">
        <w:t>display</w:t>
      </w:r>
      <w:r w:rsidR="00D763FF" w:rsidRPr="002E4C91">
        <w:t xml:space="preserve"> the lowest error</w:t>
      </w:r>
      <w:r w:rsidR="00D26E48">
        <w:t>s</w:t>
      </w:r>
      <w:r w:rsidR="00D763FF" w:rsidRPr="002E4C91">
        <w:t xml:space="preserve"> due to high specificity</w:t>
      </w:r>
      <w:r w:rsidR="007C520A" w:rsidRPr="002E4C91">
        <w:t xml:space="preserve"> and </w:t>
      </w:r>
      <w:r w:rsidR="00E13B35">
        <w:t xml:space="preserve">the presence of </w:t>
      </w:r>
      <w:r w:rsidR="007C520A" w:rsidRPr="002E4C91">
        <w:t>a full set of features in the training set</w:t>
      </w:r>
      <w:r w:rsidR="00D763FF" w:rsidRPr="002E4C91">
        <w:t xml:space="preserve">. Outside of this diagonal, prediction </w:t>
      </w:r>
      <w:r w:rsidR="008E1B55">
        <w:t>errors are larger</w:t>
      </w:r>
      <w:r w:rsidR="00D763FF" w:rsidRPr="002E4C91">
        <w:t xml:space="preserve"> </w:t>
      </w:r>
      <w:r w:rsidR="00E13B35">
        <w:t>because</w:t>
      </w:r>
      <w:r w:rsidR="00D763FF" w:rsidRPr="002E4C91">
        <w:t xml:space="preserve"> a kriging model trained on one </w:t>
      </w:r>
      <w:proofErr w:type="spellStart"/>
      <w:r w:rsidR="00E13B35">
        <w:t>decapeptide</w:t>
      </w:r>
      <w:proofErr w:type="spellEnd"/>
      <w:r w:rsidR="00D763FF" w:rsidRPr="002E4C91">
        <w:t xml:space="preserve"> attempts to predict </w:t>
      </w:r>
      <w:r w:rsidR="00E13B35">
        <w:t xml:space="preserve">an atomic charge </w:t>
      </w:r>
      <w:r w:rsidR="00D763FF" w:rsidRPr="002E4C91">
        <w:t xml:space="preserve">for a different </w:t>
      </w:r>
      <w:proofErr w:type="spellStart"/>
      <w:r w:rsidR="00E13B35">
        <w:t>decapeptide</w:t>
      </w:r>
      <w:proofErr w:type="spellEnd"/>
      <w:r w:rsidR="00D763FF" w:rsidRPr="002E4C91">
        <w:t xml:space="preserve">. </w:t>
      </w:r>
    </w:p>
    <w:p w14:paraId="6857B23C" w14:textId="77777777" w:rsidR="00581EAC" w:rsidRDefault="00D10DFB" w:rsidP="00D10DFB">
      <w:pPr>
        <w:spacing w:after="0" w:line="360" w:lineRule="auto"/>
        <w:jc w:val="both"/>
      </w:pPr>
      <w:r>
        <w:t xml:space="preserve">          </w:t>
      </w:r>
      <w:r w:rsidR="00D763FF" w:rsidRPr="002E4C91">
        <w:t xml:space="preserve">Table 1 also includes 9 sections that outline each </w:t>
      </w:r>
      <w:r w:rsidR="00E13B35">
        <w:t xml:space="preserve">of the three </w:t>
      </w:r>
      <w:r w:rsidR="00D763FF" w:rsidRPr="002E4C91">
        <w:t>group</w:t>
      </w:r>
      <w:r w:rsidR="00E13B35">
        <w:t>s</w:t>
      </w:r>
      <w:r w:rsidR="00581EAC" w:rsidRPr="002E4C91">
        <w:t xml:space="preserve"> (A, B, C) in </w:t>
      </w:r>
      <w:r w:rsidR="000A02C8" w:rsidRPr="002E4C91">
        <w:t>F</w:t>
      </w:r>
      <w:r w:rsidR="00581EAC" w:rsidRPr="002E4C91">
        <w:t xml:space="preserve">igure </w:t>
      </w:r>
      <w:r w:rsidR="000A02C8" w:rsidRPr="002E4C91">
        <w:t>1</w:t>
      </w:r>
      <w:r w:rsidR="00D763FF" w:rsidRPr="002E4C91">
        <w:t xml:space="preserve">. Again, the top-left to bottom-right </w:t>
      </w:r>
      <w:r w:rsidR="008E1B55">
        <w:t>‘</w:t>
      </w:r>
      <w:r w:rsidR="00E4781D">
        <w:t xml:space="preserve">block </w:t>
      </w:r>
      <w:r w:rsidR="00D763FF" w:rsidRPr="002E4C91">
        <w:t>diagonal</w:t>
      </w:r>
      <w:r w:rsidR="008E1B55">
        <w:t>’</w:t>
      </w:r>
      <w:r w:rsidR="00D763FF" w:rsidRPr="002E4C91">
        <w:t xml:space="preserve"> of these groups </w:t>
      </w:r>
      <w:r w:rsidR="007C0B16" w:rsidRPr="002E4C91">
        <w:t xml:space="preserve">(in italics) </w:t>
      </w:r>
      <w:r w:rsidR="00581EAC" w:rsidRPr="002E4C91">
        <w:t xml:space="preserve">show where a kriging </w:t>
      </w:r>
      <w:r w:rsidR="00581EAC" w:rsidRPr="002E4C91">
        <w:lastRenderedPageBreak/>
        <w:t xml:space="preserve">model is attempting to predict properties for a </w:t>
      </w:r>
      <w:proofErr w:type="spellStart"/>
      <w:r w:rsidR="00E13B35">
        <w:t>decapeptide</w:t>
      </w:r>
      <w:proofErr w:type="spellEnd"/>
      <w:r w:rsidR="00E13B35" w:rsidRPr="002E4C91">
        <w:t xml:space="preserve"> </w:t>
      </w:r>
      <w:r w:rsidR="00581EAC" w:rsidRPr="002E4C91">
        <w:t>within its own group</w:t>
      </w:r>
      <w:r w:rsidR="00E4781D">
        <w:t xml:space="preserve"> (</w:t>
      </w:r>
      <w:r w:rsidR="00175C10">
        <w:t xml:space="preserve">henceforth called </w:t>
      </w:r>
      <w:r w:rsidR="00E4781D">
        <w:t>Mismatched (GROUP))</w:t>
      </w:r>
      <w:r w:rsidR="00581EAC" w:rsidRPr="002E4C91">
        <w:t xml:space="preserve">. Since </w:t>
      </w:r>
      <w:proofErr w:type="spellStart"/>
      <w:r w:rsidR="00E13B35">
        <w:t>decapeptide</w:t>
      </w:r>
      <w:r w:rsidR="00175C10">
        <w:t>s</w:t>
      </w:r>
      <w:proofErr w:type="spellEnd"/>
      <w:r w:rsidR="00E13B35" w:rsidRPr="002E4C91">
        <w:t xml:space="preserve"> </w:t>
      </w:r>
      <w:r w:rsidR="00581EAC" w:rsidRPr="002E4C91">
        <w:t xml:space="preserve">within the same group are chemically similar, a kriging model can be transferred to these molecules with some success, giving </w:t>
      </w:r>
      <w:r w:rsidR="00F42389">
        <w:t xml:space="preserve">small </w:t>
      </w:r>
      <w:r w:rsidR="00581EAC" w:rsidRPr="002E4C91">
        <w:t xml:space="preserve">prediction errors relative to </w:t>
      </w:r>
      <w:r w:rsidR="00175C10">
        <w:t xml:space="preserve">predicting </w:t>
      </w:r>
      <w:proofErr w:type="spellStart"/>
      <w:r w:rsidR="00175C10">
        <w:t>decapeptides</w:t>
      </w:r>
      <w:proofErr w:type="spellEnd"/>
      <w:r w:rsidR="00175C10">
        <w:t xml:space="preserve"> outside of their group</w:t>
      </w:r>
      <w:r w:rsidR="00581EAC" w:rsidRPr="002E4C91">
        <w:t xml:space="preserve"> </w:t>
      </w:r>
      <w:r w:rsidR="00175C10">
        <w:t>(called Mismatched (OUTSIDE)).</w:t>
      </w:r>
      <w:r w:rsidR="00175C10" w:rsidRPr="002E4C91">
        <w:t xml:space="preserve"> </w:t>
      </w:r>
      <w:r w:rsidR="00E4781D">
        <w:t xml:space="preserve">Kriging models for each group can </w:t>
      </w:r>
      <w:r w:rsidR="00175C10">
        <w:t xml:space="preserve">also </w:t>
      </w:r>
      <w:r w:rsidR="00E4781D">
        <w:t xml:space="preserve">be made by sharing the training data of </w:t>
      </w:r>
      <w:proofErr w:type="spellStart"/>
      <w:r w:rsidR="00E4781D">
        <w:t>decapeptide</w:t>
      </w:r>
      <w:r w:rsidR="00175C10">
        <w:t>s</w:t>
      </w:r>
      <w:proofErr w:type="spellEnd"/>
      <w:r w:rsidR="00E4781D">
        <w:t xml:space="preserve"> in each </w:t>
      </w:r>
      <w:r w:rsidR="00175C10">
        <w:t xml:space="preserve">of the </w:t>
      </w:r>
      <w:r w:rsidR="00E4781D">
        <w:t>respective group</w:t>
      </w:r>
      <w:r w:rsidR="00175C10">
        <w:t>s</w:t>
      </w:r>
      <w:r w:rsidR="00E4781D">
        <w:t xml:space="preserve"> (A, B, C). These group kriging models can then predict each </w:t>
      </w:r>
      <w:proofErr w:type="spellStart"/>
      <w:r w:rsidR="00E4781D">
        <w:t>decapeptide</w:t>
      </w:r>
      <w:proofErr w:type="spellEnd"/>
      <w:r w:rsidR="00E4781D">
        <w:t xml:space="preserve"> </w:t>
      </w:r>
      <w:r w:rsidR="00175C10">
        <w:t>within</w:t>
      </w:r>
      <w:r w:rsidR="00E4781D">
        <w:t xml:space="preserve"> their own group (Shared data set) and outside of their group (Transferred data set). Additionally, a single kriging model can be made from </w:t>
      </w:r>
      <w:r w:rsidR="00175C10">
        <w:t xml:space="preserve">all </w:t>
      </w:r>
      <w:r w:rsidR="003D7CE3">
        <w:t>of the sing</w:t>
      </w:r>
      <w:r w:rsidR="009B7A35">
        <w:t>le</w:t>
      </w:r>
      <w:r w:rsidR="003D7CE3">
        <w:t xml:space="preserve">-substituted </w:t>
      </w:r>
      <w:proofErr w:type="spellStart"/>
      <w:r w:rsidR="00E4781D">
        <w:t>decapeptide</w:t>
      </w:r>
      <w:r w:rsidR="00175C10">
        <w:t>s</w:t>
      </w:r>
      <w:proofErr w:type="spellEnd"/>
      <w:r w:rsidR="00E4781D">
        <w:t xml:space="preserve"> (Universal data set) and can make predictions for </w:t>
      </w:r>
      <w:r w:rsidR="00175C10">
        <w:t>any</w:t>
      </w:r>
      <w:r w:rsidR="00E4781D">
        <w:t xml:space="preserve"> </w:t>
      </w:r>
      <w:proofErr w:type="spellStart"/>
      <w:r w:rsidR="00E4781D">
        <w:t>decapeptide</w:t>
      </w:r>
      <w:proofErr w:type="spellEnd"/>
      <w:r w:rsidR="00E4781D">
        <w:t xml:space="preserve">. The resulting predictions of the above data sets are shown </w:t>
      </w:r>
      <w:r w:rsidR="00581EAC" w:rsidRPr="002E4C91">
        <w:t xml:space="preserve">in Figure </w:t>
      </w:r>
      <w:r w:rsidR="000E761C">
        <w:t>5</w:t>
      </w:r>
      <w:r w:rsidR="00581EAC" w:rsidRPr="002E4C91">
        <w:t>.</w:t>
      </w:r>
    </w:p>
    <w:p w14:paraId="075D9C2A" w14:textId="77777777" w:rsidR="00FF6149" w:rsidRDefault="00FF6149" w:rsidP="00D10DFB">
      <w:pPr>
        <w:spacing w:after="0" w:line="360" w:lineRule="auto"/>
        <w:jc w:val="both"/>
      </w:pPr>
    </w:p>
    <w:p w14:paraId="2D3CAE1B" w14:textId="77777777" w:rsidR="00FF6149" w:rsidRDefault="00FF6149" w:rsidP="00D10DFB">
      <w:pPr>
        <w:spacing w:after="0" w:line="360" w:lineRule="auto"/>
        <w:jc w:val="both"/>
      </w:pPr>
    </w:p>
    <w:p w14:paraId="0BF01A27" w14:textId="77777777" w:rsidR="00E13B35" w:rsidRPr="002E4C91" w:rsidRDefault="00E13B35" w:rsidP="00D10DFB">
      <w:pPr>
        <w:spacing w:after="0" w:line="360" w:lineRule="auto"/>
        <w:jc w:val="both"/>
      </w:pPr>
    </w:p>
    <w:p w14:paraId="15280391" w14:textId="77777777" w:rsidR="009C0370" w:rsidRDefault="008C2D52" w:rsidP="005E670C">
      <w:pPr>
        <w:spacing w:after="0" w:line="360" w:lineRule="auto"/>
        <w:jc w:val="both"/>
        <w:rPr>
          <w:b/>
        </w:rPr>
      </w:pPr>
      <w:r>
        <w:rPr>
          <w:b/>
          <w:noProof/>
          <w:sz w:val="24"/>
        </w:rPr>
        <w:drawing>
          <wp:inline distT="0" distB="0" distL="0" distR="0" wp14:anchorId="31B38DED" wp14:editId="50587AEA">
            <wp:extent cx="5731510" cy="341757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Sets.bmp"/>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31510" cy="3417570"/>
                    </a:xfrm>
                    <a:prstGeom prst="rect">
                      <a:avLst/>
                    </a:prstGeom>
                  </pic:spPr>
                </pic:pic>
              </a:graphicData>
            </a:graphic>
          </wp:inline>
        </w:drawing>
      </w:r>
    </w:p>
    <w:p w14:paraId="3B1D8A66" w14:textId="77777777" w:rsidR="00546137" w:rsidRPr="002E4C91" w:rsidRDefault="00F80FB0" w:rsidP="005E670C">
      <w:pPr>
        <w:spacing w:after="0" w:line="360" w:lineRule="auto"/>
        <w:jc w:val="both"/>
      </w:pPr>
      <w:proofErr w:type="gramStart"/>
      <w:r w:rsidRPr="002E4C91">
        <w:rPr>
          <w:b/>
        </w:rPr>
        <w:t>Figure</w:t>
      </w:r>
      <w:r w:rsidR="0049244D" w:rsidRPr="002E4C91">
        <w:rPr>
          <w:b/>
        </w:rPr>
        <w:t xml:space="preserve"> </w:t>
      </w:r>
      <w:r w:rsidR="000E761C">
        <w:rPr>
          <w:b/>
        </w:rPr>
        <w:t>5</w:t>
      </w:r>
      <w:r w:rsidR="002E4C91" w:rsidRPr="002E4C91">
        <w:rPr>
          <w:b/>
        </w:rPr>
        <w:t>.</w:t>
      </w:r>
      <w:proofErr w:type="gramEnd"/>
      <w:r w:rsidR="00581EAC" w:rsidRPr="002E4C91">
        <w:rPr>
          <w:b/>
        </w:rPr>
        <w:t xml:space="preserve"> </w:t>
      </w:r>
      <w:r w:rsidR="00581EAC" w:rsidRPr="002E4C91">
        <w:t>Mean prediction errors</w:t>
      </w:r>
      <w:r w:rsidR="00D70A58" w:rsidRPr="002E4C91">
        <w:t xml:space="preserve"> (au)</w:t>
      </w:r>
      <w:r w:rsidR="00581EAC" w:rsidRPr="002E4C91">
        <w:t xml:space="preserve"> of </w:t>
      </w:r>
      <w:r w:rsidR="007C0B16" w:rsidRPr="002E4C91">
        <w:t xml:space="preserve">the alanine residue’s </w:t>
      </w:r>
      <w:proofErr w:type="spellStart"/>
      <w:r w:rsidR="00581EAC" w:rsidRPr="002E4C91">
        <w:t>C</w:t>
      </w:r>
      <w:r w:rsidR="00581EAC" w:rsidRPr="002E4C91">
        <w:rPr>
          <w:vertAlign w:val="subscript"/>
        </w:rPr>
        <w:t>alpha</w:t>
      </w:r>
      <w:proofErr w:type="spellEnd"/>
      <w:r w:rsidR="00581EAC" w:rsidRPr="002E4C91">
        <w:t xml:space="preserve"> Q</w:t>
      </w:r>
      <w:r w:rsidR="00581EAC" w:rsidRPr="002E4C91">
        <w:rPr>
          <w:vertAlign w:val="subscript"/>
        </w:rPr>
        <w:t>00</w:t>
      </w:r>
      <w:r w:rsidR="00581EAC" w:rsidRPr="002E4C91">
        <w:t xml:space="preserve"> </w:t>
      </w:r>
      <w:r w:rsidR="00B47576" w:rsidRPr="002E4C91">
        <w:t>from Table 1</w:t>
      </w:r>
      <w:r w:rsidR="007C0B16" w:rsidRPr="002E4C91">
        <w:t xml:space="preserve">, sorted according to the type of </w:t>
      </w:r>
      <w:r w:rsidR="00195E80" w:rsidRPr="002E4C91">
        <w:t>data s</w:t>
      </w:r>
      <w:r w:rsidR="007C0B16" w:rsidRPr="002E4C91">
        <w:t xml:space="preserve">et the predictions belong to. </w:t>
      </w:r>
      <w:r w:rsidR="00195E80" w:rsidRPr="002E4C91">
        <w:t xml:space="preserve">The Mismatched data set is further broken down by differentiating between Mismatched data sets that predict within the </w:t>
      </w:r>
      <w:r w:rsidR="00195E80" w:rsidRPr="00F42389">
        <w:rPr>
          <w:i/>
        </w:rPr>
        <w:t xml:space="preserve">same </w:t>
      </w:r>
      <w:r w:rsidR="00195E80" w:rsidRPr="002E4C91">
        <w:t xml:space="preserve">amino acid group (‘GROUP’) as the training data and those that predict </w:t>
      </w:r>
      <w:r w:rsidR="00195E80" w:rsidRPr="00F42389">
        <w:rPr>
          <w:i/>
        </w:rPr>
        <w:t>outside</w:t>
      </w:r>
      <w:r w:rsidR="00195E80" w:rsidRPr="002E4C91">
        <w:t xml:space="preserve"> of that group (‘OUTSIDE’).</w:t>
      </w:r>
    </w:p>
    <w:p w14:paraId="775331C9" w14:textId="77777777" w:rsidR="00195E80" w:rsidRDefault="00195E80" w:rsidP="0066683D">
      <w:pPr>
        <w:jc w:val="both"/>
      </w:pPr>
    </w:p>
    <w:p w14:paraId="4DA9D7D7" w14:textId="77777777" w:rsidR="009C0370" w:rsidRPr="002E4C91" w:rsidRDefault="009C0370" w:rsidP="0066683D">
      <w:pPr>
        <w:jc w:val="both"/>
      </w:pPr>
    </w:p>
    <w:p w14:paraId="07CA3BA2" w14:textId="77777777" w:rsidR="00195E80" w:rsidRPr="002E4C91" w:rsidRDefault="00D70A58" w:rsidP="002E4C91">
      <w:pPr>
        <w:spacing w:after="0" w:line="360" w:lineRule="auto"/>
        <w:ind w:firstLine="720"/>
        <w:jc w:val="both"/>
      </w:pPr>
      <w:r w:rsidRPr="002E4C91">
        <w:lastRenderedPageBreak/>
        <w:t xml:space="preserve">As anticipated, Regular data sets give the lowest prediction errors, with Shared data sets </w:t>
      </w:r>
      <w:r w:rsidR="00175C10">
        <w:t>returning approximately</w:t>
      </w:r>
      <w:r w:rsidRPr="002E4C91">
        <w:t xml:space="preserve"> double the error but still remaining consistently more accurate than other data sets. Mismatched data sets</w:t>
      </w:r>
      <w:r w:rsidR="00175C10">
        <w:t>, which</w:t>
      </w:r>
      <w:r w:rsidRPr="002E4C91">
        <w:t xml:space="preserve"> predict within their own group</w:t>
      </w:r>
      <w:r w:rsidR="00175C10">
        <w:t>,</w:t>
      </w:r>
      <w:r w:rsidRPr="002E4C91">
        <w:t xml:space="preserve"> </w:t>
      </w:r>
      <w:r w:rsidR="00195E80" w:rsidRPr="002E4C91">
        <w:t xml:space="preserve">are </w:t>
      </w:r>
      <w:r w:rsidRPr="002E4C91">
        <w:t xml:space="preserve">similar </w:t>
      </w:r>
      <w:r w:rsidR="00195E80" w:rsidRPr="002E4C91">
        <w:t>in predictive accuracy to S</w:t>
      </w:r>
      <w:r w:rsidRPr="002E4C91">
        <w:t>hared sets (</w:t>
      </w:r>
      <w:r w:rsidR="00175C10">
        <w:t>which</w:t>
      </w:r>
      <w:r w:rsidRPr="002E4C91">
        <w:t xml:space="preserve"> also predict within their own group) but with </w:t>
      </w:r>
      <w:r w:rsidR="00175C10">
        <w:t>a larger</w:t>
      </w:r>
      <w:r w:rsidRPr="002E4C91">
        <w:t xml:space="preserve"> error. </w:t>
      </w:r>
      <w:r w:rsidR="00195E80" w:rsidRPr="002E4C91">
        <w:t xml:space="preserve">This </w:t>
      </w:r>
      <w:r w:rsidR="00175C10">
        <w:t>larger</w:t>
      </w:r>
      <w:r w:rsidR="00195E80" w:rsidRPr="002E4C91">
        <w:t xml:space="preserve"> error is significant in group </w:t>
      </w:r>
      <w:r w:rsidR="00195E80" w:rsidRPr="00F42389">
        <w:rPr>
          <w:i/>
        </w:rPr>
        <w:t>C</w:t>
      </w:r>
      <w:r w:rsidR="00175C10">
        <w:t>,</w:t>
      </w:r>
      <w:r w:rsidR="00195E80" w:rsidRPr="002E4C91">
        <w:t xml:space="preserve"> perhaps because ARG, ASN and GLN are not as similar as </w:t>
      </w:r>
      <w:r w:rsidR="00175C10" w:rsidRPr="002E4C91">
        <w:t xml:space="preserve">amino acids </w:t>
      </w:r>
      <w:r w:rsidR="00175C10">
        <w:t xml:space="preserve">of </w:t>
      </w:r>
      <w:r w:rsidR="00195E80" w:rsidRPr="002E4C91">
        <w:t>other groups are (</w:t>
      </w:r>
      <w:r w:rsidR="00175C10" w:rsidRPr="002E4C91">
        <w:t>for example</w:t>
      </w:r>
      <w:r w:rsidR="00175C10">
        <w:t>,</w:t>
      </w:r>
      <w:r w:rsidR="00175C10" w:rsidRPr="002E4C91">
        <w:t xml:space="preserve"> </w:t>
      </w:r>
      <w:r w:rsidR="00195E80" w:rsidRPr="002E4C91">
        <w:t>GLY, ALA, VAL in group A).</w:t>
      </w:r>
    </w:p>
    <w:p w14:paraId="745E783C" w14:textId="56119044" w:rsidR="00D70A58" w:rsidRPr="002E4C91" w:rsidRDefault="00195E80" w:rsidP="002E4C91">
      <w:pPr>
        <w:spacing w:after="0" w:line="360" w:lineRule="auto"/>
        <w:ind w:firstLine="720"/>
        <w:jc w:val="both"/>
      </w:pPr>
      <w:r w:rsidRPr="002E4C91">
        <w:t>In the case of Figure</w:t>
      </w:r>
      <w:r w:rsidR="009C0370">
        <w:t xml:space="preserve"> </w:t>
      </w:r>
      <w:r w:rsidR="000E761C">
        <w:t>5</w:t>
      </w:r>
      <w:r w:rsidR="00175C10">
        <w:t>,</w:t>
      </w:r>
      <w:r w:rsidRPr="002E4C91">
        <w:t xml:space="preserve"> the Transferred data sets are identical to the Shared data sets in terms of the training data and differ only in their test data. Thus, when </w:t>
      </w:r>
      <w:r w:rsidR="00C75D0F">
        <w:t xml:space="preserve">the kriging model from </w:t>
      </w:r>
      <w:r w:rsidR="00D70A58" w:rsidRPr="002E4C91">
        <w:t>a Shared set is used to predict for a molecule that it has no training data for</w:t>
      </w:r>
      <w:r w:rsidRPr="002E4C91">
        <w:t xml:space="preserve">, </w:t>
      </w:r>
      <w:r w:rsidR="00C75D0F">
        <w:t xml:space="preserve">we then have </w:t>
      </w:r>
      <w:r w:rsidRPr="002E4C91">
        <w:t>a Transferred set</w:t>
      </w:r>
      <w:r w:rsidR="008304A8">
        <w:t>. T</w:t>
      </w:r>
      <w:r w:rsidR="00D70A58" w:rsidRPr="002E4C91">
        <w:t xml:space="preserve">he </w:t>
      </w:r>
      <w:r w:rsidR="0022203B" w:rsidRPr="002E4C91">
        <w:t xml:space="preserve">mean prediction </w:t>
      </w:r>
      <w:r w:rsidR="00D70A58" w:rsidRPr="002E4C91">
        <w:t xml:space="preserve">error </w:t>
      </w:r>
      <w:r w:rsidRPr="002E4C91">
        <w:t xml:space="preserve">for a Transferred set </w:t>
      </w:r>
      <w:r w:rsidR="00612431">
        <w:t xml:space="preserve">turns out to be </w:t>
      </w:r>
      <w:r w:rsidR="00175C10">
        <w:t>7 times</w:t>
      </w:r>
      <w:r w:rsidR="0022203B" w:rsidRPr="002E4C91">
        <w:t xml:space="preserve"> higher </w:t>
      </w:r>
      <w:r w:rsidR="00612431">
        <w:t xml:space="preserve">than that of the Shared data set </w:t>
      </w:r>
      <w:r w:rsidR="00055F78">
        <w:t xml:space="preserve">and ~15 times higher than </w:t>
      </w:r>
      <w:r w:rsidR="00612431">
        <w:t xml:space="preserve">that of the </w:t>
      </w:r>
      <w:r w:rsidR="00055F78">
        <w:t>Regular set</w:t>
      </w:r>
      <w:r w:rsidR="0022203B" w:rsidRPr="002E4C91">
        <w:t xml:space="preserve">. Transferred sets in this context </w:t>
      </w:r>
      <w:r w:rsidR="00612431">
        <w:t>offer</w:t>
      </w:r>
      <w:r w:rsidR="00D70A58" w:rsidRPr="002E4C91">
        <w:t xml:space="preserve"> little value over Mismatched data sets that predict outside of their</w:t>
      </w:r>
      <w:r w:rsidR="0022203B" w:rsidRPr="002E4C91">
        <w:t xml:space="preserve"> amino acid</w:t>
      </w:r>
      <w:r w:rsidR="00D70A58" w:rsidRPr="002E4C91">
        <w:t xml:space="preserve"> group</w:t>
      </w:r>
      <w:r w:rsidR="00C75D0F">
        <w:t xml:space="preserve"> </w:t>
      </w:r>
      <w:r w:rsidR="00F42389">
        <w:t>because</w:t>
      </w:r>
      <w:r w:rsidR="00C75D0F">
        <w:t xml:space="preserve"> their kriging models have no training data that is similar enough to the predicted system</w:t>
      </w:r>
      <w:r w:rsidR="00D70A58" w:rsidRPr="002E4C91">
        <w:t xml:space="preserve">. We can conclude that a training set needs some common ground with the molecule its model is predicting, </w:t>
      </w:r>
      <w:r w:rsidR="00F42389">
        <w:t>because</w:t>
      </w:r>
      <w:r w:rsidR="00D70A58" w:rsidRPr="002E4C91">
        <w:t xml:space="preserve"> errors are substantially lower in all sets that include some amount of data on the molecule being predicted</w:t>
      </w:r>
      <w:r w:rsidR="00F42389">
        <w:t>,</w:t>
      </w:r>
      <w:r w:rsidR="0022203B" w:rsidRPr="002E4C91">
        <w:t xml:space="preserve"> or </w:t>
      </w:r>
      <w:r w:rsidR="00F42389">
        <w:t xml:space="preserve">in sets that </w:t>
      </w:r>
      <w:r w:rsidR="0022203B" w:rsidRPr="002E4C91">
        <w:t>predict within the same amino acid group</w:t>
      </w:r>
      <w:r w:rsidR="00D70A58" w:rsidRPr="002E4C91">
        <w:t xml:space="preserve">. </w:t>
      </w:r>
      <w:r w:rsidR="0066683D" w:rsidRPr="002E4C91">
        <w:t>A</w:t>
      </w:r>
      <w:r w:rsidR="00D70A58" w:rsidRPr="002E4C91">
        <w:t xml:space="preserve"> ‘Universal’ data set can be constructed where all 9 </w:t>
      </w:r>
      <w:r w:rsidR="00C75D0F">
        <w:t>sing</w:t>
      </w:r>
      <w:r w:rsidR="009B7A35">
        <w:t>le-</w:t>
      </w:r>
      <w:r w:rsidR="00C75D0F">
        <w:t xml:space="preserve">substituted </w:t>
      </w:r>
      <w:proofErr w:type="spellStart"/>
      <w:r w:rsidR="00C75D0F">
        <w:t>deca-alanines</w:t>
      </w:r>
      <w:proofErr w:type="spellEnd"/>
      <w:r w:rsidR="00C75D0F" w:rsidRPr="002E4C91">
        <w:t xml:space="preserve"> </w:t>
      </w:r>
      <w:r w:rsidR="0066683D" w:rsidRPr="002E4C91">
        <w:t xml:space="preserve">are present in the training data and should hypothetically give acceptable predictions for every molecule. While the Universal data set does outperform data sets that predict outside of their own group, the prediction errors are significantly higher than </w:t>
      </w:r>
      <w:r w:rsidR="00F42389">
        <w:t xml:space="preserve">for </w:t>
      </w:r>
      <w:r w:rsidR="0066683D" w:rsidRPr="002E4C91">
        <w:t xml:space="preserve">the Shared and even Mismatched (Group) sets. </w:t>
      </w:r>
      <w:r w:rsidR="0022203B" w:rsidRPr="002E4C91">
        <w:t xml:space="preserve">A Universal data set </w:t>
      </w:r>
      <w:r w:rsidR="00F42389">
        <w:t>returns</w:t>
      </w:r>
      <w:r w:rsidR="0022203B" w:rsidRPr="002E4C91">
        <w:t xml:space="preserve"> lower errors for the worst predictions, </w:t>
      </w:r>
      <w:r w:rsidR="00F42389">
        <w:t>because</w:t>
      </w:r>
      <w:r w:rsidR="0022203B" w:rsidRPr="002E4C91">
        <w:t xml:space="preserve"> at least some training data </w:t>
      </w:r>
      <w:r w:rsidR="008304A8">
        <w:t>are</w:t>
      </w:r>
      <w:r w:rsidR="0022203B" w:rsidRPr="002E4C91">
        <w:t xml:space="preserve"> present for</w:t>
      </w:r>
      <w:r w:rsidR="00C75D0F">
        <w:t xml:space="preserve"> each tested system, meaning nothing is truly ‘foreign’ to the kriging model</w:t>
      </w:r>
      <w:r w:rsidR="0022203B" w:rsidRPr="002E4C91">
        <w:t xml:space="preserve">. However, a Universal data set also means higher errors for the best predictions </w:t>
      </w:r>
      <w:r w:rsidR="002C61E5">
        <w:t>because</w:t>
      </w:r>
      <w:r w:rsidR="00C75D0F">
        <w:t xml:space="preserve"> the kriging model’s</w:t>
      </w:r>
      <w:r w:rsidR="0022203B" w:rsidRPr="002E4C91">
        <w:t xml:space="preserve"> specificity is diluted by training data for other </w:t>
      </w:r>
      <w:proofErr w:type="spellStart"/>
      <w:r w:rsidR="0022203B" w:rsidRPr="002E4C91">
        <w:t>decapeptides</w:t>
      </w:r>
      <w:proofErr w:type="spellEnd"/>
      <w:r w:rsidR="0022203B" w:rsidRPr="002E4C91">
        <w:t xml:space="preserve">. </w:t>
      </w:r>
      <w:r w:rsidR="0066683D" w:rsidRPr="002E4C91">
        <w:t xml:space="preserve">We conclude that a Universal data set is too general to be </w:t>
      </w:r>
      <w:r w:rsidR="0022203B" w:rsidRPr="002E4C91">
        <w:t xml:space="preserve">usefully </w:t>
      </w:r>
      <w:r w:rsidR="0066683D" w:rsidRPr="002E4C91">
        <w:t>accurate</w:t>
      </w:r>
      <w:r w:rsidR="00C75D0F">
        <w:t xml:space="preserve"> in predicting C</w:t>
      </w:r>
      <w:r w:rsidR="00956DB4" w:rsidRPr="00956DB4">
        <w:rPr>
          <w:rFonts w:cstheme="minorHAnsi"/>
          <w:vertAlign w:val="subscript"/>
        </w:rPr>
        <w:t>α</w:t>
      </w:r>
      <w:r w:rsidR="00C75D0F">
        <w:t xml:space="preserve"> charges</w:t>
      </w:r>
      <w:r w:rsidR="0066683D" w:rsidRPr="002E4C91">
        <w:t>.</w:t>
      </w:r>
    </w:p>
    <w:p w14:paraId="67379373" w14:textId="77777777" w:rsidR="00D2182A" w:rsidRPr="002E4C91" w:rsidRDefault="0066683D" w:rsidP="002E4C91">
      <w:pPr>
        <w:spacing w:after="0" w:line="360" w:lineRule="auto"/>
        <w:ind w:firstLine="720"/>
        <w:jc w:val="both"/>
      </w:pPr>
      <w:r w:rsidRPr="002E4C91">
        <w:t>It is important to note that a Transferred Set is a very general label</w:t>
      </w:r>
      <w:r w:rsidR="008304A8">
        <w:t>,</w:t>
      </w:r>
      <w:r w:rsidR="002B3313" w:rsidRPr="002E4C91">
        <w:t xml:space="preserve"> one that has shown excellent predictions in past work but</w:t>
      </w:r>
      <w:r w:rsidR="0022203B" w:rsidRPr="002E4C91">
        <w:t xml:space="preserve"> </w:t>
      </w:r>
      <w:r w:rsidR="000115D2" w:rsidRPr="002E4C91">
        <w:t>large errors</w:t>
      </w:r>
      <w:r w:rsidR="008304A8">
        <w:t xml:space="preserve"> </w:t>
      </w:r>
      <w:r w:rsidR="008304A8" w:rsidRPr="002E4C91">
        <w:t xml:space="preserve">in Figure </w:t>
      </w:r>
      <w:r w:rsidR="008304A8">
        <w:t>5</w:t>
      </w:r>
      <w:r w:rsidR="000115D2" w:rsidRPr="002E4C91">
        <w:t xml:space="preserve">. </w:t>
      </w:r>
      <w:r w:rsidR="00C75D0F">
        <w:t xml:space="preserve">It might be erroneously surmised that </w:t>
      </w:r>
      <w:r w:rsidR="00BB53D6" w:rsidRPr="002E4C91">
        <w:t xml:space="preserve">a kriging model cannot predict </w:t>
      </w:r>
      <w:r w:rsidR="008304A8">
        <w:t xml:space="preserve">an atomic charge within a </w:t>
      </w:r>
      <w:r w:rsidR="00BB53D6" w:rsidRPr="002E4C91">
        <w:t xml:space="preserve">molecule </w:t>
      </w:r>
      <w:r w:rsidR="008304A8">
        <w:t xml:space="preserve">outside of </w:t>
      </w:r>
      <w:r w:rsidR="00BB53D6" w:rsidRPr="002E4C91">
        <w:t>its training data</w:t>
      </w:r>
      <w:r w:rsidR="00C75D0F">
        <w:t>.</w:t>
      </w:r>
      <w:r w:rsidR="008304A8">
        <w:t xml:space="preserve"> </w:t>
      </w:r>
      <w:r w:rsidR="00C75D0F">
        <w:t xml:space="preserve">However, the Transferred data set’s poor predictions </w:t>
      </w:r>
      <w:r w:rsidR="002C61E5">
        <w:t>occur</w:t>
      </w:r>
      <w:r w:rsidR="00C75D0F">
        <w:t xml:space="preserve"> primarily </w:t>
      </w:r>
      <w:r w:rsidR="008304A8">
        <w:t xml:space="preserve">because we have chosen to predict a </w:t>
      </w:r>
      <w:proofErr w:type="spellStart"/>
      <w:r w:rsidR="008304A8">
        <w:t>decapeptide</w:t>
      </w:r>
      <w:proofErr w:type="spellEnd"/>
      <w:r w:rsidR="008304A8">
        <w:t xml:space="preserve"> that is not similar enough to one in the training set.</w:t>
      </w:r>
      <w:r w:rsidR="00BB53D6" w:rsidRPr="002E4C91">
        <w:t xml:space="preserve"> We set to prove a kriging model’s transferability by taking models trained on the 9 </w:t>
      </w:r>
      <w:proofErr w:type="spellStart"/>
      <w:r w:rsidR="00BB53D6" w:rsidRPr="002E4C91">
        <w:t>decapeptides</w:t>
      </w:r>
      <w:proofErr w:type="spellEnd"/>
      <w:r w:rsidR="00BB53D6" w:rsidRPr="002E4C91">
        <w:t xml:space="preserve"> in Figure </w:t>
      </w:r>
      <w:r w:rsidR="000A02C8" w:rsidRPr="002E4C91">
        <w:t>1</w:t>
      </w:r>
      <w:r w:rsidR="00BB53D6" w:rsidRPr="002E4C91">
        <w:t xml:space="preserve"> and using them to predict charges on the Custom </w:t>
      </w:r>
      <w:proofErr w:type="spellStart"/>
      <w:r w:rsidR="00BB53D6" w:rsidRPr="002E4C91">
        <w:t>decapeptide</w:t>
      </w:r>
      <w:proofErr w:type="spellEnd"/>
      <w:r w:rsidR="00BB53D6" w:rsidRPr="002E4C91">
        <w:t xml:space="preserve"> in Figure </w:t>
      </w:r>
      <w:r w:rsidR="000E761C">
        <w:t>4</w:t>
      </w:r>
      <w:r w:rsidR="00BB53D6" w:rsidRPr="002E4C91">
        <w:t xml:space="preserve">. </w:t>
      </w:r>
      <w:r w:rsidR="00D2182A" w:rsidRPr="002E4C91">
        <w:t xml:space="preserve">Each alanine residue in the Custom </w:t>
      </w:r>
      <w:proofErr w:type="spellStart"/>
      <w:r w:rsidR="00D2182A" w:rsidRPr="002E4C91">
        <w:t>decapeptide</w:t>
      </w:r>
      <w:proofErr w:type="spellEnd"/>
      <w:r w:rsidR="00D2182A" w:rsidRPr="002E4C91">
        <w:t xml:space="preserve"> is neighboured by two different substituted residues, but our kriging models contain training data where the alanine is only neighboure</w:t>
      </w:r>
      <w:r w:rsidR="00CD66C0" w:rsidRPr="002E4C91">
        <w:t xml:space="preserve">d by a single residue at a time. An ideal scenario </w:t>
      </w:r>
      <w:r w:rsidR="00CD66C0" w:rsidRPr="002E4C91">
        <w:lastRenderedPageBreak/>
        <w:t>would be having kriging models for every combination of alanine neighboured by residues of different amino acid groups, w</w:t>
      </w:r>
      <w:r w:rsidR="002D36B7" w:rsidRPr="002E4C91">
        <w:t xml:space="preserve">ith combinations such as </w:t>
      </w:r>
      <w:r w:rsidR="002D36B7" w:rsidRPr="002E4C91">
        <w:rPr>
          <w:i/>
        </w:rPr>
        <w:t>A-ALA</w:t>
      </w:r>
      <w:r w:rsidR="00CD66C0" w:rsidRPr="002E4C91">
        <w:rPr>
          <w:i/>
        </w:rPr>
        <w:t>-A,</w:t>
      </w:r>
      <w:r w:rsidR="002D36B7" w:rsidRPr="002E4C91">
        <w:rPr>
          <w:i/>
        </w:rPr>
        <w:t xml:space="preserve"> A-ALA-B, A-ALA</w:t>
      </w:r>
      <w:r w:rsidR="00CD66C0" w:rsidRPr="002E4C91">
        <w:rPr>
          <w:i/>
        </w:rPr>
        <w:t>-C</w:t>
      </w:r>
      <w:r w:rsidR="002D36B7" w:rsidRPr="002E4C91">
        <w:rPr>
          <w:i/>
        </w:rPr>
        <w:t xml:space="preserve">, </w:t>
      </w:r>
      <w:proofErr w:type="gramStart"/>
      <w:r w:rsidR="002D36B7" w:rsidRPr="002E4C91">
        <w:rPr>
          <w:i/>
        </w:rPr>
        <w:t>B</w:t>
      </w:r>
      <w:proofErr w:type="gramEnd"/>
      <w:r w:rsidR="002D36B7" w:rsidRPr="002E4C91">
        <w:rPr>
          <w:i/>
        </w:rPr>
        <w:t>-ALA-A</w:t>
      </w:r>
      <w:r w:rsidR="00CD66C0" w:rsidRPr="002E4C91">
        <w:rPr>
          <w:i/>
        </w:rPr>
        <w:t xml:space="preserve"> </w:t>
      </w:r>
      <w:r w:rsidR="00CD66C0" w:rsidRPr="002E4C91">
        <w:t xml:space="preserve">and so on. This </w:t>
      </w:r>
      <w:r w:rsidR="002D36B7" w:rsidRPr="002E4C91">
        <w:t xml:space="preserve">would mean creating 9 kriging models </w:t>
      </w:r>
      <w:r w:rsidR="00B47576" w:rsidRPr="002E4C91">
        <w:t>if we were to account for all combinations, plus calculati</w:t>
      </w:r>
      <w:r w:rsidR="002C61E5">
        <w:t>ng</w:t>
      </w:r>
      <w:r w:rsidR="00B47576" w:rsidRPr="002E4C91">
        <w:t xml:space="preserve"> the corresponding </w:t>
      </w:r>
      <w:r w:rsidR="002D36B7" w:rsidRPr="002E4C91">
        <w:rPr>
          <w:i/>
        </w:rPr>
        <w:t>ab initio</w:t>
      </w:r>
      <w:r w:rsidR="002D36B7" w:rsidRPr="002E4C91">
        <w:t xml:space="preserve"> data with which to train them</w:t>
      </w:r>
      <w:r w:rsidR="001D088E">
        <w:t>,</w:t>
      </w:r>
      <w:r w:rsidR="002D36B7" w:rsidRPr="002E4C91">
        <w:t xml:space="preserve"> a situation best avoided </w:t>
      </w:r>
      <w:r w:rsidR="002C61E5">
        <w:t>if</w:t>
      </w:r>
      <w:r w:rsidR="002D36B7" w:rsidRPr="002E4C91">
        <w:t xml:space="preserve"> possible. Instead</w:t>
      </w:r>
      <w:r w:rsidR="001D088E">
        <w:t>,</w:t>
      </w:r>
      <w:r w:rsidR="002D36B7" w:rsidRPr="002E4C91">
        <w:t xml:space="preserve"> we </w:t>
      </w:r>
      <w:r w:rsidR="00D2182A" w:rsidRPr="002E4C91">
        <w:t>use the kriging model</w:t>
      </w:r>
      <w:r w:rsidR="001D088E">
        <w:t>s</w:t>
      </w:r>
      <w:r w:rsidR="00D2182A" w:rsidRPr="002E4C91">
        <w:t xml:space="preserve"> that correspond to the</w:t>
      </w:r>
      <w:r w:rsidR="00060CA3" w:rsidRPr="002E4C91">
        <w:t xml:space="preserve"> amino acid group</w:t>
      </w:r>
      <w:r w:rsidR="001D088E">
        <w:t>s</w:t>
      </w:r>
      <w:r w:rsidR="00060CA3" w:rsidRPr="002E4C91">
        <w:t xml:space="preserve"> of the</w:t>
      </w:r>
      <w:r w:rsidR="00D2182A" w:rsidRPr="002E4C91">
        <w:t xml:space="preserve"> C-Terminus neighbour </w:t>
      </w:r>
      <w:r w:rsidR="001D088E">
        <w:t>and</w:t>
      </w:r>
      <w:r w:rsidR="002D36B7" w:rsidRPr="002E4C91">
        <w:t xml:space="preserve"> </w:t>
      </w:r>
      <w:r w:rsidR="00060CA3" w:rsidRPr="002E4C91">
        <w:t>that of</w:t>
      </w:r>
      <w:r w:rsidR="00D2182A" w:rsidRPr="002E4C91">
        <w:t xml:space="preserve"> the N-Terminus neighbour</w:t>
      </w:r>
      <w:r w:rsidR="002D36B7" w:rsidRPr="002E4C91">
        <w:t xml:space="preserve"> of an alanine residue on the Custom </w:t>
      </w:r>
      <w:proofErr w:type="spellStart"/>
      <w:r w:rsidR="002D36B7" w:rsidRPr="002E4C91">
        <w:t>decapeptide</w:t>
      </w:r>
      <w:proofErr w:type="spellEnd"/>
      <w:r w:rsidR="00D2182A" w:rsidRPr="002E4C91">
        <w:t>.</w:t>
      </w:r>
      <w:r w:rsidR="00CD66C0" w:rsidRPr="002E4C91">
        <w:t xml:space="preserve"> </w:t>
      </w:r>
      <w:r w:rsidR="0065665D">
        <w:t>This chosen residue dictates which 3 of the 9 sing</w:t>
      </w:r>
      <w:r w:rsidR="002C61E5">
        <w:t>le-</w:t>
      </w:r>
      <w:r w:rsidR="0065665D">
        <w:t xml:space="preserve">substituted </w:t>
      </w:r>
      <w:proofErr w:type="spellStart"/>
      <w:r w:rsidR="0065665D">
        <w:t>deca</w:t>
      </w:r>
      <w:proofErr w:type="spellEnd"/>
      <w:r w:rsidR="0065665D">
        <w:t xml:space="preserve">-alanine systems a </w:t>
      </w:r>
      <w:proofErr w:type="spellStart"/>
      <w:r w:rsidR="0065665D">
        <w:t>kriging</w:t>
      </w:r>
      <w:proofErr w:type="spellEnd"/>
      <w:r w:rsidR="0065665D">
        <w:t xml:space="preserve"> model is trained on, so that the predicted residue has a neighbour of the same amino acid group as the chosen sing</w:t>
      </w:r>
      <w:r w:rsidR="002C61E5">
        <w:t>le-</w:t>
      </w:r>
      <w:r w:rsidR="0065665D">
        <w:t xml:space="preserve">substituted </w:t>
      </w:r>
      <w:proofErr w:type="spellStart"/>
      <w:r w:rsidR="0065665D">
        <w:t>deca</w:t>
      </w:r>
      <w:r w:rsidR="002C61E5">
        <w:t>-</w:t>
      </w:r>
      <w:r w:rsidR="0065665D">
        <w:t>alanines</w:t>
      </w:r>
      <w:proofErr w:type="spellEnd"/>
      <w:r w:rsidR="0065665D">
        <w:t>.</w:t>
      </w:r>
    </w:p>
    <w:p w14:paraId="5A209424" w14:textId="77777777" w:rsidR="009B7A35" w:rsidRDefault="002D36B7" w:rsidP="002E4C91">
      <w:pPr>
        <w:spacing w:after="0" w:line="360" w:lineRule="auto"/>
        <w:ind w:firstLine="720"/>
        <w:jc w:val="both"/>
      </w:pPr>
      <w:r w:rsidRPr="002E4C91">
        <w:t>For example, the firs</w:t>
      </w:r>
      <w:r w:rsidR="00C220E4" w:rsidRPr="002E4C91">
        <w:t>t alanine residue</w:t>
      </w:r>
      <w:r w:rsidR="00114AF0" w:rsidRPr="002E4C91">
        <w:t xml:space="preserve"> (counting from the C-Terminus</w:t>
      </w:r>
      <w:r w:rsidR="009B7A35">
        <w:t>, see Figure 4</w:t>
      </w:r>
      <w:r w:rsidR="00114AF0" w:rsidRPr="002E4C91">
        <w:t>)</w:t>
      </w:r>
      <w:r w:rsidR="00C220E4" w:rsidRPr="002E4C91">
        <w:t xml:space="preserve"> has neighbouring residues</w:t>
      </w:r>
      <w:r w:rsidRPr="002E4C91">
        <w:t xml:space="preserve"> VAL and GLY</w:t>
      </w:r>
      <w:r w:rsidR="00DE7324">
        <w:t>, that is,</w:t>
      </w:r>
      <w:r w:rsidRPr="002E4C91">
        <w:t xml:space="preserve"> VAL on the C-Terminus side and GLY on the N-Terminus side. In this case, both VAL and GLY belong to group </w:t>
      </w:r>
      <w:r w:rsidRPr="009B7A35">
        <w:rPr>
          <w:i/>
        </w:rPr>
        <w:t>A</w:t>
      </w:r>
      <w:r w:rsidR="00DE7324">
        <w:t>,</w:t>
      </w:r>
      <w:r w:rsidRPr="002E4C91">
        <w:t xml:space="preserve"> and so the same kriging model is used in both situations.</w:t>
      </w:r>
      <w:r w:rsidR="0065665D">
        <w:t xml:space="preserve"> That kriging model is trained on sing</w:t>
      </w:r>
      <w:r w:rsidR="009B7A35">
        <w:t>le-</w:t>
      </w:r>
      <w:r w:rsidR="0065665D">
        <w:t xml:space="preserve">substituted </w:t>
      </w:r>
      <w:proofErr w:type="spellStart"/>
      <w:r w:rsidR="0065665D">
        <w:t>deca-alanines</w:t>
      </w:r>
      <w:proofErr w:type="spellEnd"/>
      <w:r w:rsidR="0065665D">
        <w:t xml:space="preserve"> from group </w:t>
      </w:r>
      <w:r w:rsidR="0065665D" w:rsidRPr="009B7A35">
        <w:rPr>
          <w:i/>
        </w:rPr>
        <w:t>A</w:t>
      </w:r>
      <w:r w:rsidR="0065665D">
        <w:t>.</w:t>
      </w:r>
      <w:r w:rsidRPr="002E4C91">
        <w:t xml:space="preserve"> However, the second alanine residue has neighbours GLY and THR, in which case </w:t>
      </w:r>
      <w:r w:rsidR="00DE7324">
        <w:t xml:space="preserve">one must </w:t>
      </w:r>
      <w:r w:rsidRPr="002E4C91">
        <w:t>cho</w:t>
      </w:r>
      <w:r w:rsidR="00DE7324">
        <w:t>ose</w:t>
      </w:r>
      <w:r w:rsidRPr="002E4C91">
        <w:t xml:space="preserve"> which kriging model (group </w:t>
      </w:r>
      <w:r w:rsidRPr="009B7A35">
        <w:rPr>
          <w:i/>
        </w:rPr>
        <w:t xml:space="preserve">A </w:t>
      </w:r>
      <w:r w:rsidRPr="009B7A35">
        <w:t>or</w:t>
      </w:r>
      <w:r w:rsidRPr="009B7A35">
        <w:rPr>
          <w:i/>
        </w:rPr>
        <w:t xml:space="preserve"> B</w:t>
      </w:r>
      <w:r w:rsidRPr="002E4C91">
        <w:t>) to use</w:t>
      </w:r>
      <w:r w:rsidR="00DE7324">
        <w:t xml:space="preserve">. </w:t>
      </w:r>
      <w:r w:rsidR="009B7A35">
        <w:t>The consequence of this choice can be assessed by an error analysis, through the so-called S-curve. This curve show</w:t>
      </w:r>
      <w:r w:rsidR="008A63FF">
        <w:t>s</w:t>
      </w:r>
      <w:r w:rsidR="009B7A35">
        <w:t xml:space="preserve"> the cumulative error distribution (y-axis i</w:t>
      </w:r>
      <w:r w:rsidR="008A63FF">
        <w:t>n</w:t>
      </w:r>
      <w:r w:rsidR="009B7A35">
        <w:t xml:space="preserve"> percentage) for the error (x-axis in au of charge) incurred in a test set of geometries. </w:t>
      </w:r>
    </w:p>
    <w:p w14:paraId="2EE02277" w14:textId="77777777" w:rsidR="009B7A35" w:rsidRDefault="009B7A35">
      <w:r>
        <w:br w:type="page"/>
      </w:r>
    </w:p>
    <w:p w14:paraId="5A7FA5FF" w14:textId="2C18D677" w:rsidR="00DA74E9" w:rsidRDefault="00C26927" w:rsidP="008A63FF">
      <w:pPr>
        <w:spacing w:after="120" w:line="360" w:lineRule="auto"/>
        <w:jc w:val="both"/>
      </w:pPr>
      <w:r>
        <w:lastRenderedPageBreak/>
        <w:t xml:space="preserve">       </w:t>
      </w:r>
      <w:r w:rsidR="00DE7324">
        <w:t xml:space="preserve">Figure 6 shows the </w:t>
      </w:r>
      <w:r w:rsidR="00D2182A" w:rsidRPr="002E4C91">
        <w:t>S-</w:t>
      </w:r>
      <w:r w:rsidR="009B7A35">
        <w:t>c</w:t>
      </w:r>
      <w:r w:rsidR="00D2182A" w:rsidRPr="002E4C91">
        <w:t xml:space="preserve">urve </w:t>
      </w:r>
      <w:r w:rsidR="00060CA3" w:rsidRPr="002E4C91">
        <w:t>summariz</w:t>
      </w:r>
      <w:r w:rsidR="00DE7324">
        <w:t>ing</w:t>
      </w:r>
      <w:r w:rsidR="00060CA3" w:rsidRPr="002E4C91">
        <w:t xml:space="preserve"> </w:t>
      </w:r>
      <w:r w:rsidR="00D2182A" w:rsidRPr="002E4C91">
        <w:t>t</w:t>
      </w:r>
      <w:r w:rsidR="00BB53D6" w:rsidRPr="002E4C91">
        <w:t xml:space="preserve">he prediction errors </w:t>
      </w:r>
      <w:r w:rsidR="00D2182A" w:rsidRPr="002E4C91">
        <w:t xml:space="preserve">of </w:t>
      </w:r>
      <w:r w:rsidR="00BB53D6" w:rsidRPr="002E4C91">
        <w:t xml:space="preserve">the </w:t>
      </w:r>
      <w:r w:rsidR="00DE7324" w:rsidRPr="002E4C91">
        <w:t xml:space="preserve">charges </w:t>
      </w:r>
      <w:r w:rsidR="00DE7324">
        <w:t xml:space="preserve">of the </w:t>
      </w:r>
      <w:r w:rsidR="00BB53D6" w:rsidRPr="002E4C91">
        <w:t xml:space="preserve">four alanine </w:t>
      </w:r>
      <w:r w:rsidR="00DE7324">
        <w:t>residues</w:t>
      </w:r>
      <w:r w:rsidR="00656523">
        <w:rPr>
          <w:vertAlign w:val="subscript"/>
        </w:rPr>
        <w:t xml:space="preserve"> </w:t>
      </w:r>
      <w:r w:rsidR="00BB53D6" w:rsidRPr="002E4C91">
        <w:t xml:space="preserve">in the Custom </w:t>
      </w:r>
      <w:proofErr w:type="spellStart"/>
      <w:r w:rsidR="00BB53D6" w:rsidRPr="002E4C91">
        <w:t>decapeptide</w:t>
      </w:r>
      <w:proofErr w:type="spellEnd"/>
      <w:r w:rsidR="00D2182A" w:rsidRPr="002E4C91">
        <w:t xml:space="preserve"> across test 100 geometries (400 total predictions per S-</w:t>
      </w:r>
      <w:r w:rsidR="009B7A35">
        <w:t>c</w:t>
      </w:r>
      <w:r w:rsidR="00D2182A" w:rsidRPr="002E4C91">
        <w:t>urve)</w:t>
      </w:r>
      <w:r w:rsidR="00DE7324">
        <w:t>.</w:t>
      </w:r>
      <w:r w:rsidR="00D2182A" w:rsidRPr="002E4C91">
        <w:t xml:space="preserve"> </w:t>
      </w:r>
      <w:r w:rsidR="009B7A35" w:rsidRPr="002E4C91">
        <w:t>As anticipated, Regular data sets (</w:t>
      </w:r>
      <w:r w:rsidR="00C60216">
        <w:t xml:space="preserve">blue curve, </w:t>
      </w:r>
      <w:r w:rsidR="009B7A35" w:rsidRPr="002E4C91">
        <w:t>~0.006 au mean error) give significantly lower errors than the Transferred data sets (</w:t>
      </w:r>
      <w:r w:rsidR="00C60216">
        <w:t xml:space="preserve">green and red curves, </w:t>
      </w:r>
      <w:r w:rsidR="009B7A35" w:rsidRPr="002E4C91">
        <w:t xml:space="preserve">~0.025 au mean error). </w:t>
      </w:r>
      <w:r w:rsidR="009B7A35">
        <w:t>I</w:t>
      </w:r>
      <w:r w:rsidR="009B7A35" w:rsidRPr="002E4C91">
        <w:t xml:space="preserve">t is no surprise that the 4 kriging models specific to the Custom </w:t>
      </w:r>
      <w:proofErr w:type="spellStart"/>
      <w:r w:rsidR="009B7A35" w:rsidRPr="002E4C91">
        <w:t>decapeptide</w:t>
      </w:r>
      <w:proofErr w:type="spellEnd"/>
      <w:r w:rsidR="00C6425F">
        <w:t>,</w:t>
      </w:r>
      <w:r w:rsidR="009B7A35" w:rsidRPr="002E4C91">
        <w:t xml:space="preserve"> </w:t>
      </w:r>
      <w:r w:rsidR="00C6425F">
        <w:t>which</w:t>
      </w:r>
      <w:r w:rsidR="009B7A35" w:rsidRPr="002E4C91">
        <w:t xml:space="preserve"> the Regular data set uses</w:t>
      </w:r>
      <w:r w:rsidR="00C6425F">
        <w:t>,</w:t>
      </w:r>
      <w:r w:rsidR="009B7A35" w:rsidRPr="002E4C91">
        <w:t xml:space="preserve"> </w:t>
      </w:r>
      <w:r w:rsidR="009B7A35">
        <w:t>are</w:t>
      </w:r>
      <w:r w:rsidR="009B7A35" w:rsidRPr="002E4C91">
        <w:t xml:space="preserve"> preferable to the 3 general kriging models built on sing</w:t>
      </w:r>
      <w:r w:rsidR="009B7A35">
        <w:t>le</w:t>
      </w:r>
      <w:r w:rsidR="009B7A35" w:rsidRPr="002E4C91">
        <w:t xml:space="preserve">-substituted </w:t>
      </w:r>
      <w:proofErr w:type="spellStart"/>
      <w:r w:rsidR="009B7A35" w:rsidRPr="002E4C91">
        <w:t>decapeptide</w:t>
      </w:r>
      <w:proofErr w:type="spellEnd"/>
      <w:r w:rsidR="009B7A35" w:rsidRPr="002E4C91">
        <w:t xml:space="preserve"> data. </w:t>
      </w:r>
      <w:r w:rsidR="009B7A35">
        <w:t>Perhaps</w:t>
      </w:r>
      <w:r w:rsidR="009B7A35" w:rsidRPr="002E4C91">
        <w:t xml:space="preserve"> surprising is that the Transferred data sets have only around 4</w:t>
      </w:r>
      <w:r w:rsidR="009B7A35">
        <w:t xml:space="preserve"> times</w:t>
      </w:r>
      <w:r w:rsidR="009B7A35" w:rsidRPr="002E4C91">
        <w:t xml:space="preserve"> the error of the Regular data sets for the Custom </w:t>
      </w:r>
      <w:proofErr w:type="spellStart"/>
      <w:r w:rsidR="009B7A35" w:rsidRPr="002E4C91">
        <w:t>decapeptide</w:t>
      </w:r>
      <w:proofErr w:type="spellEnd"/>
      <w:r w:rsidR="00FD029A">
        <w:t xml:space="preserve">, comparing the curves in Figure 6. However, when comparing the predictions </w:t>
      </w:r>
      <w:r w:rsidR="00BC1B3B">
        <w:t>for single</w:t>
      </w:r>
      <w:r w:rsidR="005245A1">
        <w:t xml:space="preserve">-substituted </w:t>
      </w:r>
      <w:proofErr w:type="spellStart"/>
      <w:r w:rsidR="005245A1">
        <w:t>decapeptides</w:t>
      </w:r>
      <w:proofErr w:type="spellEnd"/>
      <w:r w:rsidR="005245A1">
        <w:t xml:space="preserve"> </w:t>
      </w:r>
      <w:r w:rsidR="00FD029A">
        <w:t xml:space="preserve">in Figure 5, </w:t>
      </w:r>
      <w:r w:rsidR="009B7A35" w:rsidRPr="002E4C91">
        <w:t xml:space="preserve">we noted </w:t>
      </w:r>
      <w:r w:rsidR="00C6425F">
        <w:t xml:space="preserve">an </w:t>
      </w:r>
      <w:r w:rsidR="009B7A35" w:rsidRPr="002E4C91">
        <w:t xml:space="preserve">almost </w:t>
      </w:r>
      <w:r w:rsidR="00055F78">
        <w:t xml:space="preserve">15 </w:t>
      </w:r>
      <w:r w:rsidR="009B7A35">
        <w:t>times</w:t>
      </w:r>
      <w:r w:rsidR="009B7A35" w:rsidRPr="002E4C91">
        <w:t xml:space="preserve"> increase of error</w:t>
      </w:r>
      <w:r w:rsidR="00FD029A">
        <w:t xml:space="preserve"> for</w:t>
      </w:r>
      <w:r w:rsidR="009B7A35" w:rsidRPr="002E4C91">
        <w:t xml:space="preserve"> Transferred data</w:t>
      </w:r>
      <w:r w:rsidR="005245A1">
        <w:t xml:space="preserve"> sets over the Regular data sets</w:t>
      </w:r>
      <w:r w:rsidR="009B7A35" w:rsidRPr="002E4C91">
        <w:t>. The difference is that in the case of the sing</w:t>
      </w:r>
      <w:r w:rsidR="009B7A35">
        <w:t>le</w:t>
      </w:r>
      <w:r w:rsidR="009B7A35" w:rsidRPr="002E4C91">
        <w:t xml:space="preserve">-substituted </w:t>
      </w:r>
      <w:proofErr w:type="spellStart"/>
      <w:r w:rsidR="009B7A35" w:rsidRPr="002E4C91">
        <w:t>decapeptide</w:t>
      </w:r>
      <w:proofErr w:type="spellEnd"/>
      <w:r w:rsidR="00C60216">
        <w:t xml:space="preserve"> prediction errors in Figure 5</w:t>
      </w:r>
      <w:r w:rsidR="009B7A35" w:rsidRPr="002E4C91">
        <w:t>, the Transferred data sets</w:t>
      </w:r>
      <w:r w:rsidR="009B7A35">
        <w:t xml:space="preserve"> only</w:t>
      </w:r>
      <w:r w:rsidR="009B7A35" w:rsidRPr="002E4C91">
        <w:t xml:space="preserve"> contained test data of </w:t>
      </w:r>
      <w:proofErr w:type="spellStart"/>
      <w:r w:rsidR="009B7A35" w:rsidRPr="002E4C91">
        <w:t>decapeptides</w:t>
      </w:r>
      <w:proofErr w:type="spellEnd"/>
      <w:r w:rsidR="009B7A35" w:rsidRPr="002E4C91">
        <w:t xml:space="preserve"> that were outside the amino acid group of those in the training data. For the Custom </w:t>
      </w:r>
      <w:proofErr w:type="spellStart"/>
      <w:r w:rsidR="009B7A35" w:rsidRPr="002E4C91">
        <w:t>decapeptide</w:t>
      </w:r>
      <w:proofErr w:type="spellEnd"/>
      <w:r w:rsidR="00C60216">
        <w:t xml:space="preserve"> prediction errors in Figure 6</w:t>
      </w:r>
      <w:r w:rsidR="009B7A35" w:rsidRPr="002E4C91">
        <w:t>, kriging models were carefully select</w:t>
      </w:r>
      <w:r w:rsidR="009B7A35">
        <w:t>ed</w:t>
      </w:r>
      <w:r w:rsidR="009B7A35" w:rsidRPr="002E4C91">
        <w:t xml:space="preserve"> for each of the alanine residues</w:t>
      </w:r>
      <w:r w:rsidR="009B7A35">
        <w:t>. Thus,</w:t>
      </w:r>
      <w:r w:rsidR="009B7A35" w:rsidRPr="002E4C91">
        <w:t xml:space="preserve"> Transferred data sets were guided toward success by their training and test data sharing the same amino acid type</w:t>
      </w:r>
      <w:r w:rsidR="009B7A35">
        <w:t>.</w:t>
      </w:r>
      <w:r w:rsidR="008A63FF" w:rsidRPr="002E4C91">
        <w:t xml:space="preserve">  </w:t>
      </w:r>
      <w:r w:rsidR="008A63FF">
        <w:t>I</w:t>
      </w:r>
      <w:r w:rsidR="008A63FF" w:rsidRPr="002E4C91">
        <w:t>t should be noted that choosing the amino acid type of the N-terminus residue generally gives the best predictions (Supp</w:t>
      </w:r>
      <w:r w:rsidR="004F68B3">
        <w:t>orting</w:t>
      </w:r>
      <w:r w:rsidR="008A63FF" w:rsidRPr="002E4C91">
        <w:t xml:space="preserve"> Information</w:t>
      </w:r>
      <w:r w:rsidR="008A63FF">
        <w:t>,</w:t>
      </w:r>
      <w:r w:rsidR="008A63FF" w:rsidRPr="002E4C91">
        <w:t xml:space="preserve"> </w:t>
      </w:r>
      <w:r w:rsidR="008A63FF">
        <w:t xml:space="preserve">Figure </w:t>
      </w:r>
      <w:r w:rsidR="008A63FF" w:rsidRPr="002E4C91">
        <w:t>S</w:t>
      </w:r>
      <w:r w:rsidR="008A63FF">
        <w:t>1</w:t>
      </w:r>
      <w:r w:rsidR="008A63FF" w:rsidRPr="002E4C91">
        <w:t>)</w:t>
      </w:r>
      <w:proofErr w:type="gramStart"/>
      <w:r w:rsidR="008A63FF" w:rsidRPr="002E4C91">
        <w:t>,</w:t>
      </w:r>
      <w:proofErr w:type="gramEnd"/>
      <w:r w:rsidR="008A63FF" w:rsidRPr="002E4C91">
        <w:t xml:space="preserve"> probably due to the kriging models used being trained on sing</w:t>
      </w:r>
      <w:r w:rsidR="008A63FF">
        <w:t>le-</w:t>
      </w:r>
      <w:r w:rsidR="008A63FF" w:rsidRPr="002E4C91">
        <w:t xml:space="preserve">substituted </w:t>
      </w:r>
      <w:proofErr w:type="spellStart"/>
      <w:r w:rsidR="008A63FF" w:rsidRPr="002E4C91">
        <w:t>decapeptides</w:t>
      </w:r>
      <w:proofErr w:type="spellEnd"/>
      <w:r w:rsidR="008A63FF" w:rsidRPr="002E4C91">
        <w:t xml:space="preserve"> where the substituted residue lies on the N-terminus side of the modelled alanine residue. </w:t>
      </w:r>
    </w:p>
    <w:p w14:paraId="23FF7A5B" w14:textId="77777777" w:rsidR="003A35D9" w:rsidRDefault="00190904" w:rsidP="003A35D9">
      <w:pPr>
        <w:jc w:val="center"/>
        <w:rPr>
          <w:b/>
          <w:noProof/>
          <w:sz w:val="24"/>
        </w:rPr>
      </w:pPr>
      <w:r>
        <w:rPr>
          <w:b/>
          <w:noProof/>
          <w:sz w:val="24"/>
        </w:rPr>
        <w:drawing>
          <wp:inline distT="0" distB="0" distL="0" distR="0" wp14:anchorId="6D70373A" wp14:editId="05038C35">
            <wp:extent cx="3374283" cy="25346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HelixCondensed.b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73304" cy="2533901"/>
                    </a:xfrm>
                    <a:prstGeom prst="rect">
                      <a:avLst/>
                    </a:prstGeom>
                  </pic:spPr>
                </pic:pic>
              </a:graphicData>
            </a:graphic>
          </wp:inline>
        </w:drawing>
      </w:r>
    </w:p>
    <w:p w14:paraId="171DFF06" w14:textId="77777777" w:rsidR="00612431" w:rsidRDefault="00F80FB0" w:rsidP="000E4D31">
      <w:pPr>
        <w:spacing w:after="0" w:line="360" w:lineRule="auto"/>
      </w:pPr>
      <w:proofErr w:type="gramStart"/>
      <w:r w:rsidRPr="005E670C">
        <w:rPr>
          <w:b/>
        </w:rPr>
        <w:t xml:space="preserve">Figure </w:t>
      </w:r>
      <w:r w:rsidR="000E761C">
        <w:rPr>
          <w:b/>
        </w:rPr>
        <w:t>6</w:t>
      </w:r>
      <w:r w:rsidR="002E4C91" w:rsidRPr="005E670C">
        <w:rPr>
          <w:b/>
        </w:rPr>
        <w:t>.</w:t>
      </w:r>
      <w:proofErr w:type="gramEnd"/>
      <w:r w:rsidR="009824A3" w:rsidRPr="005E670C">
        <w:rPr>
          <w:b/>
        </w:rPr>
        <w:t xml:space="preserve"> </w:t>
      </w:r>
      <w:proofErr w:type="gramStart"/>
      <w:r w:rsidR="00060CA3" w:rsidRPr="005E670C">
        <w:t>Summary of</w:t>
      </w:r>
      <w:r w:rsidR="00060CA3" w:rsidRPr="005E670C">
        <w:rPr>
          <w:b/>
        </w:rPr>
        <w:t xml:space="preserve"> </w:t>
      </w:r>
      <w:r w:rsidR="00060CA3" w:rsidRPr="005E670C">
        <w:t>p</w:t>
      </w:r>
      <w:r w:rsidR="003E4D56" w:rsidRPr="005E670C">
        <w:t>rediction errors for the C</w:t>
      </w:r>
      <w:r w:rsidR="00DE7324">
        <w:rPr>
          <w:vertAlign w:val="subscript"/>
        </w:rPr>
        <w:t>α</w:t>
      </w:r>
      <w:r w:rsidR="003E4D56" w:rsidRPr="005E670C">
        <w:t xml:space="preserve"> Q</w:t>
      </w:r>
      <w:r w:rsidR="003E4D56" w:rsidRPr="005E670C">
        <w:rPr>
          <w:vertAlign w:val="subscript"/>
        </w:rPr>
        <w:t>00</w:t>
      </w:r>
      <w:r w:rsidR="003E4D56" w:rsidRPr="005E670C">
        <w:t xml:space="preserve"> on </w:t>
      </w:r>
      <w:r w:rsidR="00DE7324">
        <w:t xml:space="preserve">the </w:t>
      </w:r>
      <w:r w:rsidR="003E4D56" w:rsidRPr="005E670C">
        <w:t>four different alanine res</w:t>
      </w:r>
      <w:r w:rsidR="00D2182A" w:rsidRPr="005E670C">
        <w:t xml:space="preserve">idues </w:t>
      </w:r>
      <w:r w:rsidR="00DE7324">
        <w:t>in</w:t>
      </w:r>
      <w:r w:rsidR="00D2182A" w:rsidRPr="005E670C">
        <w:t xml:space="preserve"> the Custom </w:t>
      </w:r>
      <w:proofErr w:type="spellStart"/>
      <w:r w:rsidR="00D2182A" w:rsidRPr="005E670C">
        <w:t>decapeptide</w:t>
      </w:r>
      <w:proofErr w:type="spellEnd"/>
      <w:r w:rsidR="00D2182A" w:rsidRPr="005E670C">
        <w:t xml:space="preserve"> (VAL-ALA-GLY-ALA-THR-ALA-CYS-ALA-ASP-ALA</w:t>
      </w:r>
      <w:r w:rsidR="003E4D56" w:rsidRPr="005E670C">
        <w:t>).</w:t>
      </w:r>
      <w:proofErr w:type="gramEnd"/>
      <w:r w:rsidR="003E4D56" w:rsidRPr="005E670C">
        <w:t xml:space="preserve"> </w:t>
      </w:r>
      <w:r w:rsidR="00D2182A" w:rsidRPr="005E670C">
        <w:t xml:space="preserve">A set of Regular data set predictions is displayed alongside two different Transferred data set predictions, </w:t>
      </w:r>
      <w:r w:rsidR="00DE7324">
        <w:t xml:space="preserve">called </w:t>
      </w:r>
      <w:r w:rsidR="00D2182A" w:rsidRPr="005E670C">
        <w:t xml:space="preserve">C-Terminus and N-Terminus, </w:t>
      </w:r>
      <w:r w:rsidR="00DE7324">
        <w:t>which</w:t>
      </w:r>
      <w:r w:rsidR="00D2182A" w:rsidRPr="005E670C">
        <w:t xml:space="preserve"> indicate which side of the alanine residue is considered as the ‘neighbouring residue’ for kriging model selection purposes. </w:t>
      </w:r>
    </w:p>
    <w:p w14:paraId="73494238" w14:textId="74CD3862" w:rsidR="000E4D31" w:rsidRPr="00317B94" w:rsidRDefault="000E4D31" w:rsidP="000E4D31">
      <w:pPr>
        <w:spacing w:after="0" w:line="360" w:lineRule="auto"/>
        <w:rPr>
          <w:b/>
        </w:rPr>
      </w:pPr>
      <w:r w:rsidRPr="00317B94">
        <w:rPr>
          <w:b/>
        </w:rPr>
        <w:lastRenderedPageBreak/>
        <w:t xml:space="preserve">3.2 </w:t>
      </w:r>
      <w:proofErr w:type="spellStart"/>
      <w:r w:rsidRPr="00317B94">
        <w:rPr>
          <w:b/>
        </w:rPr>
        <w:t>H</w:t>
      </w:r>
      <w:r w:rsidRPr="00317B94">
        <w:rPr>
          <w:b/>
          <w:vertAlign w:val="subscript"/>
        </w:rPr>
        <w:t>amide</w:t>
      </w:r>
      <w:proofErr w:type="spellEnd"/>
      <w:r w:rsidRPr="00317B94">
        <w:rPr>
          <w:b/>
        </w:rPr>
        <w:t xml:space="preserve"> and hydrogen bonds</w:t>
      </w:r>
    </w:p>
    <w:p w14:paraId="5C7E5075" w14:textId="77777777" w:rsidR="00A80CDA" w:rsidRPr="002E4C91" w:rsidRDefault="002E4C91" w:rsidP="002E4C91">
      <w:pPr>
        <w:spacing w:after="0" w:line="360" w:lineRule="auto"/>
        <w:jc w:val="both"/>
      </w:pPr>
      <w:r w:rsidRPr="002E4C91">
        <w:t xml:space="preserve">      </w:t>
      </w:r>
      <w:r w:rsidR="0079138E" w:rsidRPr="002E4C91">
        <w:t xml:space="preserve">The Transferred data sets give an acceptable level of accuracy and should lead to the ability to model charges in biological systems in the near future. </w:t>
      </w:r>
      <w:r w:rsidR="00317B94">
        <w:t>However, i</w:t>
      </w:r>
      <w:r w:rsidR="0079138E" w:rsidRPr="002E4C91">
        <w:t xml:space="preserve">n order to progress toward these biological systems, </w:t>
      </w:r>
      <w:r w:rsidR="00317B94">
        <w:t>i</w:t>
      </w:r>
      <w:r w:rsidR="0079138E" w:rsidRPr="002E4C91">
        <w:t>t is important to apply transferable models to hydrogen</w:t>
      </w:r>
      <w:r w:rsidR="009B7A35">
        <w:t>s in hydrogen bonds</w:t>
      </w:r>
      <w:r w:rsidR="0046756F">
        <w:t xml:space="preserve">, which </w:t>
      </w:r>
      <w:r w:rsidR="0079138E" w:rsidRPr="002E4C91">
        <w:t xml:space="preserve">we have neglected until now. </w:t>
      </w:r>
    </w:p>
    <w:p w14:paraId="74E18AEB" w14:textId="2CC3C196" w:rsidR="00A04760" w:rsidRPr="002E4C91" w:rsidRDefault="000E4D31" w:rsidP="002E4C91">
      <w:pPr>
        <w:spacing w:after="0" w:line="360" w:lineRule="auto"/>
        <w:jc w:val="both"/>
      </w:pPr>
      <w:r>
        <w:t xml:space="preserve">      </w:t>
      </w:r>
      <w:r w:rsidR="0079138E" w:rsidRPr="002E4C91">
        <w:t xml:space="preserve">The </w:t>
      </w:r>
      <w:proofErr w:type="spellStart"/>
      <w:r w:rsidR="0079138E" w:rsidRPr="002E4C91">
        <w:t>H</w:t>
      </w:r>
      <w:r w:rsidR="0079138E" w:rsidRPr="002E4C91">
        <w:rPr>
          <w:vertAlign w:val="subscript"/>
        </w:rPr>
        <w:t>amide</w:t>
      </w:r>
      <w:proofErr w:type="spellEnd"/>
      <w:r w:rsidR="0079138E" w:rsidRPr="002E4C91">
        <w:t xml:space="preserve"> (amide hydrogen) atoms in our helical </w:t>
      </w:r>
      <w:proofErr w:type="spellStart"/>
      <w:r w:rsidR="0079138E" w:rsidRPr="002E4C91">
        <w:t>decapeptides</w:t>
      </w:r>
      <w:proofErr w:type="spellEnd"/>
      <w:r w:rsidR="0079138E" w:rsidRPr="002E4C91">
        <w:t xml:space="preserve"> form hydrogen bonds with </w:t>
      </w:r>
      <w:proofErr w:type="spellStart"/>
      <w:r w:rsidR="0079138E" w:rsidRPr="002E4C91">
        <w:t>O</w:t>
      </w:r>
      <w:r w:rsidR="0079138E" w:rsidRPr="002E4C91">
        <w:rPr>
          <w:vertAlign w:val="subscript"/>
        </w:rPr>
        <w:t>amide</w:t>
      </w:r>
      <w:proofErr w:type="spellEnd"/>
      <w:r w:rsidR="0079138E" w:rsidRPr="002E4C91">
        <w:t xml:space="preserve"> atoms of other residues. </w:t>
      </w:r>
      <w:r w:rsidR="00317B94">
        <w:t>B</w:t>
      </w:r>
      <w:r w:rsidR="0079138E" w:rsidRPr="002E4C91">
        <w:t>y including the O</w:t>
      </w:r>
      <w:r w:rsidR="0079138E" w:rsidRPr="002E4C91">
        <w:rPr>
          <w:rFonts w:cstheme="minorHAnsi"/>
        </w:rPr>
        <w:t>···</w:t>
      </w:r>
      <w:r w:rsidR="0079138E" w:rsidRPr="002E4C91">
        <w:t xml:space="preserve">H bond length as a feature in the training data, </w:t>
      </w:r>
      <w:proofErr w:type="gramStart"/>
      <w:r w:rsidR="0079138E" w:rsidRPr="002E4C91">
        <w:t>an</w:t>
      </w:r>
      <w:proofErr w:type="gramEnd"/>
      <w:r w:rsidR="0079138E" w:rsidRPr="002E4C91">
        <w:t xml:space="preserve"> </w:t>
      </w:r>
      <w:proofErr w:type="spellStart"/>
      <w:r w:rsidR="0079138E" w:rsidRPr="002E4C91">
        <w:t>H</w:t>
      </w:r>
      <w:r w:rsidR="0079138E" w:rsidRPr="002E4C91">
        <w:rPr>
          <w:vertAlign w:val="subscript"/>
        </w:rPr>
        <w:t>amide</w:t>
      </w:r>
      <w:proofErr w:type="spellEnd"/>
      <w:r w:rsidR="0079138E" w:rsidRPr="002E4C91">
        <w:t xml:space="preserve"> charge can be accurately modelled.</w:t>
      </w:r>
      <w:r w:rsidR="00A80CDA" w:rsidRPr="002E4C91">
        <w:t xml:space="preserve"> For the O</w:t>
      </w:r>
      <w:r w:rsidR="00A80CDA" w:rsidRPr="002E4C91">
        <w:rPr>
          <w:rFonts w:cstheme="minorHAnsi"/>
        </w:rPr>
        <w:t>···</w:t>
      </w:r>
      <w:r w:rsidR="00A80CDA" w:rsidRPr="002E4C91">
        <w:t xml:space="preserve">H bond length to be useful as a feature for the kriging machine learning, </w:t>
      </w:r>
      <w:r w:rsidR="00084177" w:rsidRPr="002E4C91">
        <w:t xml:space="preserve">there must be some correlation between </w:t>
      </w:r>
      <w:r w:rsidR="00A80CDA" w:rsidRPr="002E4C91">
        <w:t>it</w:t>
      </w:r>
      <w:r w:rsidR="00084177" w:rsidRPr="002E4C91">
        <w:t xml:space="preserve"> and </w:t>
      </w:r>
      <w:r w:rsidR="0046756F" w:rsidRPr="002E4C91">
        <w:t>Q</w:t>
      </w:r>
      <w:r w:rsidR="0046756F" w:rsidRPr="002E4C91">
        <w:rPr>
          <w:vertAlign w:val="subscript"/>
        </w:rPr>
        <w:t>00</w:t>
      </w:r>
      <w:r w:rsidR="0046756F" w:rsidRPr="002E4C91">
        <w:t xml:space="preserve"> </w:t>
      </w:r>
      <w:r w:rsidR="0046756F">
        <w:t xml:space="preserve">of </w:t>
      </w:r>
      <w:r w:rsidR="00084177" w:rsidRPr="002E4C91">
        <w:t xml:space="preserve">the </w:t>
      </w:r>
      <w:proofErr w:type="spellStart"/>
      <w:r w:rsidR="00A80CDA" w:rsidRPr="002E4C91">
        <w:t>H</w:t>
      </w:r>
      <w:r w:rsidR="00A80CDA" w:rsidRPr="002E4C91">
        <w:rPr>
          <w:vertAlign w:val="subscript"/>
        </w:rPr>
        <w:t>amide</w:t>
      </w:r>
      <w:proofErr w:type="spellEnd"/>
      <w:r w:rsidR="0046756F">
        <w:t>. Figure 7 plots t</w:t>
      </w:r>
      <w:r w:rsidR="00A80CDA" w:rsidRPr="002E4C91">
        <w:t>he</w:t>
      </w:r>
      <w:r w:rsidR="00084177" w:rsidRPr="002E4C91">
        <w:t xml:space="preserve"> </w:t>
      </w:r>
      <w:r w:rsidR="00A80CDA" w:rsidRPr="002E4C91">
        <w:t>Q</w:t>
      </w:r>
      <w:r w:rsidR="00A80CDA" w:rsidRPr="002E4C91">
        <w:rPr>
          <w:vertAlign w:val="subscript"/>
        </w:rPr>
        <w:t>00</w:t>
      </w:r>
      <w:r w:rsidR="00A80CDA" w:rsidRPr="002E4C91">
        <w:t xml:space="preserve"> for each of the 4 alanine residue </w:t>
      </w:r>
      <w:proofErr w:type="spellStart"/>
      <w:r w:rsidR="00A80CDA" w:rsidRPr="002E4C91">
        <w:t>H</w:t>
      </w:r>
      <w:r w:rsidR="00A80CDA" w:rsidRPr="002E4C91">
        <w:rPr>
          <w:vertAlign w:val="subscript"/>
        </w:rPr>
        <w:t>amide</w:t>
      </w:r>
      <w:proofErr w:type="spellEnd"/>
      <w:r w:rsidR="00A80CDA" w:rsidRPr="002E4C91">
        <w:t xml:space="preserve"> atoms in the Custom </w:t>
      </w:r>
      <w:proofErr w:type="spellStart"/>
      <w:r w:rsidR="00A80CDA" w:rsidRPr="002E4C91">
        <w:t>decapeptide</w:t>
      </w:r>
      <w:proofErr w:type="spellEnd"/>
      <w:r w:rsidR="00A80CDA" w:rsidRPr="002E4C91">
        <w:t xml:space="preserve"> </w:t>
      </w:r>
      <w:r w:rsidR="0046756F">
        <w:t>agai</w:t>
      </w:r>
      <w:r w:rsidR="00C60216">
        <w:t>ns</w:t>
      </w:r>
      <w:r w:rsidR="0046756F">
        <w:t xml:space="preserve">t the corresponding </w:t>
      </w:r>
      <w:r w:rsidR="0046756F" w:rsidRPr="002E4C91">
        <w:t>O</w:t>
      </w:r>
      <w:r w:rsidR="0046756F" w:rsidRPr="002E4C91">
        <w:rPr>
          <w:rFonts w:cstheme="minorHAnsi"/>
        </w:rPr>
        <w:t>···</w:t>
      </w:r>
      <w:r w:rsidR="0046756F" w:rsidRPr="002E4C91">
        <w:t>H bond length</w:t>
      </w:r>
      <w:r w:rsidR="0046756F">
        <w:t>s.</w:t>
      </w:r>
    </w:p>
    <w:p w14:paraId="0B9B413A" w14:textId="77777777" w:rsidR="00816F16" w:rsidRPr="003E4D56" w:rsidRDefault="00816F16" w:rsidP="00084177">
      <w:pPr>
        <w:jc w:val="both"/>
        <w:rPr>
          <w:sz w:val="24"/>
        </w:rPr>
      </w:pPr>
    </w:p>
    <w:p w14:paraId="5E21F841" w14:textId="77777777" w:rsidR="00317B94" w:rsidRDefault="00F80FB0" w:rsidP="00317B94">
      <w:pPr>
        <w:spacing w:after="0" w:line="360" w:lineRule="auto"/>
        <w:jc w:val="center"/>
        <w:rPr>
          <w:b/>
        </w:rPr>
      </w:pPr>
      <w:r>
        <w:rPr>
          <w:b/>
          <w:noProof/>
          <w:sz w:val="24"/>
        </w:rPr>
        <w:drawing>
          <wp:inline distT="0" distB="0" distL="0" distR="0" wp14:anchorId="74268286" wp14:editId="046A5481">
            <wp:extent cx="4294031" cy="2667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ondDist.bmp"/>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301182" cy="2671441"/>
                    </a:xfrm>
                    <a:prstGeom prst="rect">
                      <a:avLst/>
                    </a:prstGeom>
                  </pic:spPr>
                </pic:pic>
              </a:graphicData>
            </a:graphic>
          </wp:inline>
        </w:drawing>
      </w:r>
    </w:p>
    <w:p w14:paraId="583DB991" w14:textId="5ABCD36B" w:rsidR="00503514" w:rsidRDefault="00084177" w:rsidP="00317B94">
      <w:pPr>
        <w:spacing w:after="0" w:line="360" w:lineRule="auto"/>
        <w:jc w:val="both"/>
      </w:pPr>
      <w:r>
        <w:rPr>
          <w:b/>
          <w:sz w:val="24"/>
        </w:rPr>
        <w:br/>
      </w:r>
      <w:proofErr w:type="gramStart"/>
      <w:r w:rsidR="00F80FB0" w:rsidRPr="005E670C">
        <w:rPr>
          <w:b/>
        </w:rPr>
        <w:t xml:space="preserve">Figure </w:t>
      </w:r>
      <w:r w:rsidR="000E761C">
        <w:rPr>
          <w:b/>
        </w:rPr>
        <w:t>7</w:t>
      </w:r>
      <w:r w:rsidR="002E4C91" w:rsidRPr="005E670C">
        <w:rPr>
          <w:b/>
        </w:rPr>
        <w:t>.</w:t>
      </w:r>
      <w:proofErr w:type="gramEnd"/>
      <w:r w:rsidRPr="005E670C">
        <w:rPr>
          <w:b/>
        </w:rPr>
        <w:t xml:space="preserve"> </w:t>
      </w:r>
      <w:proofErr w:type="spellStart"/>
      <w:proofErr w:type="gramStart"/>
      <w:r w:rsidR="00A80CDA" w:rsidRPr="005E670C">
        <w:t>H</w:t>
      </w:r>
      <w:r w:rsidR="00A80CDA" w:rsidRPr="005E670C">
        <w:rPr>
          <w:vertAlign w:val="subscript"/>
        </w:rPr>
        <w:t>amide</w:t>
      </w:r>
      <w:proofErr w:type="spellEnd"/>
      <w:r w:rsidR="00A80CDA" w:rsidRPr="005E670C">
        <w:t xml:space="preserve"> Q</w:t>
      </w:r>
      <w:r w:rsidR="00A80CDA" w:rsidRPr="005E670C">
        <w:rPr>
          <w:vertAlign w:val="subscript"/>
        </w:rPr>
        <w:t>00</w:t>
      </w:r>
      <w:r w:rsidR="00A80CDA" w:rsidRPr="005E670C">
        <w:t xml:space="preserve"> </w:t>
      </w:r>
      <w:r w:rsidRPr="005E670C">
        <w:t>values (au) v</w:t>
      </w:r>
      <w:r w:rsidR="0046756F">
        <w:t>ersus</w:t>
      </w:r>
      <w:r w:rsidRPr="005E670C">
        <w:t xml:space="preserve"> the </w:t>
      </w:r>
      <w:r w:rsidR="0046756F">
        <w:t xml:space="preserve">corresponding </w:t>
      </w:r>
      <w:r w:rsidR="00A80CDA" w:rsidRPr="005E670C">
        <w:t>O</w:t>
      </w:r>
      <w:r w:rsidR="00A80CDA" w:rsidRPr="005E670C">
        <w:rPr>
          <w:rFonts w:cstheme="minorHAnsi"/>
        </w:rPr>
        <w:t>···</w:t>
      </w:r>
      <w:r w:rsidR="00A80CDA" w:rsidRPr="005E670C">
        <w:t>H hydrogen bond length</w:t>
      </w:r>
      <w:r w:rsidR="0046756F">
        <w:t>s</w:t>
      </w:r>
      <w:r w:rsidRPr="005E670C">
        <w:t>.</w:t>
      </w:r>
      <w:proofErr w:type="gramEnd"/>
      <w:r w:rsidR="00A80CDA" w:rsidRPr="005E670C">
        <w:t xml:space="preserve"> Each of the 4 alanine residues in the Custom </w:t>
      </w:r>
      <w:proofErr w:type="spellStart"/>
      <w:r w:rsidR="00A80CDA" w:rsidRPr="005E670C">
        <w:t>decapeptide</w:t>
      </w:r>
      <w:proofErr w:type="spellEnd"/>
      <w:r w:rsidR="00A80CDA" w:rsidRPr="005E670C">
        <w:t xml:space="preserve"> contributes 100 hydrogen bond examples to the plot</w:t>
      </w:r>
      <w:r w:rsidR="00CF1016" w:rsidRPr="005E670C">
        <w:t xml:space="preserve">. The total set of examples has a line of best fit with an </w:t>
      </w:r>
      <w:r w:rsidR="00612431">
        <w:t>r</w:t>
      </w:r>
      <w:r w:rsidR="00CF1016" w:rsidRPr="005E670C">
        <w:rPr>
          <w:vertAlign w:val="superscript"/>
        </w:rPr>
        <w:t>2</w:t>
      </w:r>
      <w:r w:rsidR="00CF1016" w:rsidRPr="005E670C">
        <w:t xml:space="preserve"> of 0.79.</w:t>
      </w:r>
    </w:p>
    <w:p w14:paraId="15FC904C" w14:textId="77777777" w:rsidR="00DA74E9" w:rsidRPr="005E670C" w:rsidRDefault="00DA74E9" w:rsidP="00317B94">
      <w:pPr>
        <w:spacing w:after="0" w:line="360" w:lineRule="auto"/>
        <w:jc w:val="both"/>
      </w:pPr>
    </w:p>
    <w:p w14:paraId="5304D55A" w14:textId="77777777" w:rsidR="00F80FB0" w:rsidRPr="002E4C91" w:rsidRDefault="00A80CDA" w:rsidP="002E4C91">
      <w:pPr>
        <w:spacing w:after="0" w:line="360" w:lineRule="auto"/>
        <w:ind w:firstLine="720"/>
        <w:jc w:val="both"/>
      </w:pPr>
      <w:r w:rsidRPr="002E4C91">
        <w:t>T</w:t>
      </w:r>
      <w:r w:rsidR="00084177" w:rsidRPr="002E4C91">
        <w:t xml:space="preserve">here is a moderate correlation between the </w:t>
      </w:r>
      <w:r w:rsidR="00317B94">
        <w:t>h</w:t>
      </w:r>
      <w:r w:rsidR="00084177" w:rsidRPr="002E4C91">
        <w:t xml:space="preserve">ydrogen bond length and the </w:t>
      </w:r>
      <w:proofErr w:type="spellStart"/>
      <w:r w:rsidR="00114AF0" w:rsidRPr="002E4C91">
        <w:t>H</w:t>
      </w:r>
      <w:r w:rsidR="00114AF0" w:rsidRPr="002E4C91">
        <w:rPr>
          <w:vertAlign w:val="subscript"/>
        </w:rPr>
        <w:t>amide</w:t>
      </w:r>
      <w:proofErr w:type="spellEnd"/>
      <w:r w:rsidR="00084177" w:rsidRPr="002E4C91">
        <w:t xml:space="preserve"> </w:t>
      </w:r>
      <w:r w:rsidR="00317B94">
        <w:t xml:space="preserve">atomic charge. </w:t>
      </w:r>
      <w:r w:rsidR="00CF1016" w:rsidRPr="002E4C91">
        <w:t xml:space="preserve">It is not expected that the correlation between hydrogen bond length and </w:t>
      </w:r>
      <w:proofErr w:type="spellStart"/>
      <w:r w:rsidR="00CF1016" w:rsidRPr="002E4C91">
        <w:t>H</w:t>
      </w:r>
      <w:r w:rsidR="00CF1016" w:rsidRPr="002E4C91">
        <w:rPr>
          <w:vertAlign w:val="subscript"/>
        </w:rPr>
        <w:t>amide</w:t>
      </w:r>
      <w:proofErr w:type="spellEnd"/>
      <w:r w:rsidR="00CF1016" w:rsidRPr="002E4C91">
        <w:t xml:space="preserve"> Q</w:t>
      </w:r>
      <w:r w:rsidR="00CF1016" w:rsidRPr="002E4C91">
        <w:rPr>
          <w:vertAlign w:val="subscript"/>
        </w:rPr>
        <w:t>00</w:t>
      </w:r>
      <w:r w:rsidR="00CF1016" w:rsidRPr="002E4C91">
        <w:t xml:space="preserve"> </w:t>
      </w:r>
      <w:r w:rsidR="00317B94">
        <w:t>is</w:t>
      </w:r>
      <w:r w:rsidR="00CF1016" w:rsidRPr="002E4C91">
        <w:t xml:space="preserve"> perfect as th</w:t>
      </w:r>
      <w:r w:rsidR="00317B94">
        <w:t>is</w:t>
      </w:r>
      <w:r w:rsidR="00CF1016" w:rsidRPr="002E4C91">
        <w:t xml:space="preserve"> would ignore the significant contributions to the </w:t>
      </w:r>
      <w:proofErr w:type="spellStart"/>
      <w:r w:rsidR="00CF1016" w:rsidRPr="002E4C91">
        <w:t>H</w:t>
      </w:r>
      <w:r w:rsidR="00CF1016" w:rsidRPr="002E4C91">
        <w:rPr>
          <w:vertAlign w:val="subscript"/>
        </w:rPr>
        <w:t>amide</w:t>
      </w:r>
      <w:proofErr w:type="spellEnd"/>
      <w:r w:rsidR="00CF1016" w:rsidRPr="002E4C91">
        <w:t xml:space="preserve"> Q</w:t>
      </w:r>
      <w:r w:rsidR="00CF1016" w:rsidRPr="002E4C91">
        <w:rPr>
          <w:vertAlign w:val="subscript"/>
        </w:rPr>
        <w:t>00</w:t>
      </w:r>
      <w:r w:rsidR="00CF1016" w:rsidRPr="002E4C91">
        <w:t xml:space="preserve"> </w:t>
      </w:r>
      <w:r w:rsidR="0046756F">
        <w:t xml:space="preserve">coming from </w:t>
      </w:r>
      <w:r w:rsidR="00CF1016" w:rsidRPr="002E4C91">
        <w:t>the N-H bond length and</w:t>
      </w:r>
      <w:r w:rsidR="000E4D31">
        <w:t xml:space="preserve"> fluctuation</w:t>
      </w:r>
      <w:r w:rsidR="00317B94">
        <w:t>s</w:t>
      </w:r>
      <w:r w:rsidR="000E4D31">
        <w:t xml:space="preserve"> </w:t>
      </w:r>
      <w:r w:rsidR="00CF1016" w:rsidRPr="002E4C91">
        <w:t>from polarization cause</w:t>
      </w:r>
      <w:r w:rsidR="00317B94">
        <w:t>d</w:t>
      </w:r>
      <w:r w:rsidR="00CF1016" w:rsidRPr="002E4C91">
        <w:t xml:space="preserve"> by all other atoms in the system. </w:t>
      </w:r>
      <w:r w:rsidR="00084177" w:rsidRPr="002E4C91">
        <w:t xml:space="preserve">Since the range of </w:t>
      </w:r>
      <w:proofErr w:type="spellStart"/>
      <w:r w:rsidR="00084177" w:rsidRPr="002E4C91">
        <w:t>H</w:t>
      </w:r>
      <w:r w:rsidR="00084177" w:rsidRPr="002E4C91">
        <w:rPr>
          <w:vertAlign w:val="subscript"/>
        </w:rPr>
        <w:t>amide</w:t>
      </w:r>
      <w:proofErr w:type="spellEnd"/>
      <w:r w:rsidR="00084177" w:rsidRPr="002E4C91">
        <w:t xml:space="preserve"> </w:t>
      </w:r>
      <w:r w:rsidR="00CF1016" w:rsidRPr="002E4C91">
        <w:t>Q</w:t>
      </w:r>
      <w:r w:rsidR="00CF1016" w:rsidRPr="002E4C91">
        <w:rPr>
          <w:vertAlign w:val="subscript"/>
        </w:rPr>
        <w:t>00</w:t>
      </w:r>
      <w:r w:rsidR="00CF1016" w:rsidRPr="002E4C91">
        <w:t xml:space="preserve"> values (~0.07 au)</w:t>
      </w:r>
      <w:r w:rsidR="00084177" w:rsidRPr="002E4C91">
        <w:t xml:space="preserve"> is significantly smaller than th</w:t>
      </w:r>
      <w:r w:rsidR="00317B94">
        <w:t>at</w:t>
      </w:r>
      <w:r w:rsidR="00084177" w:rsidRPr="002E4C91">
        <w:t xml:space="preserve"> </w:t>
      </w:r>
      <w:r w:rsidR="000553F3">
        <w:t xml:space="preserve">of </w:t>
      </w:r>
      <w:r w:rsidR="00084177" w:rsidRPr="002E4C91">
        <w:t>C</w:t>
      </w:r>
      <w:r w:rsidR="00656523" w:rsidRPr="00656523">
        <w:rPr>
          <w:vertAlign w:val="subscript"/>
        </w:rPr>
        <w:t>α</w:t>
      </w:r>
      <w:r w:rsidR="00CF1016" w:rsidRPr="002E4C91">
        <w:t xml:space="preserve"> </w:t>
      </w:r>
      <w:r w:rsidR="00317B94">
        <w:t>charges</w:t>
      </w:r>
      <w:r w:rsidR="00CF1016" w:rsidRPr="002E4C91">
        <w:t xml:space="preserve"> (~0.36 au)</w:t>
      </w:r>
      <w:r w:rsidR="00084177" w:rsidRPr="002E4C91">
        <w:t xml:space="preserve">, we </w:t>
      </w:r>
      <w:r w:rsidR="00CF1016" w:rsidRPr="002E4C91">
        <w:t>contest</w:t>
      </w:r>
      <w:r w:rsidR="00084177" w:rsidRPr="002E4C91">
        <w:t xml:space="preserve"> </w:t>
      </w:r>
      <w:r w:rsidR="000553F3">
        <w:t xml:space="preserve">that </w:t>
      </w:r>
      <w:proofErr w:type="spellStart"/>
      <w:r w:rsidR="00084177" w:rsidRPr="002E4C91">
        <w:t>H</w:t>
      </w:r>
      <w:r w:rsidR="00084177" w:rsidRPr="002E4C91">
        <w:rPr>
          <w:vertAlign w:val="subscript"/>
        </w:rPr>
        <w:t>amide</w:t>
      </w:r>
      <w:proofErr w:type="spellEnd"/>
      <w:r w:rsidR="00084177" w:rsidRPr="002E4C91">
        <w:t xml:space="preserve"> atoms are more similar to one another</w:t>
      </w:r>
      <w:r w:rsidR="002C503F" w:rsidRPr="002E4C91">
        <w:t xml:space="preserve"> tha</w:t>
      </w:r>
      <w:r w:rsidR="000553F3">
        <w:t>n</w:t>
      </w:r>
      <w:r w:rsidR="002C503F" w:rsidRPr="002E4C91">
        <w:t xml:space="preserve"> </w:t>
      </w:r>
      <w:proofErr w:type="spellStart"/>
      <w:r w:rsidR="002C503F" w:rsidRPr="002E4C91">
        <w:t>C</w:t>
      </w:r>
      <w:r w:rsidR="002C503F" w:rsidRPr="002E4C91">
        <w:rPr>
          <w:vertAlign w:val="subscript"/>
        </w:rPr>
        <w:t>alpha</w:t>
      </w:r>
      <w:proofErr w:type="spellEnd"/>
      <w:r w:rsidR="002C503F" w:rsidRPr="002E4C91">
        <w:t xml:space="preserve"> atoms are</w:t>
      </w:r>
      <w:r w:rsidR="00084177" w:rsidRPr="002E4C91">
        <w:t xml:space="preserve">, </w:t>
      </w:r>
      <w:r w:rsidR="002C503F" w:rsidRPr="002E4C91">
        <w:t xml:space="preserve">and can more easily share a </w:t>
      </w:r>
      <w:r w:rsidR="002C503F" w:rsidRPr="002E4C91">
        <w:lastRenderedPageBreak/>
        <w:t>single kriging model</w:t>
      </w:r>
      <w:r w:rsidR="00084177" w:rsidRPr="002E4C91">
        <w:t xml:space="preserve">. Thus, we choose to use a Universal model to describe </w:t>
      </w:r>
      <w:proofErr w:type="spellStart"/>
      <w:r w:rsidR="00084177" w:rsidRPr="002E4C91">
        <w:t>H</w:t>
      </w:r>
      <w:r w:rsidR="00084177" w:rsidRPr="002E4C91">
        <w:rPr>
          <w:vertAlign w:val="subscript"/>
        </w:rPr>
        <w:t>amide</w:t>
      </w:r>
      <w:proofErr w:type="spellEnd"/>
      <w:r w:rsidR="00084177" w:rsidRPr="002E4C91">
        <w:t>, using its hydrogen bond</w:t>
      </w:r>
      <w:r w:rsidR="002C503F" w:rsidRPr="002E4C91">
        <w:t>ed</w:t>
      </w:r>
      <w:r w:rsidR="00084177" w:rsidRPr="002E4C91">
        <w:t xml:space="preserve"> distance as </w:t>
      </w:r>
      <w:r w:rsidR="002C503F" w:rsidRPr="002E4C91">
        <w:t>a feature of the model. T</w:t>
      </w:r>
      <w:r w:rsidR="00084177" w:rsidRPr="002E4C91">
        <w:t xml:space="preserve">he resulting </w:t>
      </w:r>
      <w:r w:rsidR="002C503F" w:rsidRPr="002E4C91">
        <w:t>prediction</w:t>
      </w:r>
      <w:r w:rsidR="00084177" w:rsidRPr="002E4C91">
        <w:t xml:space="preserve"> results are given in Figure </w:t>
      </w:r>
      <w:r w:rsidR="000E761C">
        <w:t>8</w:t>
      </w:r>
      <w:r w:rsidR="00084177" w:rsidRPr="002E4C91">
        <w:t>.</w:t>
      </w:r>
    </w:p>
    <w:p w14:paraId="7B79CA30" w14:textId="77777777" w:rsidR="00F80FB0" w:rsidRPr="002E4C91" w:rsidRDefault="00F80FB0" w:rsidP="002E4C91">
      <w:pPr>
        <w:spacing w:after="0" w:line="360" w:lineRule="auto"/>
        <w:rPr>
          <w:b/>
        </w:rPr>
      </w:pPr>
    </w:p>
    <w:p w14:paraId="0A4E943E" w14:textId="77777777" w:rsidR="00317B94" w:rsidRDefault="000553F3" w:rsidP="002E4C91">
      <w:pPr>
        <w:spacing w:after="0" w:line="360" w:lineRule="auto"/>
        <w:jc w:val="both"/>
        <w:rPr>
          <w:b/>
        </w:rPr>
      </w:pPr>
      <w:r w:rsidRPr="002E4C91">
        <w:rPr>
          <w:b/>
          <w:noProof/>
        </w:rPr>
        <w:drawing>
          <wp:anchor distT="0" distB="0" distL="114300" distR="114300" simplePos="0" relativeHeight="251658240" behindDoc="1" locked="0" layoutInCell="1" allowOverlap="1" wp14:anchorId="7E389C38" wp14:editId="5CCE1BDC">
            <wp:simplePos x="0" y="0"/>
            <wp:positionH relativeFrom="column">
              <wp:posOffset>783590</wp:posOffset>
            </wp:positionH>
            <wp:positionV relativeFrom="paragraph">
              <wp:posOffset>214630</wp:posOffset>
            </wp:positionV>
            <wp:extent cx="3574415" cy="2569210"/>
            <wp:effectExtent l="0" t="0" r="6985" b="2540"/>
            <wp:wrapTight wrapText="bothSides">
              <wp:wrapPolygon edited="0">
                <wp:start x="0" y="0"/>
                <wp:lineTo x="0" y="21461"/>
                <wp:lineTo x="21527" y="21461"/>
                <wp:lineTo x="2152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alHBond.bmp"/>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574415" cy="2569210"/>
                    </a:xfrm>
                    <a:prstGeom prst="rect">
                      <a:avLst/>
                    </a:prstGeom>
                  </pic:spPr>
                </pic:pic>
              </a:graphicData>
            </a:graphic>
          </wp:anchor>
        </w:drawing>
      </w:r>
    </w:p>
    <w:p w14:paraId="0399CB4B" w14:textId="77777777" w:rsidR="00317B94" w:rsidRDefault="00317B94" w:rsidP="002E4C91">
      <w:pPr>
        <w:spacing w:after="0" w:line="360" w:lineRule="auto"/>
        <w:jc w:val="both"/>
        <w:rPr>
          <w:b/>
        </w:rPr>
      </w:pPr>
    </w:p>
    <w:p w14:paraId="3E18BBA3" w14:textId="77777777" w:rsidR="00317B94" w:rsidRDefault="00317B94" w:rsidP="002E4C91">
      <w:pPr>
        <w:spacing w:after="0" w:line="360" w:lineRule="auto"/>
        <w:jc w:val="both"/>
        <w:rPr>
          <w:b/>
        </w:rPr>
      </w:pPr>
    </w:p>
    <w:p w14:paraId="55E32951" w14:textId="77777777" w:rsidR="00317B94" w:rsidRDefault="00317B94" w:rsidP="002E4C91">
      <w:pPr>
        <w:spacing w:after="0" w:line="360" w:lineRule="auto"/>
        <w:jc w:val="both"/>
        <w:rPr>
          <w:b/>
        </w:rPr>
      </w:pPr>
    </w:p>
    <w:p w14:paraId="06B4DEBF" w14:textId="77777777" w:rsidR="00317B94" w:rsidRDefault="00317B94" w:rsidP="002E4C91">
      <w:pPr>
        <w:spacing w:after="0" w:line="360" w:lineRule="auto"/>
        <w:jc w:val="both"/>
        <w:rPr>
          <w:b/>
        </w:rPr>
      </w:pPr>
    </w:p>
    <w:p w14:paraId="63D20274" w14:textId="77777777" w:rsidR="00317B94" w:rsidRDefault="00317B94" w:rsidP="002E4C91">
      <w:pPr>
        <w:spacing w:after="0" w:line="360" w:lineRule="auto"/>
        <w:jc w:val="both"/>
        <w:rPr>
          <w:b/>
        </w:rPr>
      </w:pPr>
    </w:p>
    <w:p w14:paraId="0AB4F768" w14:textId="77777777" w:rsidR="00317B94" w:rsidRDefault="00317B94" w:rsidP="002E4C91">
      <w:pPr>
        <w:spacing w:after="0" w:line="360" w:lineRule="auto"/>
        <w:jc w:val="both"/>
        <w:rPr>
          <w:b/>
        </w:rPr>
      </w:pPr>
    </w:p>
    <w:p w14:paraId="5B840D66" w14:textId="77777777" w:rsidR="00317B94" w:rsidRDefault="00317B94" w:rsidP="002E4C91">
      <w:pPr>
        <w:spacing w:after="0" w:line="360" w:lineRule="auto"/>
        <w:jc w:val="both"/>
        <w:rPr>
          <w:b/>
        </w:rPr>
      </w:pPr>
    </w:p>
    <w:p w14:paraId="7402D9DE" w14:textId="77777777" w:rsidR="00317B94" w:rsidRDefault="00317B94" w:rsidP="002E4C91">
      <w:pPr>
        <w:spacing w:after="0" w:line="360" w:lineRule="auto"/>
        <w:jc w:val="both"/>
        <w:rPr>
          <w:b/>
        </w:rPr>
      </w:pPr>
    </w:p>
    <w:p w14:paraId="2C6D155B" w14:textId="77777777" w:rsidR="005E670C" w:rsidRDefault="005E670C" w:rsidP="002E4C91">
      <w:pPr>
        <w:spacing w:after="0" w:line="360" w:lineRule="auto"/>
        <w:jc w:val="both"/>
        <w:rPr>
          <w:b/>
        </w:rPr>
      </w:pPr>
    </w:p>
    <w:p w14:paraId="6FD919B3" w14:textId="77777777" w:rsidR="005E670C" w:rsidRDefault="005E670C" w:rsidP="002E4C91">
      <w:pPr>
        <w:spacing w:after="0" w:line="360" w:lineRule="auto"/>
        <w:jc w:val="both"/>
        <w:rPr>
          <w:b/>
        </w:rPr>
      </w:pPr>
    </w:p>
    <w:p w14:paraId="76BBD977" w14:textId="77777777" w:rsidR="005E670C" w:rsidRDefault="005E670C" w:rsidP="002E4C91">
      <w:pPr>
        <w:spacing w:after="0" w:line="360" w:lineRule="auto"/>
        <w:jc w:val="both"/>
        <w:rPr>
          <w:b/>
        </w:rPr>
      </w:pPr>
    </w:p>
    <w:p w14:paraId="1F92AABC" w14:textId="77777777" w:rsidR="00503514" w:rsidRDefault="00F80FB0" w:rsidP="002E4C91">
      <w:pPr>
        <w:spacing w:after="0" w:line="360" w:lineRule="auto"/>
        <w:jc w:val="both"/>
      </w:pPr>
      <w:proofErr w:type="gramStart"/>
      <w:r w:rsidRPr="002E4C91">
        <w:rPr>
          <w:b/>
        </w:rPr>
        <w:t xml:space="preserve">Figure </w:t>
      </w:r>
      <w:r w:rsidR="000E761C">
        <w:rPr>
          <w:b/>
        </w:rPr>
        <w:t>8</w:t>
      </w:r>
      <w:r w:rsidR="005E670C">
        <w:rPr>
          <w:b/>
        </w:rPr>
        <w:t>.</w:t>
      </w:r>
      <w:proofErr w:type="gramEnd"/>
      <w:r w:rsidR="00084177" w:rsidRPr="002E4C91">
        <w:rPr>
          <w:b/>
        </w:rPr>
        <w:t xml:space="preserve"> </w:t>
      </w:r>
      <w:proofErr w:type="spellStart"/>
      <w:proofErr w:type="gramStart"/>
      <w:r w:rsidR="00084177" w:rsidRPr="002E4C91">
        <w:t>H</w:t>
      </w:r>
      <w:r w:rsidR="00084177" w:rsidRPr="002E4C91">
        <w:rPr>
          <w:vertAlign w:val="subscript"/>
        </w:rPr>
        <w:t>amide</w:t>
      </w:r>
      <w:proofErr w:type="spellEnd"/>
      <w:r w:rsidR="00084177" w:rsidRPr="002E4C91">
        <w:t xml:space="preserve"> Q</w:t>
      </w:r>
      <w:r w:rsidR="00084177" w:rsidRPr="002E4C91">
        <w:rPr>
          <w:vertAlign w:val="subscript"/>
        </w:rPr>
        <w:t>00</w:t>
      </w:r>
      <w:r w:rsidR="00084177" w:rsidRPr="002E4C91">
        <w:t xml:space="preserve"> prediction error on </w:t>
      </w:r>
      <w:r w:rsidR="002C503F" w:rsidRPr="002E4C91">
        <w:t xml:space="preserve">the </w:t>
      </w:r>
      <w:r w:rsidR="002D30DD">
        <w:t>four</w:t>
      </w:r>
      <w:r w:rsidR="002C503F" w:rsidRPr="002E4C91">
        <w:t xml:space="preserve"> alanine residues </w:t>
      </w:r>
      <w:r w:rsidR="00084177" w:rsidRPr="002E4C91">
        <w:t xml:space="preserve">across </w:t>
      </w:r>
      <w:r w:rsidR="002C503F" w:rsidRPr="002E4C91">
        <w:t xml:space="preserve">the Custom </w:t>
      </w:r>
      <w:proofErr w:type="spellStart"/>
      <w:r w:rsidR="00084177" w:rsidRPr="002E4C91">
        <w:t>decapeptide</w:t>
      </w:r>
      <w:proofErr w:type="spellEnd"/>
      <w:r w:rsidR="00084177" w:rsidRPr="002E4C91">
        <w:t>, shown as a percentile of the range of results</w:t>
      </w:r>
      <w:r w:rsidR="002C503F" w:rsidRPr="002E4C91">
        <w:t>.</w:t>
      </w:r>
      <w:proofErr w:type="gramEnd"/>
    </w:p>
    <w:p w14:paraId="58ACB58D" w14:textId="77777777" w:rsidR="005E670C" w:rsidRPr="002E4C91" w:rsidRDefault="005E670C" w:rsidP="002E4C91">
      <w:pPr>
        <w:spacing w:after="0" w:line="360" w:lineRule="auto"/>
        <w:jc w:val="both"/>
      </w:pPr>
    </w:p>
    <w:p w14:paraId="74BDD875" w14:textId="77777777" w:rsidR="00503514" w:rsidRPr="002E4C91" w:rsidRDefault="00503514" w:rsidP="002E4C91">
      <w:pPr>
        <w:spacing w:after="0" w:line="360" w:lineRule="auto"/>
        <w:rPr>
          <w:b/>
        </w:rPr>
      </w:pPr>
    </w:p>
    <w:p w14:paraId="3225F279" w14:textId="77777777" w:rsidR="00816F16" w:rsidRPr="002E4C91" w:rsidRDefault="005E670C" w:rsidP="002E4C91">
      <w:pPr>
        <w:spacing w:after="0" w:line="360" w:lineRule="auto"/>
        <w:jc w:val="both"/>
      </w:pPr>
      <w:r>
        <w:t xml:space="preserve">                </w:t>
      </w:r>
      <w:r w:rsidR="00F969D0" w:rsidRPr="002E4C91">
        <w:t>As with C</w:t>
      </w:r>
      <w:r w:rsidR="00232AAD">
        <w:rPr>
          <w:vertAlign w:val="subscript"/>
        </w:rPr>
        <w:t>α</w:t>
      </w:r>
      <w:r w:rsidR="00F969D0" w:rsidRPr="002E4C91">
        <w:t xml:space="preserve"> Universal models, the </w:t>
      </w:r>
      <w:proofErr w:type="spellStart"/>
      <w:r w:rsidR="00F969D0" w:rsidRPr="002E4C91">
        <w:t>H</w:t>
      </w:r>
      <w:r w:rsidR="00F969D0" w:rsidRPr="002E4C91">
        <w:rPr>
          <w:vertAlign w:val="subscript"/>
        </w:rPr>
        <w:t>amide</w:t>
      </w:r>
      <w:proofErr w:type="spellEnd"/>
      <w:r w:rsidR="00F969D0" w:rsidRPr="002E4C91">
        <w:t xml:space="preserve"> Universal </w:t>
      </w:r>
      <w:r w:rsidR="002C503F" w:rsidRPr="002E4C91">
        <w:t>data set</w:t>
      </w:r>
      <w:r w:rsidR="00F969D0" w:rsidRPr="002E4C91">
        <w:t xml:space="preserve"> gives prediction errors significantly larger than the corresponding Regular </w:t>
      </w:r>
      <w:r w:rsidR="002C503F" w:rsidRPr="002E4C91">
        <w:t>data set</w:t>
      </w:r>
      <w:r w:rsidR="00F969D0" w:rsidRPr="002E4C91">
        <w:t>.</w:t>
      </w:r>
      <w:r w:rsidR="00647A86" w:rsidRPr="002E4C91">
        <w:t xml:space="preserve"> However, unlike the </w:t>
      </w:r>
      <w:proofErr w:type="spellStart"/>
      <w:r w:rsidR="00647A86" w:rsidRPr="002E4C91">
        <w:t>C</w:t>
      </w:r>
      <w:r w:rsidR="00647A86" w:rsidRPr="002E4C91">
        <w:rPr>
          <w:vertAlign w:val="subscript"/>
        </w:rPr>
        <w:t>alpha</w:t>
      </w:r>
      <w:proofErr w:type="spellEnd"/>
      <w:r w:rsidR="00647A86" w:rsidRPr="002E4C91">
        <w:t xml:space="preserve"> </w:t>
      </w:r>
      <w:r w:rsidR="002C503F" w:rsidRPr="002E4C91">
        <w:t>data sets</w:t>
      </w:r>
      <w:r w:rsidR="00647A86" w:rsidRPr="002E4C91">
        <w:t xml:space="preserve">, the </w:t>
      </w:r>
      <w:proofErr w:type="spellStart"/>
      <w:r w:rsidR="00647A86" w:rsidRPr="002E4C91">
        <w:t>H</w:t>
      </w:r>
      <w:r w:rsidR="00647A86" w:rsidRPr="002E4C91">
        <w:rPr>
          <w:vertAlign w:val="subscript"/>
        </w:rPr>
        <w:t>amide</w:t>
      </w:r>
      <w:proofErr w:type="spellEnd"/>
      <w:r w:rsidR="00647A86" w:rsidRPr="002E4C91">
        <w:t xml:space="preserve"> Universal </w:t>
      </w:r>
      <w:r w:rsidR="002C503F" w:rsidRPr="002E4C91">
        <w:t>data set</w:t>
      </w:r>
      <w:r w:rsidR="00647A86" w:rsidRPr="002E4C91">
        <w:t xml:space="preserve"> still gives usefully</w:t>
      </w:r>
      <w:r w:rsidR="00232AAD">
        <w:t xml:space="preserve"> </w:t>
      </w:r>
      <w:r w:rsidR="00647A86" w:rsidRPr="002E4C91">
        <w:t xml:space="preserve">accurate predictions with a mean error of ~0.004 </w:t>
      </w:r>
      <w:proofErr w:type="spellStart"/>
      <w:r w:rsidR="00647A86" w:rsidRPr="002E4C91">
        <w:t>au</w:t>
      </w:r>
      <w:proofErr w:type="spellEnd"/>
      <w:r w:rsidR="00647A86" w:rsidRPr="002E4C91">
        <w:t xml:space="preserve"> compared to the </w:t>
      </w:r>
      <w:r w:rsidR="00232AAD" w:rsidRPr="002E4C91">
        <w:t xml:space="preserve">~0.002 au error </w:t>
      </w:r>
      <w:r w:rsidR="00232AAD">
        <w:t xml:space="preserve">of the </w:t>
      </w:r>
      <w:proofErr w:type="spellStart"/>
      <w:r w:rsidR="002C503F" w:rsidRPr="002E4C91">
        <w:t>H</w:t>
      </w:r>
      <w:r w:rsidR="002C503F" w:rsidRPr="002E4C91">
        <w:rPr>
          <w:vertAlign w:val="subscript"/>
        </w:rPr>
        <w:t>amide</w:t>
      </w:r>
      <w:proofErr w:type="spellEnd"/>
      <w:r w:rsidR="002C503F" w:rsidRPr="002E4C91">
        <w:t xml:space="preserve"> </w:t>
      </w:r>
      <w:r w:rsidR="00647A86" w:rsidRPr="002E4C91">
        <w:t xml:space="preserve">Regular </w:t>
      </w:r>
      <w:r w:rsidR="002C503F" w:rsidRPr="002E4C91">
        <w:t>data set</w:t>
      </w:r>
      <w:r w:rsidR="00647A86" w:rsidRPr="002E4C91">
        <w:t xml:space="preserve">. </w:t>
      </w:r>
      <w:r w:rsidR="002C503F" w:rsidRPr="002E4C91">
        <w:t>It appears as though</w:t>
      </w:r>
      <w:r w:rsidR="00647A86" w:rsidRPr="002E4C91">
        <w:t xml:space="preserve"> a Universal </w:t>
      </w:r>
      <w:r w:rsidR="002C503F" w:rsidRPr="002E4C91">
        <w:t>data</w:t>
      </w:r>
      <w:r w:rsidR="00232AAD">
        <w:t xml:space="preserve"> set</w:t>
      </w:r>
      <w:r w:rsidR="00647A86" w:rsidRPr="002E4C91">
        <w:t xml:space="preserve"> for </w:t>
      </w:r>
      <w:proofErr w:type="spellStart"/>
      <w:r w:rsidR="00647A86" w:rsidRPr="002E4C91">
        <w:t>H</w:t>
      </w:r>
      <w:r w:rsidR="00647A86" w:rsidRPr="002E4C91">
        <w:rPr>
          <w:vertAlign w:val="subscript"/>
        </w:rPr>
        <w:t>amide</w:t>
      </w:r>
      <w:proofErr w:type="spellEnd"/>
      <w:r w:rsidR="00647A86" w:rsidRPr="002E4C91">
        <w:t xml:space="preserve"> is more akin to a C</w:t>
      </w:r>
      <w:r w:rsidR="00232AAD">
        <w:rPr>
          <w:vertAlign w:val="subscript"/>
        </w:rPr>
        <w:t>α</w:t>
      </w:r>
      <w:r w:rsidR="002C503F" w:rsidRPr="002E4C91">
        <w:t xml:space="preserve">’s Shared data set than </w:t>
      </w:r>
      <w:r w:rsidR="00232AAD" w:rsidRPr="002E4C91">
        <w:t>C</w:t>
      </w:r>
      <w:r w:rsidR="00232AAD">
        <w:rPr>
          <w:vertAlign w:val="subscript"/>
        </w:rPr>
        <w:t>α</w:t>
      </w:r>
      <w:r w:rsidR="00232AAD" w:rsidRPr="002E4C91">
        <w:t xml:space="preserve">’s </w:t>
      </w:r>
      <w:r w:rsidR="002C503F" w:rsidRPr="002E4C91">
        <w:t>Universal Data set</w:t>
      </w:r>
      <w:r w:rsidR="000E4D31">
        <w:t>. I</w:t>
      </w:r>
      <w:r w:rsidR="00647A86" w:rsidRPr="002E4C91">
        <w:t xml:space="preserve">n other words, regardless of the neighbouring residue, all alanine </w:t>
      </w:r>
      <w:proofErr w:type="spellStart"/>
      <w:r w:rsidR="00647A86" w:rsidRPr="002E4C91">
        <w:t>H</w:t>
      </w:r>
      <w:r w:rsidR="00114AF0" w:rsidRPr="002E4C91">
        <w:rPr>
          <w:vertAlign w:val="subscript"/>
        </w:rPr>
        <w:t>amide</w:t>
      </w:r>
      <w:proofErr w:type="spellEnd"/>
      <w:r w:rsidR="00114AF0" w:rsidRPr="002E4C91">
        <w:rPr>
          <w:vertAlign w:val="subscript"/>
        </w:rPr>
        <w:t xml:space="preserve"> </w:t>
      </w:r>
      <w:r w:rsidR="00114AF0" w:rsidRPr="002E4C91">
        <w:t>atoms</w:t>
      </w:r>
      <w:r w:rsidR="00647A86" w:rsidRPr="002E4C91">
        <w:t xml:space="preserve"> appear to be of </w:t>
      </w:r>
      <w:r w:rsidR="002C503F" w:rsidRPr="002E4C91">
        <w:t>a similar</w:t>
      </w:r>
      <w:r w:rsidR="00647A86" w:rsidRPr="002E4C91">
        <w:t xml:space="preserve"> ‘group’</w:t>
      </w:r>
      <w:r w:rsidR="002C503F" w:rsidRPr="002E4C91">
        <w:t xml:space="preserve">, sharing similar atomic </w:t>
      </w:r>
      <w:r w:rsidR="00232AAD">
        <w:t>charges</w:t>
      </w:r>
      <w:r w:rsidR="00647A86" w:rsidRPr="002E4C91">
        <w:t xml:space="preserve">. </w:t>
      </w:r>
    </w:p>
    <w:p w14:paraId="74D3CA12" w14:textId="77777777" w:rsidR="00306C62" w:rsidRDefault="00306C62" w:rsidP="002E4C91">
      <w:pPr>
        <w:spacing w:after="0" w:line="360" w:lineRule="auto"/>
        <w:jc w:val="both"/>
      </w:pPr>
    </w:p>
    <w:p w14:paraId="7BFC04A1" w14:textId="77777777" w:rsidR="00C6425F" w:rsidRPr="002E4C91" w:rsidRDefault="00C6425F" w:rsidP="002E4C91">
      <w:pPr>
        <w:spacing w:after="0" w:line="360" w:lineRule="auto"/>
        <w:jc w:val="both"/>
      </w:pPr>
    </w:p>
    <w:p w14:paraId="0E4A8A81" w14:textId="4388B324" w:rsidR="000F5F4D" w:rsidRPr="000E4D31" w:rsidRDefault="000F5F4D" w:rsidP="000E4D31">
      <w:pPr>
        <w:pStyle w:val="ListParagraph"/>
        <w:numPr>
          <w:ilvl w:val="0"/>
          <w:numId w:val="6"/>
        </w:numPr>
        <w:spacing w:after="0" w:line="360" w:lineRule="auto"/>
        <w:rPr>
          <w:b/>
        </w:rPr>
      </w:pPr>
      <w:r w:rsidRPr="000E4D31">
        <w:rPr>
          <w:b/>
        </w:rPr>
        <w:t>Conclusion</w:t>
      </w:r>
    </w:p>
    <w:p w14:paraId="5CB02DA2" w14:textId="0DE7495F" w:rsidR="000F5F4D" w:rsidRPr="002E4C91" w:rsidRDefault="002A4D37" w:rsidP="002E4C91">
      <w:pPr>
        <w:spacing w:after="0" w:line="360" w:lineRule="auto"/>
        <w:jc w:val="both"/>
      </w:pPr>
      <w:r>
        <w:t xml:space="preserve">        </w:t>
      </w:r>
      <w:r w:rsidR="007077C1" w:rsidRPr="002E4C91">
        <w:t xml:space="preserve">We </w:t>
      </w:r>
      <w:r w:rsidR="005E68B1">
        <w:t>present</w:t>
      </w:r>
      <w:r w:rsidR="007077C1" w:rsidRPr="002E4C91">
        <w:t xml:space="preserve"> a proof-of-concept for the transferability of kriging models and their application to arbitrary peptide chains. In this </w:t>
      </w:r>
      <w:r w:rsidR="00114AF0" w:rsidRPr="002E4C91">
        <w:t>work,</w:t>
      </w:r>
      <w:r w:rsidR="007077C1" w:rsidRPr="002E4C91">
        <w:t xml:space="preserve"> we have investigated C</w:t>
      </w:r>
      <w:r>
        <w:rPr>
          <w:vertAlign w:val="subscript"/>
        </w:rPr>
        <w:t>α</w:t>
      </w:r>
      <w:r w:rsidR="007077C1" w:rsidRPr="002E4C91">
        <w:t xml:space="preserve"> and </w:t>
      </w:r>
      <w:proofErr w:type="spellStart"/>
      <w:r w:rsidR="007077C1" w:rsidRPr="002E4C91">
        <w:t>H</w:t>
      </w:r>
      <w:r w:rsidR="007077C1" w:rsidRPr="002E4C91">
        <w:rPr>
          <w:vertAlign w:val="subscript"/>
        </w:rPr>
        <w:t>amide</w:t>
      </w:r>
      <w:proofErr w:type="spellEnd"/>
      <w:r w:rsidR="007077C1" w:rsidRPr="002E4C91">
        <w:t xml:space="preserve"> in </w:t>
      </w:r>
      <w:proofErr w:type="spellStart"/>
      <w:r w:rsidR="007077C1" w:rsidRPr="002E4C91">
        <w:t>decapeptides</w:t>
      </w:r>
      <w:proofErr w:type="spellEnd"/>
      <w:r w:rsidR="007077C1" w:rsidRPr="002E4C91">
        <w:t xml:space="preserve"> and shown how </w:t>
      </w:r>
      <w:r w:rsidR="00A4303D">
        <w:t xml:space="preserve">the force field </w:t>
      </w:r>
      <w:r w:rsidR="007077C1" w:rsidRPr="002E4C91">
        <w:t>FFLUX can provide a solution to modelling their atomic charges.</w:t>
      </w:r>
    </w:p>
    <w:p w14:paraId="6DD39796" w14:textId="77777777" w:rsidR="007077C1" w:rsidRPr="002E4C91" w:rsidRDefault="002A4D37" w:rsidP="002A4D37">
      <w:pPr>
        <w:spacing w:after="0" w:line="360" w:lineRule="auto"/>
        <w:jc w:val="both"/>
      </w:pPr>
      <w:r>
        <w:t xml:space="preserve">         </w:t>
      </w:r>
      <w:r w:rsidR="00EE6697">
        <w:t>Amino acids</w:t>
      </w:r>
      <w:r w:rsidR="007077C1" w:rsidRPr="002E4C91">
        <w:t xml:space="preserve"> </w:t>
      </w:r>
      <w:r w:rsidR="00EE6697">
        <w:t xml:space="preserve">can be sorted </w:t>
      </w:r>
      <w:r w:rsidR="007077C1" w:rsidRPr="002E4C91">
        <w:t>into ‘groups’ according to their influence on a neighbouring alanine residue,</w:t>
      </w:r>
      <w:r w:rsidR="00EE6697">
        <w:t xml:space="preserve"> leading to</w:t>
      </w:r>
      <w:r>
        <w:t xml:space="preserve"> </w:t>
      </w:r>
      <w:r w:rsidR="007077C1" w:rsidRPr="002E4C91">
        <w:t>kriging model</w:t>
      </w:r>
      <w:r w:rsidR="00EE6697">
        <w:t>s</w:t>
      </w:r>
      <w:r w:rsidR="007077C1" w:rsidRPr="002E4C91">
        <w:t xml:space="preserve"> </w:t>
      </w:r>
      <w:r w:rsidR="00EE6697">
        <w:t xml:space="preserve">that can predict </w:t>
      </w:r>
      <w:r w:rsidR="007077C1" w:rsidRPr="002E4C91">
        <w:t xml:space="preserve">for an entire group. The result is a small set of </w:t>
      </w:r>
      <w:r w:rsidR="007077C1" w:rsidRPr="002E4C91">
        <w:lastRenderedPageBreak/>
        <w:t>accurate kriging models that use the alanine C</w:t>
      </w:r>
      <w:r>
        <w:rPr>
          <w:vertAlign w:val="subscript"/>
        </w:rPr>
        <w:t>α</w:t>
      </w:r>
      <w:r w:rsidR="007077C1" w:rsidRPr="002E4C91">
        <w:t>’s local environment to model its charge but also take into account more distant factors such as a neighbouring residue.</w:t>
      </w:r>
      <w:r w:rsidR="006459A4" w:rsidRPr="002E4C91">
        <w:t xml:space="preserve"> When tested on an arbitrary </w:t>
      </w:r>
      <w:proofErr w:type="spellStart"/>
      <w:r w:rsidR="006459A4" w:rsidRPr="002E4C91">
        <w:t>decapeptide</w:t>
      </w:r>
      <w:proofErr w:type="spellEnd"/>
      <w:r w:rsidR="006459A4" w:rsidRPr="002E4C91">
        <w:t xml:space="preserve">, </w:t>
      </w:r>
      <w:proofErr w:type="gramStart"/>
      <w:r w:rsidR="006459A4" w:rsidRPr="002E4C91">
        <w:t>Transferable</w:t>
      </w:r>
      <w:proofErr w:type="gramEnd"/>
      <w:r w:rsidR="006459A4" w:rsidRPr="002E4C91">
        <w:t xml:space="preserve"> models</w:t>
      </w:r>
      <w:r w:rsidR="00133829">
        <w:t xml:space="preserve"> (~0.025 au)</w:t>
      </w:r>
      <w:r w:rsidR="006459A4" w:rsidRPr="002E4C91">
        <w:t xml:space="preserve"> </w:t>
      </w:r>
      <w:r>
        <w:t xml:space="preserve">give </w:t>
      </w:r>
      <w:r w:rsidR="006459A4" w:rsidRPr="002E4C91">
        <w:t xml:space="preserve">approximately </w:t>
      </w:r>
      <w:r>
        <w:t>4 times</w:t>
      </w:r>
      <w:r w:rsidR="006459A4" w:rsidRPr="002E4C91">
        <w:t xml:space="preserve"> the error of </w:t>
      </w:r>
      <w:r w:rsidR="000E387A">
        <w:t xml:space="preserve">Regular </w:t>
      </w:r>
      <w:r w:rsidR="006459A4" w:rsidRPr="002E4C91">
        <w:t>kriging model</w:t>
      </w:r>
      <w:r w:rsidR="00282096" w:rsidRPr="002E4C91">
        <w:t>s</w:t>
      </w:r>
      <w:r w:rsidR="006459A4" w:rsidRPr="002E4C91">
        <w:t xml:space="preserve"> trained specifically for the same system</w:t>
      </w:r>
      <w:r w:rsidR="00133829">
        <w:t xml:space="preserve"> (0.006)</w:t>
      </w:r>
      <w:r>
        <w:t xml:space="preserve">. However, the benefit of a Transferrable model is that it can be used for </w:t>
      </w:r>
      <w:r w:rsidR="006459A4" w:rsidRPr="002E4C91">
        <w:t>potentially any possible peptide chain.</w:t>
      </w:r>
      <w:r w:rsidR="00DE0945">
        <w:t xml:space="preserve"> If we consider the mean error against the range of charges the alanine C</w:t>
      </w:r>
      <w:r w:rsidR="00DE0945" w:rsidRPr="00293737">
        <w:rPr>
          <w:rFonts w:cstheme="minorHAnsi"/>
          <w:vertAlign w:val="subscript"/>
        </w:rPr>
        <w:t>α</w:t>
      </w:r>
      <w:r w:rsidR="00DE0945">
        <w:t xml:space="preserve"> atoms in our custom </w:t>
      </w:r>
      <w:proofErr w:type="spellStart"/>
      <w:r w:rsidR="00DE0945">
        <w:t>decapeptide</w:t>
      </w:r>
      <w:proofErr w:type="spellEnd"/>
      <w:r w:rsidR="00DE0945">
        <w:t xml:space="preserve"> geometries span (~0.6 au), </w:t>
      </w:r>
      <w:r w:rsidR="00C6425F">
        <w:t xml:space="preserve">then </w:t>
      </w:r>
      <w:r w:rsidR="00DE0945">
        <w:t xml:space="preserve">the </w:t>
      </w:r>
      <w:proofErr w:type="gramStart"/>
      <w:r w:rsidR="00DE0945">
        <w:t>Transferable</w:t>
      </w:r>
      <w:proofErr w:type="gramEnd"/>
      <w:r w:rsidR="00DE0945">
        <w:t xml:space="preserve"> models predict those charges with about 96% mean accuracy.</w:t>
      </w:r>
    </w:p>
    <w:p w14:paraId="696B395F" w14:textId="77777777" w:rsidR="006459A4" w:rsidRPr="002E4C91" w:rsidRDefault="003B5136" w:rsidP="003B5136">
      <w:pPr>
        <w:spacing w:after="0" w:line="360" w:lineRule="auto"/>
        <w:jc w:val="both"/>
      </w:pPr>
      <w:r>
        <w:t xml:space="preserve">          </w:t>
      </w:r>
      <w:r w:rsidR="00EE6697">
        <w:t xml:space="preserve">It was found that for </w:t>
      </w:r>
      <w:proofErr w:type="spellStart"/>
      <w:r w:rsidR="006459A4" w:rsidRPr="002E4C91">
        <w:t>H</w:t>
      </w:r>
      <w:r w:rsidR="006459A4" w:rsidRPr="002E4C91">
        <w:rPr>
          <w:vertAlign w:val="subscript"/>
        </w:rPr>
        <w:t>amide</w:t>
      </w:r>
      <w:proofErr w:type="spellEnd"/>
      <w:r w:rsidR="006459A4" w:rsidRPr="002E4C91">
        <w:t xml:space="preserve"> atoms, the range of charges is significantly smaller than those found in </w:t>
      </w:r>
      <w:proofErr w:type="spellStart"/>
      <w:r w:rsidR="006459A4" w:rsidRPr="002E4C91">
        <w:t>C</w:t>
      </w:r>
      <w:r w:rsidR="006459A4" w:rsidRPr="002E4C91">
        <w:rPr>
          <w:vertAlign w:val="subscript"/>
        </w:rPr>
        <w:t>alpha</w:t>
      </w:r>
      <w:proofErr w:type="spellEnd"/>
      <w:r w:rsidR="006459A4" w:rsidRPr="002E4C91">
        <w:t xml:space="preserve"> atoms</w:t>
      </w:r>
      <w:r w:rsidR="00133829">
        <w:t xml:space="preserve"> (~0.</w:t>
      </w:r>
      <w:r w:rsidR="00DE0945">
        <w:t>0</w:t>
      </w:r>
      <w:r w:rsidR="00133829">
        <w:t>8 and ~0.6 au, respectively)</w:t>
      </w:r>
      <w:r w:rsidR="006459A4" w:rsidRPr="002E4C91">
        <w:t xml:space="preserve">. Since </w:t>
      </w:r>
      <w:proofErr w:type="spellStart"/>
      <w:r w:rsidR="006459A4" w:rsidRPr="002E4C91">
        <w:t>H</w:t>
      </w:r>
      <w:r w:rsidR="006459A4" w:rsidRPr="002E4C91">
        <w:rPr>
          <w:vertAlign w:val="subscript"/>
        </w:rPr>
        <w:t>amide</w:t>
      </w:r>
      <w:proofErr w:type="spellEnd"/>
      <w:r w:rsidR="006459A4" w:rsidRPr="002E4C91">
        <w:t xml:space="preserve"> atoms tend to be relatively similar to one another</w:t>
      </w:r>
      <w:r w:rsidR="00EE6697">
        <w:t xml:space="preserve">, </w:t>
      </w:r>
      <w:r w:rsidR="006459A4" w:rsidRPr="002E4C91">
        <w:t>they are excellent candidates for a ‘Universal’ kriging model</w:t>
      </w:r>
      <w:r w:rsidR="00282096" w:rsidRPr="002E4C91">
        <w:t xml:space="preserve"> that can be used on any </w:t>
      </w:r>
      <w:proofErr w:type="spellStart"/>
      <w:r w:rsidR="00282096" w:rsidRPr="002E4C91">
        <w:t>H</w:t>
      </w:r>
      <w:r w:rsidR="00282096" w:rsidRPr="002E4C91">
        <w:rPr>
          <w:vertAlign w:val="subscript"/>
        </w:rPr>
        <w:t>amide</w:t>
      </w:r>
      <w:proofErr w:type="spellEnd"/>
      <w:r w:rsidR="00282096" w:rsidRPr="002E4C91">
        <w:rPr>
          <w:vertAlign w:val="subscript"/>
        </w:rPr>
        <w:t xml:space="preserve"> </w:t>
      </w:r>
      <w:r w:rsidR="00282096" w:rsidRPr="002E4C91">
        <w:t>atom in a peptide</w:t>
      </w:r>
      <w:r w:rsidR="00EE6697">
        <w:t xml:space="preserve"> </w:t>
      </w:r>
      <w:r w:rsidR="00EE6697" w:rsidRPr="002E4C91">
        <w:t xml:space="preserve">regardless of </w:t>
      </w:r>
      <w:r w:rsidR="00EE6697">
        <w:t>differing neighbouring residues</w:t>
      </w:r>
      <w:r w:rsidR="006459A4" w:rsidRPr="002E4C91">
        <w:t xml:space="preserve">. </w:t>
      </w:r>
      <w:r w:rsidR="00EE6697">
        <w:t xml:space="preserve">Adding </w:t>
      </w:r>
      <w:r w:rsidR="00282096" w:rsidRPr="002E4C91">
        <w:t xml:space="preserve">hydrogen bond lengths as an additional descriptor for these </w:t>
      </w:r>
      <w:proofErr w:type="spellStart"/>
      <w:r w:rsidR="00282096" w:rsidRPr="002E4C91">
        <w:t>H</w:t>
      </w:r>
      <w:r w:rsidR="00282096" w:rsidRPr="002E4C91">
        <w:rPr>
          <w:vertAlign w:val="subscript"/>
        </w:rPr>
        <w:t>amide</w:t>
      </w:r>
      <w:proofErr w:type="spellEnd"/>
      <w:r w:rsidR="00282096" w:rsidRPr="002E4C91">
        <w:t xml:space="preserve"> atoms, a</w:t>
      </w:r>
      <w:r w:rsidR="006459A4" w:rsidRPr="002E4C91">
        <w:t xml:space="preserve"> Universal </w:t>
      </w:r>
      <w:r w:rsidR="00282096" w:rsidRPr="002E4C91">
        <w:t xml:space="preserve">kriging model’s </w:t>
      </w:r>
      <w:r w:rsidR="006459A4" w:rsidRPr="002E4C91">
        <w:t>prediction errors</w:t>
      </w:r>
      <w:r w:rsidR="006C753A">
        <w:t xml:space="preserve"> (~0.004 au)</w:t>
      </w:r>
      <w:r w:rsidR="006459A4" w:rsidRPr="002E4C91">
        <w:t xml:space="preserve"> are only </w:t>
      </w:r>
      <w:r w:rsidR="002A4D37">
        <w:t>two times</w:t>
      </w:r>
      <w:r w:rsidR="00282096" w:rsidRPr="002E4C91">
        <w:t xml:space="preserve"> larger than those of kriging models trained specifically for the same system</w:t>
      </w:r>
      <w:r w:rsidR="006C753A">
        <w:t xml:space="preserve"> (~0.002 au)</w:t>
      </w:r>
      <w:r w:rsidR="00282096" w:rsidRPr="002E4C91">
        <w:t xml:space="preserve">. </w:t>
      </w:r>
      <w:r w:rsidR="003D7CE3">
        <w:t xml:space="preserve">Considering the mean error against the range of </w:t>
      </w:r>
      <w:proofErr w:type="spellStart"/>
      <w:r w:rsidR="003D7CE3">
        <w:t>H</w:t>
      </w:r>
      <w:r w:rsidR="00956DB4" w:rsidRPr="00956DB4">
        <w:rPr>
          <w:vertAlign w:val="subscript"/>
        </w:rPr>
        <w:t>amide</w:t>
      </w:r>
      <w:proofErr w:type="spellEnd"/>
      <w:r w:rsidR="003D7CE3">
        <w:t xml:space="preserve"> charges, Universal models for </w:t>
      </w:r>
      <w:proofErr w:type="spellStart"/>
      <w:r w:rsidR="003D7CE3">
        <w:t>H</w:t>
      </w:r>
      <w:r w:rsidR="00956DB4" w:rsidRPr="00956DB4">
        <w:rPr>
          <w:vertAlign w:val="subscript"/>
        </w:rPr>
        <w:t>amide</w:t>
      </w:r>
      <w:proofErr w:type="spellEnd"/>
      <w:r w:rsidR="003D7CE3">
        <w:t xml:space="preserve"> atoms predict with about 95% mean accuracy.</w:t>
      </w:r>
    </w:p>
    <w:p w14:paraId="5184D04C" w14:textId="77777777" w:rsidR="009E285E" w:rsidRDefault="003B5136" w:rsidP="003B5136">
      <w:pPr>
        <w:spacing w:after="0" w:line="360" w:lineRule="auto"/>
        <w:jc w:val="both"/>
      </w:pPr>
      <w:r>
        <w:t xml:space="preserve">          </w:t>
      </w:r>
      <w:r w:rsidR="00FB06E6" w:rsidRPr="002E4C91">
        <w:t xml:space="preserve">We conclude that kriging machine learning can provide transferable models that are usefully accurate </w:t>
      </w:r>
      <w:r w:rsidR="00114AF0" w:rsidRPr="002E4C91">
        <w:t>in arbitrary peptide systems</w:t>
      </w:r>
      <w:r>
        <w:t>.</w:t>
      </w:r>
    </w:p>
    <w:p w14:paraId="6F37C4D4" w14:textId="77777777" w:rsidR="002A4D37" w:rsidRPr="002E4C91" w:rsidRDefault="002A4D37" w:rsidP="002E4C91">
      <w:pPr>
        <w:spacing w:after="0" w:line="360" w:lineRule="auto"/>
        <w:ind w:firstLine="720"/>
        <w:jc w:val="both"/>
      </w:pPr>
    </w:p>
    <w:p w14:paraId="4986F552" w14:textId="77777777" w:rsidR="000F5F4D" w:rsidRPr="004F68B3" w:rsidRDefault="000E4D31" w:rsidP="004F68B3">
      <w:pPr>
        <w:spacing w:after="0" w:line="360" w:lineRule="auto"/>
        <w:rPr>
          <w:b/>
        </w:rPr>
      </w:pPr>
      <w:r w:rsidRPr="004F68B3">
        <w:rPr>
          <w:b/>
        </w:rPr>
        <w:t xml:space="preserve">Acknowledgements </w:t>
      </w:r>
    </w:p>
    <w:p w14:paraId="597E31D0" w14:textId="77777777" w:rsidR="00313343" w:rsidRPr="004F68B3" w:rsidRDefault="00313343" w:rsidP="004F68B3">
      <w:pPr>
        <w:spacing w:after="0" w:line="360" w:lineRule="auto"/>
        <w:jc w:val="both"/>
        <w:rPr>
          <w:rFonts w:cs="Times New Roman"/>
        </w:rPr>
      </w:pPr>
      <w:r w:rsidRPr="004F68B3">
        <w:rPr>
          <w:rFonts w:cs="Times New Roman"/>
        </w:rPr>
        <w:t>P.L.A.P. acknowledges the EPSRC for funding through the award of an Established Career Fellowship (grant EP/K005472), which funds both authors.</w:t>
      </w:r>
    </w:p>
    <w:p w14:paraId="77418630" w14:textId="77777777" w:rsidR="004F68B3" w:rsidRPr="004F68B3" w:rsidRDefault="004F68B3" w:rsidP="004F68B3">
      <w:pPr>
        <w:spacing w:after="0" w:line="360" w:lineRule="auto"/>
        <w:jc w:val="both"/>
        <w:rPr>
          <w:rFonts w:cs="Times New Roman"/>
        </w:rPr>
      </w:pPr>
    </w:p>
    <w:p w14:paraId="5949EF66" w14:textId="2A989966" w:rsidR="00313343" w:rsidRPr="004F68B3" w:rsidRDefault="004F68B3" w:rsidP="004F68B3">
      <w:pPr>
        <w:spacing w:after="0" w:line="360" w:lineRule="auto"/>
        <w:rPr>
          <w:b/>
        </w:rPr>
      </w:pPr>
      <w:r w:rsidRPr="004F68B3">
        <w:rPr>
          <w:b/>
        </w:rPr>
        <w:t>Supporting Information</w:t>
      </w:r>
    </w:p>
    <w:p w14:paraId="29C1D795" w14:textId="71B91D85" w:rsidR="004F68B3" w:rsidRPr="004F68B3" w:rsidRDefault="004F68B3" w:rsidP="004F68B3">
      <w:pPr>
        <w:autoSpaceDE w:val="0"/>
        <w:autoSpaceDN w:val="0"/>
        <w:adjustRightInd w:val="0"/>
        <w:spacing w:after="0" w:line="360" w:lineRule="auto"/>
        <w:jc w:val="both"/>
      </w:pPr>
      <w:r w:rsidRPr="00A4303D">
        <w:rPr>
          <w:b/>
        </w:rPr>
        <w:t>Figure S1:</w:t>
      </w:r>
      <w:r w:rsidRPr="004F68B3">
        <w:t xml:space="preserve">  S-Curves for the C</w:t>
      </w:r>
      <w:r w:rsidRPr="004F68B3">
        <w:rPr>
          <w:vertAlign w:val="subscript"/>
        </w:rPr>
        <w:t>α</w:t>
      </w:r>
      <w:r w:rsidRPr="004F68B3">
        <w:t xml:space="preserve"> Q</w:t>
      </w:r>
      <w:r w:rsidRPr="004F68B3">
        <w:rPr>
          <w:vertAlign w:val="subscript"/>
        </w:rPr>
        <w:t>00</w:t>
      </w:r>
      <w:r w:rsidRPr="004F68B3">
        <w:t xml:space="preserve"> prediction errors of the four alanine residues (Ala1, Ala2, Ala3, </w:t>
      </w:r>
      <w:proofErr w:type="gramStart"/>
      <w:r w:rsidRPr="004F68B3">
        <w:t>Ala4</w:t>
      </w:r>
      <w:proofErr w:type="gramEnd"/>
      <w:r w:rsidRPr="004F68B3">
        <w:t xml:space="preserve"> as counted from the C-Terminus) in the Custom </w:t>
      </w:r>
      <w:proofErr w:type="spellStart"/>
      <w:r w:rsidRPr="004F68B3">
        <w:t>decapeptide</w:t>
      </w:r>
      <w:proofErr w:type="spellEnd"/>
      <w:r w:rsidRPr="004F68B3">
        <w:t xml:space="preserve"> (VAL-ALA-GLY-ALA-THR-ALA-CYS-ALA-ASN-ALA).</w:t>
      </w:r>
    </w:p>
    <w:p w14:paraId="7A7259FA" w14:textId="77777777" w:rsidR="004F68B3" w:rsidRPr="003B5136" w:rsidRDefault="004F68B3" w:rsidP="004F68B3">
      <w:pPr>
        <w:autoSpaceDE w:val="0"/>
        <w:autoSpaceDN w:val="0"/>
        <w:adjustRightInd w:val="0"/>
        <w:spacing w:after="0" w:line="240" w:lineRule="auto"/>
        <w:rPr>
          <w:b/>
        </w:rPr>
      </w:pPr>
    </w:p>
    <w:p w14:paraId="0471F90B" w14:textId="77777777" w:rsidR="007C6371" w:rsidRPr="003B5136" w:rsidRDefault="000F5F4D" w:rsidP="0080232C">
      <w:pPr>
        <w:spacing w:after="0" w:line="360" w:lineRule="auto"/>
        <w:rPr>
          <w:b/>
        </w:rPr>
      </w:pPr>
      <w:r w:rsidRPr="003B5136">
        <w:rPr>
          <w:b/>
        </w:rPr>
        <w:t>References</w:t>
      </w:r>
    </w:p>
    <w:p w14:paraId="62C9006F" w14:textId="77777777" w:rsidR="00D12C1D" w:rsidRPr="00D12C1D" w:rsidRDefault="004D4B19" w:rsidP="0080232C">
      <w:pPr>
        <w:pStyle w:val="EndNoteBibliography"/>
        <w:spacing w:after="0" w:line="360" w:lineRule="auto"/>
        <w:ind w:left="720" w:hanging="720"/>
      </w:pPr>
      <w:r>
        <w:rPr>
          <w:b/>
          <w:sz w:val="24"/>
        </w:rPr>
        <w:fldChar w:fldCharType="begin"/>
      </w:r>
      <w:r>
        <w:rPr>
          <w:b/>
          <w:sz w:val="24"/>
        </w:rPr>
        <w:instrText xml:space="preserve"> ADDIN EN.REFLIST </w:instrText>
      </w:r>
      <w:r>
        <w:rPr>
          <w:b/>
          <w:sz w:val="24"/>
        </w:rPr>
        <w:fldChar w:fldCharType="separate"/>
      </w:r>
      <w:r w:rsidR="00D12C1D" w:rsidRPr="00D12C1D">
        <w:t xml:space="preserve">[1] S. Rauscher, V. Gapsys, M. J. Gajda, M. Zweckstetter, B. L. de Groot and H. Grubmüller, </w:t>
      </w:r>
      <w:r w:rsidR="00D12C1D" w:rsidRPr="00D12C1D">
        <w:rPr>
          <w:i/>
        </w:rPr>
        <w:t>J.Chem.Theor.Comput.</w:t>
      </w:r>
      <w:r w:rsidR="00D12C1D" w:rsidRPr="00D12C1D">
        <w:t xml:space="preserve"> </w:t>
      </w:r>
      <w:r w:rsidR="00D12C1D" w:rsidRPr="00D12C1D">
        <w:rPr>
          <w:b/>
        </w:rPr>
        <w:t>2015</w:t>
      </w:r>
      <w:r w:rsidR="00D12C1D" w:rsidRPr="00D12C1D">
        <w:t xml:space="preserve">, </w:t>
      </w:r>
      <w:r w:rsidR="00D12C1D" w:rsidRPr="00D12C1D">
        <w:rPr>
          <w:i/>
        </w:rPr>
        <w:t>11</w:t>
      </w:r>
      <w:r w:rsidR="00D12C1D" w:rsidRPr="00D12C1D">
        <w:t>, 5513.</w:t>
      </w:r>
    </w:p>
    <w:p w14:paraId="4E29B914" w14:textId="77777777" w:rsidR="00D12C1D" w:rsidRPr="00D12C1D" w:rsidRDefault="00D12C1D" w:rsidP="0080232C">
      <w:pPr>
        <w:pStyle w:val="EndNoteBibliography"/>
        <w:spacing w:after="0" w:line="360" w:lineRule="auto"/>
        <w:ind w:left="720" w:hanging="720"/>
      </w:pPr>
      <w:r w:rsidRPr="00D12C1D">
        <w:t xml:space="preserve">[2] Y. Mu, D. S. Kosov and G. Stock, </w:t>
      </w:r>
      <w:r w:rsidRPr="00D12C1D">
        <w:rPr>
          <w:i/>
        </w:rPr>
        <w:t>J.Phys.Chem.B</w:t>
      </w:r>
      <w:r w:rsidRPr="00D12C1D">
        <w:t xml:space="preserve"> </w:t>
      </w:r>
      <w:r w:rsidRPr="00D12C1D">
        <w:rPr>
          <w:b/>
        </w:rPr>
        <w:t>2003</w:t>
      </w:r>
      <w:r w:rsidRPr="00D12C1D">
        <w:t xml:space="preserve">, </w:t>
      </w:r>
      <w:r w:rsidRPr="00D12C1D">
        <w:rPr>
          <w:i/>
        </w:rPr>
        <w:t>107</w:t>
      </w:r>
      <w:r w:rsidRPr="00D12C1D">
        <w:t>, 5064.</w:t>
      </w:r>
    </w:p>
    <w:p w14:paraId="7EC46371" w14:textId="77777777" w:rsidR="00D12C1D" w:rsidRPr="00D12C1D" w:rsidRDefault="00D12C1D" w:rsidP="0080232C">
      <w:pPr>
        <w:pStyle w:val="EndNoteBibliography"/>
        <w:spacing w:after="0" w:line="360" w:lineRule="auto"/>
        <w:ind w:left="720" w:hanging="720"/>
      </w:pPr>
      <w:r w:rsidRPr="00D12C1D">
        <w:t xml:space="preserve">[3] J. G. Vinter, </w:t>
      </w:r>
      <w:r w:rsidRPr="00D12C1D">
        <w:rPr>
          <w:i/>
        </w:rPr>
        <w:t>J.Comput.Aided Mol. Des.</w:t>
      </w:r>
      <w:r w:rsidRPr="00D12C1D">
        <w:t xml:space="preserve"> </w:t>
      </w:r>
      <w:r w:rsidRPr="00D12C1D">
        <w:rPr>
          <w:b/>
        </w:rPr>
        <w:t>1994</w:t>
      </w:r>
      <w:r w:rsidRPr="00D12C1D">
        <w:t xml:space="preserve">, </w:t>
      </w:r>
      <w:r w:rsidRPr="00D12C1D">
        <w:rPr>
          <w:i/>
        </w:rPr>
        <w:t>8</w:t>
      </w:r>
      <w:r w:rsidRPr="00D12C1D">
        <w:t>, 653.</w:t>
      </w:r>
    </w:p>
    <w:p w14:paraId="46D07358" w14:textId="77777777" w:rsidR="00D12C1D" w:rsidRPr="00D12C1D" w:rsidRDefault="00D12C1D" w:rsidP="0080232C">
      <w:pPr>
        <w:pStyle w:val="EndNoteBibliography"/>
        <w:spacing w:after="0" w:line="360" w:lineRule="auto"/>
        <w:ind w:left="720" w:hanging="720"/>
      </w:pPr>
      <w:r w:rsidRPr="00D12C1D">
        <w:t xml:space="preserve">[4] P. Y. Ren, C. J. Wu and J. W. Ponder, </w:t>
      </w:r>
      <w:r w:rsidRPr="00D12C1D">
        <w:rPr>
          <w:i/>
        </w:rPr>
        <w:t>J.Chem.Theory Comput.</w:t>
      </w:r>
      <w:r w:rsidRPr="00D12C1D">
        <w:t xml:space="preserve"> </w:t>
      </w:r>
      <w:r w:rsidRPr="00D12C1D">
        <w:rPr>
          <w:b/>
        </w:rPr>
        <w:t>2011</w:t>
      </w:r>
      <w:r w:rsidRPr="00D12C1D">
        <w:t xml:space="preserve">, </w:t>
      </w:r>
      <w:r w:rsidRPr="00D12C1D">
        <w:rPr>
          <w:i/>
        </w:rPr>
        <w:t>7</w:t>
      </w:r>
      <w:r w:rsidRPr="00D12C1D">
        <w:t>, 3143.</w:t>
      </w:r>
    </w:p>
    <w:p w14:paraId="1F03AA4B" w14:textId="77777777" w:rsidR="00D12C1D" w:rsidRPr="00D12C1D" w:rsidRDefault="00D12C1D" w:rsidP="0080232C">
      <w:pPr>
        <w:pStyle w:val="EndNoteBibliography"/>
        <w:spacing w:after="0" w:line="360" w:lineRule="auto"/>
        <w:ind w:left="720" w:hanging="720"/>
      </w:pPr>
      <w:r w:rsidRPr="00D12C1D">
        <w:t xml:space="preserve">[5] N. Gresh, G. A. Cisneros, T. A. Darden and J.-P. Piquemal, </w:t>
      </w:r>
      <w:r w:rsidRPr="00D12C1D">
        <w:rPr>
          <w:i/>
        </w:rPr>
        <w:t>J.Chem.Theory Comput.</w:t>
      </w:r>
      <w:r w:rsidRPr="00D12C1D">
        <w:t xml:space="preserve"> </w:t>
      </w:r>
      <w:r w:rsidRPr="00D12C1D">
        <w:rPr>
          <w:b/>
        </w:rPr>
        <w:t>2007</w:t>
      </w:r>
      <w:r w:rsidRPr="00D12C1D">
        <w:t xml:space="preserve">, </w:t>
      </w:r>
      <w:r w:rsidRPr="00D12C1D">
        <w:rPr>
          <w:i/>
        </w:rPr>
        <w:t>3</w:t>
      </w:r>
      <w:r w:rsidRPr="00D12C1D">
        <w:t>, 1960.</w:t>
      </w:r>
    </w:p>
    <w:p w14:paraId="4A30FD3E" w14:textId="77777777" w:rsidR="00D12C1D" w:rsidRPr="00D12C1D" w:rsidRDefault="00D12C1D" w:rsidP="0080232C">
      <w:pPr>
        <w:pStyle w:val="EndNoteBibliography"/>
        <w:spacing w:after="0" w:line="360" w:lineRule="auto"/>
        <w:ind w:left="720" w:hanging="720"/>
      </w:pPr>
      <w:r w:rsidRPr="00D12C1D">
        <w:lastRenderedPageBreak/>
        <w:t xml:space="preserve">[6] S. Cardamone, T. J. Hughes and P. L. A. Popelier, </w:t>
      </w:r>
      <w:r w:rsidRPr="00D12C1D">
        <w:rPr>
          <w:i/>
        </w:rPr>
        <w:t>Phys.Chem.Chem.Phys.</w:t>
      </w:r>
      <w:r w:rsidRPr="00D12C1D">
        <w:t xml:space="preserve"> </w:t>
      </w:r>
      <w:r w:rsidRPr="00D12C1D">
        <w:rPr>
          <w:b/>
        </w:rPr>
        <w:t>2014</w:t>
      </w:r>
      <w:r w:rsidRPr="00D12C1D">
        <w:t xml:space="preserve">, </w:t>
      </w:r>
      <w:r w:rsidRPr="00D12C1D">
        <w:rPr>
          <w:i/>
        </w:rPr>
        <w:t>16</w:t>
      </w:r>
      <w:r w:rsidRPr="00D12C1D">
        <w:t>, 10367.</w:t>
      </w:r>
    </w:p>
    <w:p w14:paraId="69617E98" w14:textId="77777777" w:rsidR="00D12C1D" w:rsidRPr="00D12C1D" w:rsidRDefault="00D12C1D" w:rsidP="0080232C">
      <w:pPr>
        <w:pStyle w:val="EndNoteBibliography"/>
        <w:spacing w:after="0" w:line="360" w:lineRule="auto"/>
        <w:ind w:left="720" w:hanging="720"/>
      </w:pPr>
      <w:r w:rsidRPr="00D12C1D">
        <w:t xml:space="preserve">[7] J. W. Ponder and D. A. Case, </w:t>
      </w:r>
      <w:r w:rsidRPr="00D12C1D">
        <w:rPr>
          <w:i/>
        </w:rPr>
        <w:t>Adv. Protein Chem.</w:t>
      </w:r>
      <w:r w:rsidRPr="00D12C1D">
        <w:t xml:space="preserve"> </w:t>
      </w:r>
      <w:r w:rsidRPr="00D12C1D">
        <w:rPr>
          <w:b/>
        </w:rPr>
        <w:t>2003</w:t>
      </w:r>
      <w:r w:rsidRPr="00D12C1D">
        <w:t xml:space="preserve">, </w:t>
      </w:r>
      <w:r w:rsidRPr="00D12C1D">
        <w:rPr>
          <w:i/>
        </w:rPr>
        <w:t>66</w:t>
      </w:r>
      <w:r w:rsidRPr="00D12C1D">
        <w:t>, 27.</w:t>
      </w:r>
    </w:p>
    <w:p w14:paraId="7CEB1FED" w14:textId="77777777" w:rsidR="00D12C1D" w:rsidRPr="00D12C1D" w:rsidRDefault="00D12C1D" w:rsidP="0080232C">
      <w:pPr>
        <w:pStyle w:val="EndNoteBibliography"/>
        <w:spacing w:after="0" w:line="360" w:lineRule="auto"/>
        <w:ind w:left="720" w:hanging="720"/>
      </w:pPr>
      <w:r w:rsidRPr="00D12C1D">
        <w:t xml:space="preserve">[8] P. L. A. Popelier, </w:t>
      </w:r>
      <w:r w:rsidRPr="00D12C1D">
        <w:rPr>
          <w:i/>
        </w:rPr>
        <w:t>Phys.Scr.</w:t>
      </w:r>
      <w:r w:rsidRPr="00D12C1D">
        <w:t xml:space="preserve"> </w:t>
      </w:r>
      <w:r w:rsidRPr="00D12C1D">
        <w:rPr>
          <w:b/>
        </w:rPr>
        <w:t>2016</w:t>
      </w:r>
      <w:r w:rsidRPr="00D12C1D">
        <w:t xml:space="preserve">, </w:t>
      </w:r>
      <w:r w:rsidRPr="00D12C1D">
        <w:rPr>
          <w:i/>
        </w:rPr>
        <w:t>91</w:t>
      </w:r>
      <w:r w:rsidRPr="00D12C1D">
        <w:t>, 033007.</w:t>
      </w:r>
    </w:p>
    <w:p w14:paraId="7856432B" w14:textId="77777777" w:rsidR="00D12C1D" w:rsidRPr="00D12C1D" w:rsidRDefault="00D12C1D" w:rsidP="0080232C">
      <w:pPr>
        <w:pStyle w:val="EndNoteBibliography"/>
        <w:spacing w:after="0" w:line="360" w:lineRule="auto"/>
        <w:ind w:left="720" w:hanging="720"/>
      </w:pPr>
      <w:r w:rsidRPr="00D12C1D">
        <w:t xml:space="preserve">[9] P. L. A. Popelier, </w:t>
      </w:r>
      <w:r w:rsidRPr="00D12C1D">
        <w:rPr>
          <w:i/>
        </w:rPr>
        <w:t>Int.J.Quant.Chem.</w:t>
      </w:r>
      <w:r w:rsidRPr="00D12C1D">
        <w:t xml:space="preserve"> </w:t>
      </w:r>
      <w:r w:rsidRPr="00D12C1D">
        <w:rPr>
          <w:b/>
        </w:rPr>
        <w:t>2015</w:t>
      </w:r>
      <w:r w:rsidRPr="00D12C1D">
        <w:t xml:space="preserve">, </w:t>
      </w:r>
      <w:r w:rsidRPr="00D12C1D">
        <w:rPr>
          <w:i/>
        </w:rPr>
        <w:t>115</w:t>
      </w:r>
      <w:r w:rsidRPr="00D12C1D">
        <w:t>, 1005.</w:t>
      </w:r>
    </w:p>
    <w:p w14:paraId="73CE3A95" w14:textId="2E9D1948" w:rsidR="00D12C1D" w:rsidRPr="00D12C1D" w:rsidRDefault="00D12C1D" w:rsidP="0080232C">
      <w:pPr>
        <w:pStyle w:val="EndNoteBibliography"/>
        <w:spacing w:after="0" w:line="360" w:lineRule="auto"/>
        <w:ind w:left="720" w:hanging="720"/>
      </w:pPr>
      <w:r w:rsidRPr="00D12C1D">
        <w:t xml:space="preserve">[10] P. L. A. Popelier, in </w:t>
      </w:r>
      <w:r w:rsidRPr="00D12C1D">
        <w:rPr>
          <w:i/>
        </w:rPr>
        <w:t>Challenges and Advances in Computational Chemistry and Physics  dedicated to "Applications of Topological Methods in Molecular Chemistry"</w:t>
      </w:r>
      <w:r w:rsidRPr="00D12C1D">
        <w:t>, eds. R. Chauvin, C. Lepetit, E. Alikhani and B. Silvi, Springer, Switzerland, ch. 2, pp. 23</w:t>
      </w:r>
      <w:r w:rsidR="0080691E">
        <w:t xml:space="preserve">, </w:t>
      </w:r>
      <w:r w:rsidR="0080691E" w:rsidRPr="0080691E">
        <w:rPr>
          <w:b/>
        </w:rPr>
        <w:t>2016</w:t>
      </w:r>
      <w:r w:rsidRPr="0080691E">
        <w:rPr>
          <w:b/>
        </w:rPr>
        <w:t>.</w:t>
      </w:r>
    </w:p>
    <w:p w14:paraId="3BE44EAA" w14:textId="12B6962E" w:rsidR="00D12C1D" w:rsidRPr="00D12C1D" w:rsidRDefault="00D12C1D" w:rsidP="0080232C">
      <w:pPr>
        <w:pStyle w:val="EndNoteBibliography"/>
        <w:spacing w:after="0" w:line="360" w:lineRule="auto"/>
        <w:ind w:left="720" w:hanging="720"/>
      </w:pPr>
      <w:r w:rsidRPr="00D12C1D">
        <w:t xml:space="preserve">[11] P. L. A. Popelier, in </w:t>
      </w:r>
      <w:r w:rsidRPr="00D12C1D">
        <w:rPr>
          <w:i/>
        </w:rPr>
        <w:t>The Nature of the Chemical Bond Revisited</w:t>
      </w:r>
      <w:r w:rsidRPr="00D12C1D">
        <w:t>, eds. G. Frenking and S. Shaik, Wiley-VCH, Chapter 8, ch. 8, pp. 271</w:t>
      </w:r>
      <w:r w:rsidR="0080691E">
        <w:t xml:space="preserve">, </w:t>
      </w:r>
      <w:r w:rsidR="0080691E" w:rsidRPr="0080691E">
        <w:rPr>
          <w:b/>
        </w:rPr>
        <w:t>2015</w:t>
      </w:r>
      <w:r w:rsidRPr="00D12C1D">
        <w:t>.</w:t>
      </w:r>
    </w:p>
    <w:p w14:paraId="6F0DDAAE" w14:textId="77777777" w:rsidR="00D12C1D" w:rsidRPr="00D12C1D" w:rsidRDefault="00D12C1D" w:rsidP="0080232C">
      <w:pPr>
        <w:pStyle w:val="EndNoteBibliography"/>
        <w:spacing w:after="0" w:line="360" w:lineRule="auto"/>
        <w:ind w:left="720" w:hanging="720"/>
      </w:pPr>
      <w:r w:rsidRPr="00D12C1D">
        <w:t xml:space="preserve">[12] R. F. W. Bader, </w:t>
      </w:r>
      <w:r w:rsidRPr="00D12C1D">
        <w:rPr>
          <w:i/>
        </w:rPr>
        <w:t>Atoms in Molecules. A Quantum Theory.</w:t>
      </w:r>
      <w:r w:rsidRPr="00D12C1D">
        <w:t xml:space="preserve">, Oxford Univ. Press, Oxford, Great Britain, </w:t>
      </w:r>
      <w:r w:rsidRPr="0080691E">
        <w:rPr>
          <w:b/>
        </w:rPr>
        <w:t>1990.</w:t>
      </w:r>
    </w:p>
    <w:p w14:paraId="580674C9" w14:textId="77777777" w:rsidR="00D12C1D" w:rsidRPr="00D12C1D" w:rsidRDefault="00D12C1D" w:rsidP="0080232C">
      <w:pPr>
        <w:pStyle w:val="EndNoteBibliography"/>
        <w:spacing w:after="0" w:line="360" w:lineRule="auto"/>
        <w:ind w:left="720" w:hanging="720"/>
      </w:pPr>
      <w:r w:rsidRPr="00D12C1D">
        <w:t xml:space="preserve">[13] R. F. W. Bader and P. M. Beddall, </w:t>
      </w:r>
      <w:r w:rsidRPr="00D12C1D">
        <w:rPr>
          <w:i/>
        </w:rPr>
        <w:t>J.Chem.Phys.</w:t>
      </w:r>
      <w:r w:rsidRPr="00D12C1D">
        <w:t xml:space="preserve"> </w:t>
      </w:r>
      <w:r w:rsidRPr="00D12C1D">
        <w:rPr>
          <w:b/>
        </w:rPr>
        <w:t>1972</w:t>
      </w:r>
      <w:r w:rsidRPr="00D12C1D">
        <w:t xml:space="preserve">, </w:t>
      </w:r>
      <w:r w:rsidRPr="00D12C1D">
        <w:rPr>
          <w:i/>
        </w:rPr>
        <w:t>56</w:t>
      </w:r>
      <w:r w:rsidRPr="00D12C1D">
        <w:t>, 3320.</w:t>
      </w:r>
    </w:p>
    <w:p w14:paraId="47CA9008" w14:textId="77777777" w:rsidR="00D12C1D" w:rsidRPr="00D12C1D" w:rsidRDefault="00D12C1D" w:rsidP="0080232C">
      <w:pPr>
        <w:pStyle w:val="EndNoteBibliography"/>
        <w:spacing w:after="0" w:line="360" w:lineRule="auto"/>
        <w:ind w:left="720" w:hanging="720"/>
      </w:pPr>
      <w:r w:rsidRPr="00D12C1D">
        <w:t xml:space="preserve">[14] J. L. McDonagh, M. A. Vincent and P. L. A. Popelier, </w:t>
      </w:r>
      <w:r w:rsidRPr="00D12C1D">
        <w:rPr>
          <w:i/>
        </w:rPr>
        <w:t>Chem.Phys.Lett.</w:t>
      </w:r>
      <w:r w:rsidRPr="00D12C1D">
        <w:t xml:space="preserve"> </w:t>
      </w:r>
      <w:r w:rsidRPr="00D12C1D">
        <w:rPr>
          <w:b/>
        </w:rPr>
        <w:t>2016</w:t>
      </w:r>
      <w:r w:rsidRPr="00D12C1D">
        <w:t xml:space="preserve">, </w:t>
      </w:r>
      <w:r w:rsidRPr="00D12C1D">
        <w:rPr>
          <w:i/>
        </w:rPr>
        <w:t>662</w:t>
      </w:r>
      <w:r w:rsidRPr="00D12C1D">
        <w:t>, 228.</w:t>
      </w:r>
    </w:p>
    <w:p w14:paraId="6186249D" w14:textId="77777777" w:rsidR="00D12C1D" w:rsidRPr="00D12C1D" w:rsidRDefault="00D12C1D" w:rsidP="0080232C">
      <w:pPr>
        <w:pStyle w:val="EndNoteBibliography"/>
        <w:spacing w:after="0" w:line="360" w:lineRule="auto"/>
        <w:ind w:left="720" w:hanging="720"/>
      </w:pPr>
      <w:r w:rsidRPr="00D12C1D">
        <w:t xml:space="preserve">[15] M. A. Blanco, A. Martín Pendás and E. Francisco, </w:t>
      </w:r>
      <w:r w:rsidRPr="00D12C1D">
        <w:rPr>
          <w:i/>
        </w:rPr>
        <w:t>J.Chem.Theory Comput.</w:t>
      </w:r>
      <w:r w:rsidRPr="00D12C1D">
        <w:t xml:space="preserve"> </w:t>
      </w:r>
      <w:r w:rsidRPr="00D12C1D">
        <w:rPr>
          <w:b/>
        </w:rPr>
        <w:t>2005</w:t>
      </w:r>
      <w:r w:rsidRPr="00D12C1D">
        <w:t xml:space="preserve">, </w:t>
      </w:r>
      <w:r w:rsidRPr="00D12C1D">
        <w:rPr>
          <w:i/>
        </w:rPr>
        <w:t>1</w:t>
      </w:r>
      <w:r w:rsidRPr="00D12C1D">
        <w:t>, 1096.</w:t>
      </w:r>
    </w:p>
    <w:p w14:paraId="3A53E072" w14:textId="0356A809" w:rsidR="00D12C1D" w:rsidRPr="00D12C1D" w:rsidRDefault="00D12C1D" w:rsidP="0080232C">
      <w:pPr>
        <w:pStyle w:val="EndNoteBibliography"/>
        <w:spacing w:after="0" w:line="360" w:lineRule="auto"/>
        <w:ind w:left="720" w:hanging="720"/>
      </w:pPr>
      <w:r w:rsidRPr="00D12C1D">
        <w:t>[16] P. Maxwell, A. Mart</w:t>
      </w:r>
      <w:r w:rsidR="00363C9D" w:rsidRPr="00D12C1D">
        <w:t>í</w:t>
      </w:r>
      <w:r w:rsidRPr="00D12C1D">
        <w:t>n Pend</w:t>
      </w:r>
      <w:r w:rsidR="00363C9D" w:rsidRPr="00D12C1D">
        <w:t>á</w:t>
      </w:r>
      <w:r w:rsidRPr="00D12C1D">
        <w:t xml:space="preserve">s and P. L. A. Popelier, </w:t>
      </w:r>
      <w:r w:rsidRPr="00D12C1D">
        <w:rPr>
          <w:i/>
        </w:rPr>
        <w:t>PhysChemChemPhys</w:t>
      </w:r>
      <w:r w:rsidRPr="00D12C1D">
        <w:t xml:space="preserve"> </w:t>
      </w:r>
      <w:r w:rsidRPr="00D12C1D">
        <w:rPr>
          <w:b/>
        </w:rPr>
        <w:t>2016</w:t>
      </w:r>
      <w:r w:rsidRPr="00D12C1D">
        <w:t xml:space="preserve">, </w:t>
      </w:r>
      <w:r w:rsidRPr="00D12C1D">
        <w:rPr>
          <w:i/>
        </w:rPr>
        <w:t>18</w:t>
      </w:r>
      <w:r w:rsidRPr="00D12C1D">
        <w:t>, 20986.</w:t>
      </w:r>
    </w:p>
    <w:p w14:paraId="406E8DFB" w14:textId="77777777" w:rsidR="00D12C1D" w:rsidRPr="00D12C1D" w:rsidRDefault="00D12C1D" w:rsidP="0080232C">
      <w:pPr>
        <w:pStyle w:val="EndNoteBibliography"/>
        <w:spacing w:after="0" w:line="360" w:lineRule="auto"/>
        <w:ind w:left="720" w:hanging="720"/>
      </w:pPr>
      <w:r w:rsidRPr="00D12C1D">
        <w:t xml:space="preserve">[17] N. Cressie, </w:t>
      </w:r>
      <w:r w:rsidRPr="00D12C1D">
        <w:rPr>
          <w:i/>
        </w:rPr>
        <w:t>Statistics for Spatial Data</w:t>
      </w:r>
      <w:r w:rsidRPr="00D12C1D">
        <w:t>, Wiley, New York, USA, 1993.</w:t>
      </w:r>
    </w:p>
    <w:p w14:paraId="62A7BFB4" w14:textId="77777777" w:rsidR="00D12C1D" w:rsidRPr="00D12C1D" w:rsidRDefault="00D12C1D" w:rsidP="0080232C">
      <w:pPr>
        <w:pStyle w:val="EndNoteBibliography"/>
        <w:spacing w:after="0" w:line="360" w:lineRule="auto"/>
        <w:ind w:left="720" w:hanging="720"/>
      </w:pPr>
      <w:r w:rsidRPr="00D12C1D">
        <w:t xml:space="preserve">[18] N. Di Pasquale, M. Bane, S. J. Davie  and P. L. A. Popelier, </w:t>
      </w:r>
      <w:r w:rsidRPr="00D12C1D">
        <w:rPr>
          <w:i/>
        </w:rPr>
        <w:t>J.Comput.Chem.</w:t>
      </w:r>
      <w:r w:rsidRPr="00D12C1D">
        <w:t xml:space="preserve"> </w:t>
      </w:r>
      <w:r w:rsidRPr="00D12C1D">
        <w:rPr>
          <w:b/>
        </w:rPr>
        <w:t>2016</w:t>
      </w:r>
      <w:r w:rsidRPr="00D12C1D">
        <w:t xml:space="preserve">, </w:t>
      </w:r>
      <w:r w:rsidRPr="00D12C1D">
        <w:rPr>
          <w:i/>
        </w:rPr>
        <w:t>37</w:t>
      </w:r>
      <w:r w:rsidRPr="00D12C1D">
        <w:t>, 2606.</w:t>
      </w:r>
    </w:p>
    <w:p w14:paraId="51EAD7BC" w14:textId="77777777" w:rsidR="00D12C1D" w:rsidRPr="00D12C1D" w:rsidRDefault="00D12C1D" w:rsidP="0080232C">
      <w:pPr>
        <w:pStyle w:val="EndNoteBibliography"/>
        <w:spacing w:after="0" w:line="360" w:lineRule="auto"/>
        <w:ind w:left="720" w:hanging="720"/>
      </w:pPr>
      <w:r w:rsidRPr="00D12C1D">
        <w:t xml:space="preserve">[19] C. M. Handley and P. L. A. Popelier, </w:t>
      </w:r>
      <w:r w:rsidRPr="00D12C1D">
        <w:rPr>
          <w:i/>
        </w:rPr>
        <w:t xml:space="preserve">J.Chem.Theory Comput. </w:t>
      </w:r>
      <w:r w:rsidRPr="00D12C1D">
        <w:rPr>
          <w:b/>
        </w:rPr>
        <w:t>2009</w:t>
      </w:r>
      <w:r w:rsidRPr="00D12C1D">
        <w:t xml:space="preserve">, </w:t>
      </w:r>
      <w:r w:rsidRPr="00D12C1D">
        <w:rPr>
          <w:i/>
        </w:rPr>
        <w:t>5</w:t>
      </w:r>
      <w:r w:rsidRPr="00D12C1D">
        <w:t>, 1474.</w:t>
      </w:r>
    </w:p>
    <w:p w14:paraId="29E439EF" w14:textId="77777777" w:rsidR="00D12C1D" w:rsidRPr="00D12C1D" w:rsidRDefault="00D12C1D" w:rsidP="0080232C">
      <w:pPr>
        <w:pStyle w:val="EndNoteBibliography"/>
        <w:spacing w:after="0" w:line="360" w:lineRule="auto"/>
        <w:ind w:left="720" w:hanging="720"/>
      </w:pPr>
      <w:r w:rsidRPr="00D12C1D">
        <w:t xml:space="preserve">[20] M. G. Darley, C. M. Handley and P. L. A. Popelier, </w:t>
      </w:r>
      <w:r w:rsidRPr="00D12C1D">
        <w:rPr>
          <w:i/>
        </w:rPr>
        <w:t>J.Chem.Theory Comput.</w:t>
      </w:r>
      <w:r w:rsidRPr="00D12C1D">
        <w:t xml:space="preserve"> </w:t>
      </w:r>
      <w:r w:rsidRPr="00D12C1D">
        <w:rPr>
          <w:b/>
        </w:rPr>
        <w:t>2008</w:t>
      </w:r>
      <w:r w:rsidRPr="00D12C1D">
        <w:t xml:space="preserve">, </w:t>
      </w:r>
      <w:r w:rsidRPr="00D12C1D">
        <w:rPr>
          <w:i/>
        </w:rPr>
        <w:t>4</w:t>
      </w:r>
      <w:r w:rsidRPr="00D12C1D">
        <w:t>, 1435.</w:t>
      </w:r>
    </w:p>
    <w:p w14:paraId="1AEED59E" w14:textId="77777777" w:rsidR="00D12C1D" w:rsidRPr="00D12C1D" w:rsidRDefault="00D12C1D" w:rsidP="0080232C">
      <w:pPr>
        <w:pStyle w:val="EndNoteBibliography"/>
        <w:spacing w:after="0" w:line="360" w:lineRule="auto"/>
        <w:ind w:left="720" w:hanging="720"/>
      </w:pPr>
      <w:r w:rsidRPr="00D12C1D">
        <w:t xml:space="preserve">[21] T. L. Fletcher and P. L. A. Popelier, </w:t>
      </w:r>
      <w:r w:rsidRPr="00D12C1D">
        <w:rPr>
          <w:i/>
        </w:rPr>
        <w:t>J.Chem.Theor.Comput.</w:t>
      </w:r>
      <w:r w:rsidRPr="00D12C1D">
        <w:t xml:space="preserve"> </w:t>
      </w:r>
      <w:r w:rsidRPr="00D12C1D">
        <w:rPr>
          <w:b/>
        </w:rPr>
        <w:t>2016</w:t>
      </w:r>
      <w:r w:rsidRPr="00D12C1D">
        <w:t xml:space="preserve">, </w:t>
      </w:r>
      <w:r w:rsidRPr="00D12C1D">
        <w:rPr>
          <w:i/>
        </w:rPr>
        <w:t>12</w:t>
      </w:r>
      <w:r w:rsidRPr="00D12C1D">
        <w:t>, 2742.</w:t>
      </w:r>
    </w:p>
    <w:p w14:paraId="49BFE5AE" w14:textId="77777777" w:rsidR="00D12C1D" w:rsidRPr="00D12C1D" w:rsidRDefault="00D12C1D" w:rsidP="0080232C">
      <w:pPr>
        <w:pStyle w:val="EndNoteBibliography"/>
        <w:spacing w:after="0" w:line="360" w:lineRule="auto"/>
        <w:ind w:left="720" w:hanging="720"/>
      </w:pPr>
      <w:r w:rsidRPr="00D12C1D">
        <w:t xml:space="preserve">[22] P. Maxwell and P. L. A. Popelier, </w:t>
      </w:r>
      <w:r w:rsidRPr="00D12C1D">
        <w:rPr>
          <w:i/>
        </w:rPr>
        <w:t>Molec.Phys.</w:t>
      </w:r>
      <w:r w:rsidRPr="00D12C1D">
        <w:t xml:space="preserve"> </w:t>
      </w:r>
      <w:r w:rsidRPr="00D12C1D">
        <w:rPr>
          <w:b/>
        </w:rPr>
        <w:t>2016</w:t>
      </w:r>
      <w:r w:rsidRPr="00D12C1D">
        <w:t xml:space="preserve">, </w:t>
      </w:r>
      <w:r w:rsidRPr="00D12C1D">
        <w:rPr>
          <w:i/>
        </w:rPr>
        <w:t>114</w:t>
      </w:r>
      <w:r w:rsidRPr="00D12C1D">
        <w:t>, 1304.</w:t>
      </w:r>
    </w:p>
    <w:p w14:paraId="3050110C" w14:textId="77777777" w:rsidR="00D12C1D" w:rsidRPr="00D12C1D" w:rsidRDefault="00D12C1D" w:rsidP="0080232C">
      <w:pPr>
        <w:pStyle w:val="EndNoteBibliography"/>
        <w:spacing w:after="0" w:line="360" w:lineRule="auto"/>
        <w:ind w:left="720" w:hanging="720"/>
      </w:pPr>
      <w:r w:rsidRPr="00D12C1D">
        <w:t xml:space="preserve">[23] T. L. Fletcher and P. L. A. Popelier, </w:t>
      </w:r>
      <w:r w:rsidRPr="00D12C1D">
        <w:rPr>
          <w:i/>
        </w:rPr>
        <w:t xml:space="preserve">Theor.Chem.Acc. </w:t>
      </w:r>
      <w:r w:rsidRPr="00D12C1D">
        <w:rPr>
          <w:b/>
        </w:rPr>
        <w:t>2015</w:t>
      </w:r>
      <w:r w:rsidRPr="00D12C1D">
        <w:t xml:space="preserve">, </w:t>
      </w:r>
      <w:r w:rsidRPr="00D12C1D">
        <w:rPr>
          <w:i/>
        </w:rPr>
        <w:t>134</w:t>
      </w:r>
      <w:r w:rsidRPr="00D12C1D">
        <w:t>, 135:1.</w:t>
      </w:r>
    </w:p>
    <w:p w14:paraId="56136198" w14:textId="77777777" w:rsidR="00D12C1D" w:rsidRPr="00D12C1D" w:rsidRDefault="00D12C1D" w:rsidP="0080232C">
      <w:pPr>
        <w:pStyle w:val="EndNoteBibliography"/>
        <w:spacing w:after="0" w:line="360" w:lineRule="auto"/>
        <w:ind w:left="720" w:hanging="720"/>
      </w:pPr>
      <w:r w:rsidRPr="00D12C1D">
        <w:t xml:space="preserve">[24] T. L. Fletcher and P. L. A. Popelier, </w:t>
      </w:r>
      <w:r w:rsidRPr="00D12C1D">
        <w:rPr>
          <w:i/>
        </w:rPr>
        <w:t>J.Comput.Chem.</w:t>
      </w:r>
      <w:r w:rsidRPr="00D12C1D">
        <w:t xml:space="preserve"> </w:t>
      </w:r>
      <w:r w:rsidRPr="00D12C1D">
        <w:rPr>
          <w:b/>
        </w:rPr>
        <w:t>2017</w:t>
      </w:r>
      <w:r w:rsidRPr="00D12C1D">
        <w:t xml:space="preserve">, </w:t>
      </w:r>
      <w:r w:rsidRPr="00D12C1D">
        <w:rPr>
          <w:i/>
        </w:rPr>
        <w:t>38</w:t>
      </w:r>
      <w:r w:rsidRPr="00D12C1D">
        <w:t>, 336.</w:t>
      </w:r>
    </w:p>
    <w:p w14:paraId="7747A5C9" w14:textId="77777777" w:rsidR="00D12C1D" w:rsidRPr="00D12C1D" w:rsidRDefault="00D12C1D" w:rsidP="0080232C">
      <w:pPr>
        <w:pStyle w:val="EndNoteBibliography"/>
        <w:spacing w:after="0" w:line="360" w:lineRule="auto"/>
        <w:ind w:left="720" w:hanging="720"/>
      </w:pPr>
      <w:r w:rsidRPr="00D12C1D">
        <w:t xml:space="preserve">[25] H. M. Berman, J. Westbrook, Z. Feng, G. Gilliland, T. N. Bhat, H. Weissig, I. N. Shindyalov and P. E. Bourne, </w:t>
      </w:r>
      <w:r w:rsidRPr="00D12C1D">
        <w:rPr>
          <w:i/>
        </w:rPr>
        <w:t>Nucleic Acids Research</w:t>
      </w:r>
      <w:r w:rsidRPr="00D12C1D">
        <w:t xml:space="preserve"> </w:t>
      </w:r>
      <w:r w:rsidRPr="00D12C1D">
        <w:rPr>
          <w:b/>
        </w:rPr>
        <w:t>2000</w:t>
      </w:r>
      <w:r w:rsidRPr="00D12C1D">
        <w:t xml:space="preserve">, </w:t>
      </w:r>
      <w:r w:rsidRPr="00D12C1D">
        <w:rPr>
          <w:i/>
        </w:rPr>
        <w:t>28</w:t>
      </w:r>
      <w:r w:rsidRPr="00D12C1D">
        <w:t>, 235.</w:t>
      </w:r>
    </w:p>
    <w:p w14:paraId="09A3818D" w14:textId="0912E288" w:rsidR="00D12C1D" w:rsidRPr="00D12C1D" w:rsidRDefault="00D12C1D" w:rsidP="0080232C">
      <w:pPr>
        <w:pStyle w:val="EndNoteBibliography"/>
        <w:spacing w:after="0" w:line="360" w:lineRule="auto"/>
        <w:ind w:left="720" w:hanging="720"/>
      </w:pPr>
      <w:r w:rsidRPr="00D12C1D">
        <w:t xml:space="preserve">[26] R. B. M. J. F. Gaussian 09, G. W. Trucks, H. B. Schlegel, G. E. Scuseria, M. A. Robb, J. R. Cheeseman, G. Scalmani, V. Barone, B. Mennucci, G. A. Petersson, H. Nakatsuji, M. Caricato, X. Li, H. P. Hratchian, A. F. Izmaylov, J. Bloino, G. Zheng, J. L. Sonnenberg, M. Hada, M. Ehara, K. Toyota, R. Fukuda, J. Hasegawa, M. Ishida, T. Nakajima, Y. Honda, O. Kitao, H. Nakai, T. Vreven, J. A. Montgomery, Jr., J. E. Peralta, F. Ogliaro, M. Bearpark, J. J. Heyd, E. Brothers, K. N. Kudin, V. N. Staroverov, R. Kobayashi, J. Normand, K. Raghavachari, A. Rendell, J. C. Burant, S. S. Iyengar, J. Tomasi, M. Cossi, N. Rega, J. M. Millam, M. Klene, J. E. Knox, J. B. Cross, V. Bakken, C. Adamo, J. Jaramillo, R. Gomperts, R. E. Stratmann, O. Yazyev, A. J. Austin, R. Cammi, C. Pomelli, J. W. Ochterski, R. L. Martin, K. Morokuma, V. G. Zakrzewski, G. </w:t>
      </w:r>
      <w:r w:rsidRPr="00D12C1D">
        <w:lastRenderedPageBreak/>
        <w:t xml:space="preserve">A. Voth, P. Salvador, J. J. Dannenberg, S. Dapprich, A. D. Daniels, Ö. Farkas, J. B. Foresman, J. V. Ortiz, J. Cioslowski, and D. J. Fox, Gaussian, Inc., Wallingford CT, USA, </w:t>
      </w:r>
      <w:r w:rsidRPr="0080691E">
        <w:rPr>
          <w:b/>
        </w:rPr>
        <w:t>2009</w:t>
      </w:r>
      <w:r w:rsidRPr="00D12C1D">
        <w:t>.</w:t>
      </w:r>
    </w:p>
    <w:p w14:paraId="00C3A602" w14:textId="77777777" w:rsidR="00D12C1D" w:rsidRPr="00D12C1D" w:rsidRDefault="00D12C1D" w:rsidP="0080232C">
      <w:pPr>
        <w:pStyle w:val="EndNoteBibliography"/>
        <w:spacing w:after="0" w:line="360" w:lineRule="auto"/>
        <w:ind w:left="720" w:hanging="720"/>
      </w:pPr>
      <w:r w:rsidRPr="00D12C1D">
        <w:t xml:space="preserve">[27] Y. Zhao, J. Pu, B. J. Lynch and D. G. Truhlar, </w:t>
      </w:r>
      <w:r w:rsidRPr="00D12C1D">
        <w:rPr>
          <w:i/>
        </w:rPr>
        <w:t>PhysChemChemPhys</w:t>
      </w:r>
      <w:r w:rsidRPr="00D12C1D">
        <w:t xml:space="preserve"> </w:t>
      </w:r>
      <w:r w:rsidRPr="00D12C1D">
        <w:rPr>
          <w:b/>
        </w:rPr>
        <w:t>2004</w:t>
      </w:r>
      <w:r w:rsidRPr="00D12C1D">
        <w:t xml:space="preserve">, </w:t>
      </w:r>
      <w:r w:rsidRPr="00D12C1D">
        <w:rPr>
          <w:i/>
        </w:rPr>
        <w:t>6</w:t>
      </w:r>
      <w:r w:rsidRPr="00D12C1D">
        <w:t>, 673.</w:t>
      </w:r>
    </w:p>
    <w:p w14:paraId="41215C43" w14:textId="77777777" w:rsidR="00D12C1D" w:rsidRPr="00D12C1D" w:rsidRDefault="00D12C1D" w:rsidP="0080232C">
      <w:pPr>
        <w:pStyle w:val="EndNoteBibliography"/>
        <w:spacing w:after="0" w:line="360" w:lineRule="auto"/>
        <w:ind w:left="720" w:hanging="720"/>
      </w:pPr>
      <w:r w:rsidRPr="00D12C1D">
        <w:t xml:space="preserve">[28] P. L. A. Popelier and F. M. Aicken, </w:t>
      </w:r>
      <w:r w:rsidRPr="00D12C1D">
        <w:rPr>
          <w:i/>
        </w:rPr>
        <w:t>J.Am.Chem.Soc.</w:t>
      </w:r>
      <w:r w:rsidRPr="00D12C1D">
        <w:t xml:space="preserve"> </w:t>
      </w:r>
      <w:r w:rsidRPr="00D12C1D">
        <w:rPr>
          <w:b/>
        </w:rPr>
        <w:t>2003</w:t>
      </w:r>
      <w:r w:rsidRPr="00D12C1D">
        <w:t xml:space="preserve">, </w:t>
      </w:r>
      <w:r w:rsidRPr="00D12C1D">
        <w:rPr>
          <w:i/>
        </w:rPr>
        <w:t>125</w:t>
      </w:r>
      <w:r w:rsidRPr="00D12C1D">
        <w:t>, 1284.</w:t>
      </w:r>
    </w:p>
    <w:p w14:paraId="1F8543C0" w14:textId="77777777" w:rsidR="00D12C1D" w:rsidRPr="00D12C1D" w:rsidRDefault="00D12C1D" w:rsidP="0080232C">
      <w:pPr>
        <w:pStyle w:val="EndNoteBibliography"/>
        <w:spacing w:after="0" w:line="360" w:lineRule="auto"/>
        <w:ind w:left="720" w:hanging="720"/>
      </w:pPr>
      <w:r w:rsidRPr="00D12C1D">
        <w:t xml:space="preserve">[29] S. Cardamone and P. L. A. Popelier, </w:t>
      </w:r>
      <w:r w:rsidRPr="00D12C1D">
        <w:rPr>
          <w:i/>
        </w:rPr>
        <w:t>J.Comput.Chem.</w:t>
      </w:r>
      <w:r w:rsidRPr="00D12C1D">
        <w:t xml:space="preserve"> </w:t>
      </w:r>
      <w:r w:rsidRPr="00D12C1D">
        <w:rPr>
          <w:b/>
        </w:rPr>
        <w:t>2015</w:t>
      </w:r>
      <w:r w:rsidRPr="00D12C1D">
        <w:t xml:space="preserve">, </w:t>
      </w:r>
      <w:r w:rsidRPr="00D12C1D">
        <w:rPr>
          <w:i/>
        </w:rPr>
        <w:t>36</w:t>
      </w:r>
      <w:r w:rsidRPr="00D12C1D">
        <w:t>, 2361.</w:t>
      </w:r>
    </w:p>
    <w:p w14:paraId="42995732" w14:textId="77777777" w:rsidR="00D12C1D" w:rsidRPr="00D12C1D" w:rsidRDefault="00D12C1D" w:rsidP="0080232C">
      <w:pPr>
        <w:pStyle w:val="EndNoteBibliography"/>
        <w:spacing w:after="0" w:line="360" w:lineRule="auto"/>
        <w:ind w:left="720" w:hanging="720"/>
      </w:pPr>
      <w:r w:rsidRPr="00D12C1D">
        <w:t xml:space="preserve">[30] T. J. Hughes, S. Cardamone and P. L. A. Popelier, </w:t>
      </w:r>
      <w:r w:rsidRPr="00D12C1D">
        <w:rPr>
          <w:i/>
        </w:rPr>
        <w:t>J.Comput.Chem.</w:t>
      </w:r>
      <w:r w:rsidRPr="00D12C1D">
        <w:t xml:space="preserve"> </w:t>
      </w:r>
      <w:r w:rsidRPr="00D12C1D">
        <w:rPr>
          <w:b/>
        </w:rPr>
        <w:t>2015</w:t>
      </w:r>
      <w:r w:rsidRPr="00D12C1D">
        <w:t xml:space="preserve">, </w:t>
      </w:r>
      <w:r w:rsidRPr="00D12C1D">
        <w:rPr>
          <w:i/>
        </w:rPr>
        <w:t>36</w:t>
      </w:r>
      <w:r w:rsidRPr="00D12C1D">
        <w:t>, 1844.</w:t>
      </w:r>
    </w:p>
    <w:p w14:paraId="5FBF57EC" w14:textId="20591643" w:rsidR="00D12C1D" w:rsidRPr="00D12C1D" w:rsidRDefault="00D12C1D" w:rsidP="0080232C">
      <w:pPr>
        <w:pStyle w:val="EndNoteBibliography"/>
        <w:spacing w:after="0" w:line="360" w:lineRule="auto"/>
        <w:ind w:left="720" w:hanging="720"/>
      </w:pPr>
      <w:r w:rsidRPr="00D12C1D">
        <w:t>[31] T. A. K</w:t>
      </w:r>
      <w:r w:rsidR="0080691E">
        <w:t>eith,</w:t>
      </w:r>
      <w:r w:rsidRPr="00D12C1D">
        <w:t xml:space="preserve"> AIMAll, TK Gristmill Software, Overland Park KS, USA, (aim.tkgristmill.com) </w:t>
      </w:r>
      <w:r w:rsidRPr="0080691E">
        <w:rPr>
          <w:b/>
        </w:rPr>
        <w:t>2016.</w:t>
      </w:r>
    </w:p>
    <w:p w14:paraId="56605ECF" w14:textId="77777777" w:rsidR="00D12C1D" w:rsidRPr="00D12C1D" w:rsidRDefault="00D12C1D" w:rsidP="0080232C">
      <w:pPr>
        <w:pStyle w:val="EndNoteBibliography"/>
        <w:spacing w:after="0" w:line="360" w:lineRule="auto"/>
        <w:ind w:left="720" w:hanging="720"/>
      </w:pPr>
      <w:r w:rsidRPr="00D12C1D">
        <w:t xml:space="preserve">[32] M. J. L. Mills and P. L. A. Popelier, </w:t>
      </w:r>
      <w:r w:rsidRPr="00D12C1D">
        <w:rPr>
          <w:i/>
        </w:rPr>
        <w:t xml:space="preserve">Comput.Theor.Chem. </w:t>
      </w:r>
      <w:r w:rsidRPr="00D12C1D">
        <w:rPr>
          <w:b/>
        </w:rPr>
        <w:t>2011</w:t>
      </w:r>
      <w:r w:rsidRPr="00D12C1D">
        <w:t xml:space="preserve">, </w:t>
      </w:r>
      <w:r w:rsidRPr="00D12C1D">
        <w:rPr>
          <w:i/>
        </w:rPr>
        <w:t>975</w:t>
      </w:r>
      <w:r w:rsidRPr="00D12C1D">
        <w:t>, 42.</w:t>
      </w:r>
    </w:p>
    <w:p w14:paraId="16B7DBD7" w14:textId="77777777" w:rsidR="00D12C1D" w:rsidRPr="00D12C1D" w:rsidRDefault="00D12C1D" w:rsidP="0080232C">
      <w:pPr>
        <w:pStyle w:val="EndNoteBibliography"/>
        <w:spacing w:after="0" w:line="360" w:lineRule="auto"/>
        <w:ind w:left="720" w:hanging="720"/>
      </w:pPr>
      <w:r w:rsidRPr="00D12C1D">
        <w:t xml:space="preserve">[33] M. J. L. Mills and P. L. A. Popelier, </w:t>
      </w:r>
      <w:r w:rsidRPr="00D12C1D">
        <w:rPr>
          <w:i/>
        </w:rPr>
        <w:t xml:space="preserve">Theor.Chem.Acc. </w:t>
      </w:r>
      <w:r w:rsidRPr="00D12C1D">
        <w:rPr>
          <w:b/>
        </w:rPr>
        <w:t>2012</w:t>
      </w:r>
      <w:r w:rsidRPr="00D12C1D">
        <w:t xml:space="preserve">, </w:t>
      </w:r>
      <w:r w:rsidRPr="00D12C1D">
        <w:rPr>
          <w:i/>
        </w:rPr>
        <w:t>131</w:t>
      </w:r>
      <w:r w:rsidRPr="00D12C1D">
        <w:t>, 1137.</w:t>
      </w:r>
    </w:p>
    <w:p w14:paraId="20ECCEF0" w14:textId="77777777" w:rsidR="00D12C1D" w:rsidRPr="00D12C1D" w:rsidRDefault="00D12C1D" w:rsidP="0080232C">
      <w:pPr>
        <w:pStyle w:val="EndNoteBibliography"/>
        <w:spacing w:after="0" w:line="360" w:lineRule="auto"/>
        <w:ind w:left="720" w:hanging="720"/>
      </w:pPr>
      <w:r w:rsidRPr="00D12C1D">
        <w:t xml:space="preserve">[34] M. Rafat and P. L. A. Popelier, </w:t>
      </w:r>
      <w:r w:rsidRPr="00D12C1D">
        <w:rPr>
          <w:i/>
        </w:rPr>
        <w:t>J.Comput.Chem.</w:t>
      </w:r>
      <w:r w:rsidRPr="00D12C1D">
        <w:t xml:space="preserve"> </w:t>
      </w:r>
      <w:r w:rsidRPr="00D12C1D">
        <w:rPr>
          <w:b/>
        </w:rPr>
        <w:t>2007</w:t>
      </w:r>
      <w:r w:rsidRPr="00D12C1D">
        <w:t xml:space="preserve">, </w:t>
      </w:r>
      <w:r w:rsidRPr="00D12C1D">
        <w:rPr>
          <w:i/>
        </w:rPr>
        <w:t>28</w:t>
      </w:r>
      <w:r w:rsidRPr="00D12C1D">
        <w:t>, 2602.</w:t>
      </w:r>
    </w:p>
    <w:p w14:paraId="2D7D2DF2" w14:textId="77777777" w:rsidR="00D12C1D" w:rsidRPr="00D12C1D" w:rsidRDefault="00D12C1D" w:rsidP="0080232C">
      <w:pPr>
        <w:pStyle w:val="EndNoteBibliography"/>
        <w:spacing w:after="0" w:line="360" w:lineRule="auto"/>
        <w:ind w:left="720" w:hanging="720"/>
      </w:pPr>
      <w:r w:rsidRPr="00D12C1D">
        <w:t xml:space="preserve">[35] F. M. Aicken and P. L. A. Popelier, </w:t>
      </w:r>
      <w:r w:rsidRPr="00D12C1D">
        <w:rPr>
          <w:i/>
        </w:rPr>
        <w:t>Can.J.Chem.</w:t>
      </w:r>
      <w:r w:rsidRPr="00D12C1D">
        <w:t xml:space="preserve"> </w:t>
      </w:r>
      <w:r w:rsidRPr="00D12C1D">
        <w:rPr>
          <w:b/>
        </w:rPr>
        <w:t>2000</w:t>
      </w:r>
      <w:r w:rsidRPr="00D12C1D">
        <w:t xml:space="preserve">, </w:t>
      </w:r>
      <w:r w:rsidRPr="00D12C1D">
        <w:rPr>
          <w:i/>
        </w:rPr>
        <w:t>78</w:t>
      </w:r>
      <w:r w:rsidRPr="00D12C1D">
        <w:t>, 415.</w:t>
      </w:r>
    </w:p>
    <w:p w14:paraId="7A4F419A" w14:textId="77777777" w:rsidR="00D12C1D" w:rsidRPr="00D12C1D" w:rsidRDefault="00D12C1D" w:rsidP="0080232C">
      <w:pPr>
        <w:pStyle w:val="EndNoteBibliography"/>
        <w:spacing w:after="0" w:line="360" w:lineRule="auto"/>
        <w:ind w:left="720" w:hanging="720"/>
      </w:pPr>
      <w:r w:rsidRPr="00D12C1D">
        <w:t xml:space="preserve">[36] G. Matheron, </w:t>
      </w:r>
      <w:r w:rsidRPr="00D12C1D">
        <w:rPr>
          <w:i/>
        </w:rPr>
        <w:t>Econ. Geology</w:t>
      </w:r>
      <w:r w:rsidRPr="00D12C1D">
        <w:t xml:space="preserve"> </w:t>
      </w:r>
      <w:r w:rsidRPr="00D12C1D">
        <w:rPr>
          <w:b/>
        </w:rPr>
        <w:t>1963</w:t>
      </w:r>
      <w:r w:rsidRPr="00D12C1D">
        <w:t xml:space="preserve">, </w:t>
      </w:r>
      <w:r w:rsidRPr="00D12C1D">
        <w:rPr>
          <w:i/>
        </w:rPr>
        <w:t>58</w:t>
      </w:r>
      <w:r w:rsidRPr="00D12C1D">
        <w:t>, 1246.</w:t>
      </w:r>
    </w:p>
    <w:p w14:paraId="5B573C3E" w14:textId="77777777" w:rsidR="00D12C1D" w:rsidRPr="00D12C1D" w:rsidRDefault="00D12C1D" w:rsidP="0080232C">
      <w:pPr>
        <w:pStyle w:val="EndNoteBibliography"/>
        <w:spacing w:after="0" w:line="360" w:lineRule="auto"/>
        <w:ind w:left="720" w:hanging="720"/>
      </w:pPr>
      <w:r w:rsidRPr="00D12C1D">
        <w:t xml:space="preserve">[37] D. R. Jones, </w:t>
      </w:r>
      <w:r w:rsidRPr="00D12C1D">
        <w:rPr>
          <w:i/>
        </w:rPr>
        <w:t>J.Global Optim.</w:t>
      </w:r>
      <w:r w:rsidRPr="00D12C1D">
        <w:t xml:space="preserve"> </w:t>
      </w:r>
      <w:r w:rsidRPr="00D12C1D">
        <w:rPr>
          <w:b/>
        </w:rPr>
        <w:t>2001</w:t>
      </w:r>
      <w:r w:rsidRPr="00D12C1D">
        <w:t xml:space="preserve">, </w:t>
      </w:r>
      <w:r w:rsidRPr="00D12C1D">
        <w:rPr>
          <w:i/>
        </w:rPr>
        <w:t>21</w:t>
      </w:r>
      <w:r w:rsidRPr="00D12C1D">
        <w:t>, 345.</w:t>
      </w:r>
    </w:p>
    <w:p w14:paraId="22ABDEE5" w14:textId="77777777" w:rsidR="00D12C1D" w:rsidRPr="00D12C1D" w:rsidRDefault="00D12C1D" w:rsidP="0080232C">
      <w:pPr>
        <w:pStyle w:val="EndNoteBibliography"/>
        <w:spacing w:after="0" w:line="360" w:lineRule="auto"/>
        <w:ind w:left="720" w:hanging="720"/>
      </w:pPr>
      <w:r w:rsidRPr="00D12C1D">
        <w:t xml:space="preserve">[38] D. R. Jones, M. Schonlau and W. J. Welch, </w:t>
      </w:r>
      <w:r w:rsidRPr="00D12C1D">
        <w:rPr>
          <w:i/>
        </w:rPr>
        <w:t>J.Global Optim.</w:t>
      </w:r>
      <w:r w:rsidRPr="00D12C1D">
        <w:t xml:space="preserve"> </w:t>
      </w:r>
      <w:r w:rsidRPr="00D12C1D">
        <w:rPr>
          <w:b/>
        </w:rPr>
        <w:t>1998</w:t>
      </w:r>
      <w:r w:rsidRPr="00D12C1D">
        <w:t xml:space="preserve">, </w:t>
      </w:r>
      <w:r w:rsidRPr="00D12C1D">
        <w:rPr>
          <w:i/>
        </w:rPr>
        <w:t>13</w:t>
      </w:r>
      <w:r w:rsidRPr="00D12C1D">
        <w:t>, 455.</w:t>
      </w:r>
    </w:p>
    <w:p w14:paraId="1FA4E6E7" w14:textId="77777777" w:rsidR="00D12C1D" w:rsidRPr="00D12C1D" w:rsidRDefault="00D12C1D" w:rsidP="0080232C">
      <w:pPr>
        <w:pStyle w:val="EndNoteBibliography"/>
        <w:spacing w:after="0" w:line="360" w:lineRule="auto"/>
        <w:ind w:left="720" w:hanging="720"/>
      </w:pPr>
      <w:r w:rsidRPr="00D12C1D">
        <w:t xml:space="preserve">[39] N. Di Pasquale, S. J. Davie and P. L. A. Popelier, </w:t>
      </w:r>
      <w:r w:rsidRPr="00D12C1D">
        <w:rPr>
          <w:i/>
        </w:rPr>
        <w:t>J.Chem.Theor.Comp.</w:t>
      </w:r>
      <w:r w:rsidRPr="00D12C1D">
        <w:t xml:space="preserve"> </w:t>
      </w:r>
      <w:r w:rsidRPr="00D12C1D">
        <w:rPr>
          <w:b/>
        </w:rPr>
        <w:t>2016</w:t>
      </w:r>
      <w:r w:rsidRPr="00D12C1D">
        <w:t xml:space="preserve">, </w:t>
      </w:r>
      <w:r w:rsidRPr="00D12C1D">
        <w:rPr>
          <w:i/>
        </w:rPr>
        <w:t>12</w:t>
      </w:r>
      <w:r w:rsidRPr="00D12C1D">
        <w:t>, 1499−1513.</w:t>
      </w:r>
    </w:p>
    <w:p w14:paraId="35368DB9" w14:textId="77777777" w:rsidR="00D12C1D" w:rsidRPr="00D12C1D" w:rsidRDefault="00D12C1D" w:rsidP="0080232C">
      <w:pPr>
        <w:pStyle w:val="EndNoteBibliography"/>
        <w:spacing w:after="0" w:line="360" w:lineRule="auto"/>
        <w:ind w:left="720" w:hanging="720"/>
      </w:pPr>
      <w:r w:rsidRPr="00D12C1D">
        <w:t xml:space="preserve">[40] G. M. Laslett, </w:t>
      </w:r>
      <w:r w:rsidRPr="00D12C1D">
        <w:rPr>
          <w:i/>
        </w:rPr>
        <w:t>J.Amer.Stat.Assoc.</w:t>
      </w:r>
      <w:r w:rsidRPr="00D12C1D">
        <w:t xml:space="preserve"> </w:t>
      </w:r>
      <w:r w:rsidRPr="00D12C1D">
        <w:rPr>
          <w:b/>
        </w:rPr>
        <w:t>1994</w:t>
      </w:r>
      <w:r w:rsidRPr="00D12C1D">
        <w:t xml:space="preserve">, </w:t>
      </w:r>
      <w:r w:rsidRPr="00D12C1D">
        <w:rPr>
          <w:i/>
        </w:rPr>
        <w:t>89</w:t>
      </w:r>
      <w:r w:rsidRPr="00D12C1D">
        <w:t>, 391.</w:t>
      </w:r>
    </w:p>
    <w:p w14:paraId="3C1661DD" w14:textId="5D4EDC78" w:rsidR="00D12C1D" w:rsidRPr="00D12C1D" w:rsidRDefault="00D12C1D" w:rsidP="0080232C">
      <w:pPr>
        <w:pStyle w:val="EndNoteBibliography"/>
        <w:spacing w:after="0" w:line="360" w:lineRule="auto"/>
        <w:ind w:left="720" w:hanging="720"/>
      </w:pPr>
      <w:r w:rsidRPr="00D12C1D">
        <w:t xml:space="preserve">[41] T. L. Fletcher, PhD thesis, School of Chemistry, University of Manchester, Great Britain, </w:t>
      </w:r>
      <w:r w:rsidRPr="0080691E">
        <w:rPr>
          <w:b/>
        </w:rPr>
        <w:t>2014.</w:t>
      </w:r>
    </w:p>
    <w:p w14:paraId="56A79AD8" w14:textId="77777777" w:rsidR="00D12C1D" w:rsidRPr="00D12C1D" w:rsidRDefault="00D12C1D" w:rsidP="0080232C">
      <w:pPr>
        <w:pStyle w:val="EndNoteBibliography"/>
        <w:spacing w:line="360" w:lineRule="auto"/>
        <w:ind w:left="720" w:hanging="720"/>
      </w:pPr>
      <w:r w:rsidRPr="00D12C1D">
        <w:t xml:space="preserve">[42] P. Bultinck, R. Vanholme, P. L. A. Popelier, F. De Proft and P. Geerlings, </w:t>
      </w:r>
      <w:r w:rsidRPr="00D12C1D">
        <w:rPr>
          <w:i/>
        </w:rPr>
        <w:t>J.Phys.Chem.A</w:t>
      </w:r>
      <w:r w:rsidRPr="00D12C1D">
        <w:t xml:space="preserve"> </w:t>
      </w:r>
      <w:r w:rsidRPr="00D12C1D">
        <w:rPr>
          <w:b/>
        </w:rPr>
        <w:t>2004</w:t>
      </w:r>
      <w:r w:rsidRPr="00D12C1D">
        <w:t xml:space="preserve">, </w:t>
      </w:r>
      <w:r w:rsidRPr="00D12C1D">
        <w:rPr>
          <w:i/>
        </w:rPr>
        <w:t>108</w:t>
      </w:r>
      <w:r w:rsidRPr="00D12C1D">
        <w:t>, 10359.</w:t>
      </w:r>
    </w:p>
    <w:p w14:paraId="34E18B6E" w14:textId="60311961" w:rsidR="000A3E79" w:rsidRDefault="004D4B19" w:rsidP="0080232C">
      <w:pPr>
        <w:spacing w:after="0" w:line="360" w:lineRule="auto"/>
        <w:ind w:left="720" w:hanging="720"/>
        <w:jc w:val="both"/>
        <w:rPr>
          <w:b/>
          <w:sz w:val="24"/>
        </w:rPr>
      </w:pPr>
      <w:r>
        <w:rPr>
          <w:b/>
          <w:sz w:val="24"/>
        </w:rPr>
        <w:fldChar w:fldCharType="end"/>
      </w:r>
    </w:p>
    <w:sectPr w:rsidR="000A3E79" w:rsidSect="003A256D">
      <w:footerReference w:type="default" r:id="rId2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D91C06" w15:done="0"/>
  <w15:commentEx w15:paraId="251510BC" w15:paraIdParent="75D91C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73AC8" w14:textId="77777777" w:rsidR="002360D0" w:rsidRDefault="002360D0" w:rsidP="0038414F">
      <w:pPr>
        <w:spacing w:after="0" w:line="240" w:lineRule="auto"/>
      </w:pPr>
      <w:r>
        <w:separator/>
      </w:r>
    </w:p>
  </w:endnote>
  <w:endnote w:type="continuationSeparator" w:id="0">
    <w:p w14:paraId="2EFB9E3C" w14:textId="77777777" w:rsidR="002360D0" w:rsidRDefault="002360D0" w:rsidP="0038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yriadPro-Regular">
    <w:altName w:val="Arial Unicode MS"/>
    <w:panose1 w:val="00000000000000000000"/>
    <w:charset w:val="81"/>
    <w:family w:val="auto"/>
    <w:notTrueType/>
    <w:pitch w:val="default"/>
    <w:sig w:usb0="00000001" w:usb1="09060000" w:usb2="00000010" w:usb3="00000000" w:csb0="00080000" w:csb1="00000000"/>
  </w:font>
  <w:font w:name="RMTMI">
    <w:altName w:val="Times New Roman"/>
    <w:panose1 w:val="00000000000000000000"/>
    <w:charset w:val="A1"/>
    <w:family w:val="auto"/>
    <w:notTrueType/>
    <w:pitch w:val="default"/>
    <w:sig w:usb0="00000081" w:usb1="00000000" w:usb2="00000000" w:usb3="00000000" w:csb0="00000008" w:csb1="00000000"/>
  </w:font>
  <w:font w:name="Cambria Math">
    <w:panose1 w:val="02040503050406030204"/>
    <w:charset w:val="00"/>
    <w:family w:val="roman"/>
    <w:pitch w:val="variable"/>
    <w:sig w:usb0="E00002FF" w:usb1="420024FF" w:usb2="00000000" w:usb3="00000000" w:csb0="0000019F" w:csb1="00000000"/>
  </w:font>
  <w:font w:name="MTSY">
    <w:altName w:val="Arial Unicode MS"/>
    <w:panose1 w:val="00000000000000000000"/>
    <w:charset w:val="86"/>
    <w:family w:val="auto"/>
    <w:notTrueType/>
    <w:pitch w:val="default"/>
    <w:sig w:usb0="00000001" w:usb1="080E0000" w:usb2="00000010" w:usb3="00000000" w:csb0="00040000" w:csb1="00000000"/>
  </w:font>
  <w:font w:name="Mathematica1">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270452"/>
      <w:docPartObj>
        <w:docPartGallery w:val="Page Numbers (Bottom of Page)"/>
        <w:docPartUnique/>
      </w:docPartObj>
    </w:sdtPr>
    <w:sdtEndPr>
      <w:rPr>
        <w:noProof/>
      </w:rPr>
    </w:sdtEndPr>
    <w:sdtContent>
      <w:p w14:paraId="56FDD8E4" w14:textId="6D2CC584" w:rsidR="00C45954" w:rsidRDefault="00C45954">
        <w:pPr>
          <w:pStyle w:val="Footer"/>
          <w:jc w:val="center"/>
        </w:pPr>
        <w:r>
          <w:fldChar w:fldCharType="begin"/>
        </w:r>
        <w:r>
          <w:instrText xml:space="preserve"> PAGE   \* MERGEFORMAT </w:instrText>
        </w:r>
        <w:r>
          <w:fldChar w:fldCharType="separate"/>
        </w:r>
        <w:r w:rsidR="006901FC">
          <w:rPr>
            <w:noProof/>
          </w:rPr>
          <w:t>1</w:t>
        </w:r>
        <w:r>
          <w:rPr>
            <w:noProof/>
          </w:rPr>
          <w:fldChar w:fldCharType="end"/>
        </w:r>
      </w:p>
    </w:sdtContent>
  </w:sdt>
  <w:p w14:paraId="63768030" w14:textId="77777777" w:rsidR="00C45954" w:rsidRDefault="00C45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E3537" w14:textId="77777777" w:rsidR="002360D0" w:rsidRDefault="002360D0" w:rsidP="0038414F">
      <w:pPr>
        <w:spacing w:after="0" w:line="240" w:lineRule="auto"/>
      </w:pPr>
      <w:r>
        <w:separator/>
      </w:r>
    </w:p>
  </w:footnote>
  <w:footnote w:type="continuationSeparator" w:id="0">
    <w:p w14:paraId="03C98B97" w14:textId="77777777" w:rsidR="002360D0" w:rsidRDefault="002360D0" w:rsidP="00384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1248A"/>
    <w:multiLevelType w:val="hybridMultilevel"/>
    <w:tmpl w:val="070E2534"/>
    <w:lvl w:ilvl="0" w:tplc="08090001">
      <w:start w:val="1"/>
      <w:numFmt w:val="bullet"/>
      <w:lvlText w:val=""/>
      <w:lvlJc w:val="left"/>
      <w:pPr>
        <w:ind w:left="1762" w:hanging="360"/>
      </w:pPr>
      <w:rPr>
        <w:rFonts w:ascii="Symbol" w:hAnsi="Symbol" w:hint="default"/>
      </w:rPr>
    </w:lvl>
    <w:lvl w:ilvl="1" w:tplc="08090003" w:tentative="1">
      <w:start w:val="1"/>
      <w:numFmt w:val="bullet"/>
      <w:lvlText w:val="o"/>
      <w:lvlJc w:val="left"/>
      <w:pPr>
        <w:ind w:left="2482" w:hanging="360"/>
      </w:pPr>
      <w:rPr>
        <w:rFonts w:ascii="Courier New" w:hAnsi="Courier New" w:cs="Courier New" w:hint="default"/>
      </w:rPr>
    </w:lvl>
    <w:lvl w:ilvl="2" w:tplc="08090005" w:tentative="1">
      <w:start w:val="1"/>
      <w:numFmt w:val="bullet"/>
      <w:lvlText w:val=""/>
      <w:lvlJc w:val="left"/>
      <w:pPr>
        <w:ind w:left="3202" w:hanging="360"/>
      </w:pPr>
      <w:rPr>
        <w:rFonts w:ascii="Wingdings" w:hAnsi="Wingdings" w:hint="default"/>
      </w:rPr>
    </w:lvl>
    <w:lvl w:ilvl="3" w:tplc="08090001" w:tentative="1">
      <w:start w:val="1"/>
      <w:numFmt w:val="bullet"/>
      <w:lvlText w:val=""/>
      <w:lvlJc w:val="left"/>
      <w:pPr>
        <w:ind w:left="3922" w:hanging="360"/>
      </w:pPr>
      <w:rPr>
        <w:rFonts w:ascii="Symbol" w:hAnsi="Symbol" w:hint="default"/>
      </w:rPr>
    </w:lvl>
    <w:lvl w:ilvl="4" w:tplc="08090003" w:tentative="1">
      <w:start w:val="1"/>
      <w:numFmt w:val="bullet"/>
      <w:lvlText w:val="o"/>
      <w:lvlJc w:val="left"/>
      <w:pPr>
        <w:ind w:left="4642" w:hanging="360"/>
      </w:pPr>
      <w:rPr>
        <w:rFonts w:ascii="Courier New" w:hAnsi="Courier New" w:cs="Courier New" w:hint="default"/>
      </w:rPr>
    </w:lvl>
    <w:lvl w:ilvl="5" w:tplc="08090005" w:tentative="1">
      <w:start w:val="1"/>
      <w:numFmt w:val="bullet"/>
      <w:lvlText w:val=""/>
      <w:lvlJc w:val="left"/>
      <w:pPr>
        <w:ind w:left="5362" w:hanging="360"/>
      </w:pPr>
      <w:rPr>
        <w:rFonts w:ascii="Wingdings" w:hAnsi="Wingdings" w:hint="default"/>
      </w:rPr>
    </w:lvl>
    <w:lvl w:ilvl="6" w:tplc="08090001" w:tentative="1">
      <w:start w:val="1"/>
      <w:numFmt w:val="bullet"/>
      <w:lvlText w:val=""/>
      <w:lvlJc w:val="left"/>
      <w:pPr>
        <w:ind w:left="6082" w:hanging="360"/>
      </w:pPr>
      <w:rPr>
        <w:rFonts w:ascii="Symbol" w:hAnsi="Symbol" w:hint="default"/>
      </w:rPr>
    </w:lvl>
    <w:lvl w:ilvl="7" w:tplc="08090003" w:tentative="1">
      <w:start w:val="1"/>
      <w:numFmt w:val="bullet"/>
      <w:lvlText w:val="o"/>
      <w:lvlJc w:val="left"/>
      <w:pPr>
        <w:ind w:left="6802" w:hanging="360"/>
      </w:pPr>
      <w:rPr>
        <w:rFonts w:ascii="Courier New" w:hAnsi="Courier New" w:cs="Courier New" w:hint="default"/>
      </w:rPr>
    </w:lvl>
    <w:lvl w:ilvl="8" w:tplc="08090005" w:tentative="1">
      <w:start w:val="1"/>
      <w:numFmt w:val="bullet"/>
      <w:lvlText w:val=""/>
      <w:lvlJc w:val="left"/>
      <w:pPr>
        <w:ind w:left="7522" w:hanging="360"/>
      </w:pPr>
      <w:rPr>
        <w:rFonts w:ascii="Wingdings" w:hAnsi="Wingdings" w:hint="default"/>
      </w:rPr>
    </w:lvl>
  </w:abstractNum>
  <w:abstractNum w:abstractNumId="1">
    <w:nsid w:val="3C8034D8"/>
    <w:multiLevelType w:val="hybridMultilevel"/>
    <w:tmpl w:val="F328D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4647906"/>
    <w:multiLevelType w:val="hybridMultilevel"/>
    <w:tmpl w:val="A788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E415A1"/>
    <w:multiLevelType w:val="hybridMultilevel"/>
    <w:tmpl w:val="D2D01D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2093253"/>
    <w:multiLevelType w:val="hybridMultilevel"/>
    <w:tmpl w:val="AEB8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2905EF"/>
    <w:multiLevelType w:val="hybridMultilevel"/>
    <w:tmpl w:val="D54ECB1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6EF739B"/>
    <w:multiLevelType w:val="hybridMultilevel"/>
    <w:tmpl w:val="A784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235E96"/>
    <w:multiLevelType w:val="hybridMultilevel"/>
    <w:tmpl w:val="EE70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3"/>
  </w:num>
  <w:num w:numId="6">
    <w:abstractNumId w:val="5"/>
  </w:num>
  <w:num w:numId="7">
    <w:abstractNumId w:val="2"/>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m">
    <w15:presenceInfo w15:providerId="None" w15:userId="T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hemical Society Review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5z50tvn5wv5he905wvarvjr5xzsaxpadra&quot;&gt;group_jan_2017&lt;record-ids&gt;&lt;item&gt;230&lt;/item&gt;&lt;item&gt;484&lt;/item&gt;&lt;item&gt;2763&lt;/item&gt;&lt;item&gt;2881&lt;/item&gt;&lt;item&gt;3088&lt;/item&gt;&lt;item&gt;3633&lt;/item&gt;&lt;item&gt;4019&lt;/item&gt;&lt;item&gt;4127&lt;/item&gt;&lt;item&gt;4134&lt;/item&gt;&lt;item&gt;4208&lt;/item&gt;&lt;item&gt;4235&lt;/item&gt;&lt;item&gt;4237&lt;/item&gt;&lt;item&gt;4241&lt;/item&gt;&lt;item&gt;4542&lt;/item&gt;&lt;item&gt;4557&lt;/item&gt;&lt;item&gt;5627&lt;/item&gt;&lt;item&gt;5628&lt;/item&gt;&lt;item&gt;5912&lt;/item&gt;&lt;item&gt;5957&lt;/item&gt;&lt;item&gt;6173&lt;/item&gt;&lt;item&gt;6587&lt;/item&gt;&lt;item&gt;6641&lt;/item&gt;&lt;item&gt;6773&lt;/item&gt;&lt;item&gt;6783&lt;/item&gt;&lt;item&gt;6912&lt;/item&gt;&lt;item&gt;6913&lt;/item&gt;&lt;item&gt;7003&lt;/item&gt;&lt;item&gt;7073&lt;/item&gt;&lt;item&gt;7077&lt;/item&gt;&lt;item&gt;7079&lt;/item&gt;&lt;item&gt;7094&lt;/item&gt;&lt;item&gt;7104&lt;/item&gt;&lt;item&gt;7105&lt;/item&gt;&lt;item&gt;7108&lt;/item&gt;&lt;item&gt;7471&lt;/item&gt;&lt;item&gt;7568&lt;/item&gt;&lt;item&gt;7685&lt;/item&gt;&lt;item&gt;7688&lt;/item&gt;&lt;item&gt;7747&lt;/item&gt;&lt;item&gt;7766&lt;/item&gt;&lt;item&gt;7986&lt;/item&gt;&lt;item&gt;8057&lt;/item&gt;&lt;/record-ids&gt;&lt;/item&gt;&lt;/Libraries&gt;"/>
  </w:docVars>
  <w:rsids>
    <w:rsidRoot w:val="000F5F4D"/>
    <w:rsid w:val="0000310C"/>
    <w:rsid w:val="00006275"/>
    <w:rsid w:val="000115D2"/>
    <w:rsid w:val="00014B23"/>
    <w:rsid w:val="00027F9E"/>
    <w:rsid w:val="00036FDE"/>
    <w:rsid w:val="00040507"/>
    <w:rsid w:val="00052A5E"/>
    <w:rsid w:val="000553F3"/>
    <w:rsid w:val="00055F78"/>
    <w:rsid w:val="0006072F"/>
    <w:rsid w:val="00060CA3"/>
    <w:rsid w:val="00074421"/>
    <w:rsid w:val="000809E1"/>
    <w:rsid w:val="00084177"/>
    <w:rsid w:val="00090944"/>
    <w:rsid w:val="000949AE"/>
    <w:rsid w:val="000A02C8"/>
    <w:rsid w:val="000A3E79"/>
    <w:rsid w:val="000C0893"/>
    <w:rsid w:val="000D057F"/>
    <w:rsid w:val="000D5C95"/>
    <w:rsid w:val="000D60AE"/>
    <w:rsid w:val="000E387A"/>
    <w:rsid w:val="000E4D31"/>
    <w:rsid w:val="000E761C"/>
    <w:rsid w:val="000F5F4D"/>
    <w:rsid w:val="001046D9"/>
    <w:rsid w:val="00106F2F"/>
    <w:rsid w:val="001113F4"/>
    <w:rsid w:val="00114AF0"/>
    <w:rsid w:val="0011521B"/>
    <w:rsid w:val="001308E4"/>
    <w:rsid w:val="00133829"/>
    <w:rsid w:val="001367A0"/>
    <w:rsid w:val="001375F3"/>
    <w:rsid w:val="00146A83"/>
    <w:rsid w:val="001632A4"/>
    <w:rsid w:val="001754C0"/>
    <w:rsid w:val="00175C10"/>
    <w:rsid w:val="00183247"/>
    <w:rsid w:val="00190904"/>
    <w:rsid w:val="001909CC"/>
    <w:rsid w:val="0019164A"/>
    <w:rsid w:val="00195E80"/>
    <w:rsid w:val="00196916"/>
    <w:rsid w:val="001A01EF"/>
    <w:rsid w:val="001B4562"/>
    <w:rsid w:val="001C54D8"/>
    <w:rsid w:val="001D088E"/>
    <w:rsid w:val="001D0BAB"/>
    <w:rsid w:val="001D126E"/>
    <w:rsid w:val="001F2A67"/>
    <w:rsid w:val="0020249A"/>
    <w:rsid w:val="0020798D"/>
    <w:rsid w:val="0021391F"/>
    <w:rsid w:val="0022203B"/>
    <w:rsid w:val="00232AAD"/>
    <w:rsid w:val="002360D0"/>
    <w:rsid w:val="00236E17"/>
    <w:rsid w:val="00237749"/>
    <w:rsid w:val="00241388"/>
    <w:rsid w:val="002460EA"/>
    <w:rsid w:val="002478BC"/>
    <w:rsid w:val="00255D4E"/>
    <w:rsid w:val="00257C01"/>
    <w:rsid w:val="00266F54"/>
    <w:rsid w:val="00276112"/>
    <w:rsid w:val="00276949"/>
    <w:rsid w:val="00282096"/>
    <w:rsid w:val="00291FC3"/>
    <w:rsid w:val="00295B96"/>
    <w:rsid w:val="002A4964"/>
    <w:rsid w:val="002A4D37"/>
    <w:rsid w:val="002B3313"/>
    <w:rsid w:val="002B42D2"/>
    <w:rsid w:val="002C503F"/>
    <w:rsid w:val="002C61E5"/>
    <w:rsid w:val="002D08B2"/>
    <w:rsid w:val="002D30DD"/>
    <w:rsid w:val="002D36B7"/>
    <w:rsid w:val="002E4C91"/>
    <w:rsid w:val="002F2843"/>
    <w:rsid w:val="00304668"/>
    <w:rsid w:val="00306C62"/>
    <w:rsid w:val="00313343"/>
    <w:rsid w:val="003136E1"/>
    <w:rsid w:val="00317B94"/>
    <w:rsid w:val="00317DB0"/>
    <w:rsid w:val="003273AE"/>
    <w:rsid w:val="003309B1"/>
    <w:rsid w:val="00331131"/>
    <w:rsid w:val="003312DA"/>
    <w:rsid w:val="00332D95"/>
    <w:rsid w:val="003471FB"/>
    <w:rsid w:val="00360E1D"/>
    <w:rsid w:val="00363C9D"/>
    <w:rsid w:val="0038414F"/>
    <w:rsid w:val="003855C2"/>
    <w:rsid w:val="00385604"/>
    <w:rsid w:val="00390453"/>
    <w:rsid w:val="00391071"/>
    <w:rsid w:val="003A01C1"/>
    <w:rsid w:val="003A256D"/>
    <w:rsid w:val="003A35D9"/>
    <w:rsid w:val="003A3C50"/>
    <w:rsid w:val="003B5136"/>
    <w:rsid w:val="003B51D8"/>
    <w:rsid w:val="003C7898"/>
    <w:rsid w:val="003D30AA"/>
    <w:rsid w:val="003D7CE3"/>
    <w:rsid w:val="003E2FDE"/>
    <w:rsid w:val="003E4D56"/>
    <w:rsid w:val="003E679C"/>
    <w:rsid w:val="003F1BE0"/>
    <w:rsid w:val="00405F9E"/>
    <w:rsid w:val="0041116C"/>
    <w:rsid w:val="00416D17"/>
    <w:rsid w:val="00443B53"/>
    <w:rsid w:val="00457DF1"/>
    <w:rsid w:val="00465297"/>
    <w:rsid w:val="0046756F"/>
    <w:rsid w:val="00472737"/>
    <w:rsid w:val="00492091"/>
    <w:rsid w:val="0049244D"/>
    <w:rsid w:val="00494A44"/>
    <w:rsid w:val="0049706A"/>
    <w:rsid w:val="00497A24"/>
    <w:rsid w:val="004A45A5"/>
    <w:rsid w:val="004A4973"/>
    <w:rsid w:val="004D098C"/>
    <w:rsid w:val="004D1F67"/>
    <w:rsid w:val="004D4B19"/>
    <w:rsid w:val="004F68B3"/>
    <w:rsid w:val="004F6DD4"/>
    <w:rsid w:val="00503514"/>
    <w:rsid w:val="00507085"/>
    <w:rsid w:val="00512ECC"/>
    <w:rsid w:val="00514A98"/>
    <w:rsid w:val="005157B7"/>
    <w:rsid w:val="005245A1"/>
    <w:rsid w:val="00525139"/>
    <w:rsid w:val="0052598E"/>
    <w:rsid w:val="00541BD2"/>
    <w:rsid w:val="00546137"/>
    <w:rsid w:val="00572B21"/>
    <w:rsid w:val="00572DAC"/>
    <w:rsid w:val="00575A85"/>
    <w:rsid w:val="005777E6"/>
    <w:rsid w:val="005809C8"/>
    <w:rsid w:val="00581EAC"/>
    <w:rsid w:val="005C0A63"/>
    <w:rsid w:val="005D1AE4"/>
    <w:rsid w:val="005E0B22"/>
    <w:rsid w:val="005E670C"/>
    <w:rsid w:val="005E68B1"/>
    <w:rsid w:val="005F4AB7"/>
    <w:rsid w:val="005F64CF"/>
    <w:rsid w:val="00601BE3"/>
    <w:rsid w:val="00603D00"/>
    <w:rsid w:val="00612431"/>
    <w:rsid w:val="00614F69"/>
    <w:rsid w:val="00635896"/>
    <w:rsid w:val="00637D44"/>
    <w:rsid w:val="006459A4"/>
    <w:rsid w:val="00647A86"/>
    <w:rsid w:val="00653067"/>
    <w:rsid w:val="006541C3"/>
    <w:rsid w:val="00656523"/>
    <w:rsid w:val="0065665D"/>
    <w:rsid w:val="00656714"/>
    <w:rsid w:val="0066683D"/>
    <w:rsid w:val="00671BB0"/>
    <w:rsid w:val="006901BD"/>
    <w:rsid w:val="006901FC"/>
    <w:rsid w:val="006B4B76"/>
    <w:rsid w:val="006B550F"/>
    <w:rsid w:val="006C753A"/>
    <w:rsid w:val="006D021A"/>
    <w:rsid w:val="006D0EAE"/>
    <w:rsid w:val="006D3FF8"/>
    <w:rsid w:val="00700B4A"/>
    <w:rsid w:val="0070627F"/>
    <w:rsid w:val="007077C1"/>
    <w:rsid w:val="007105BB"/>
    <w:rsid w:val="0072035C"/>
    <w:rsid w:val="007206C8"/>
    <w:rsid w:val="007375C1"/>
    <w:rsid w:val="00740A9D"/>
    <w:rsid w:val="0074228A"/>
    <w:rsid w:val="00752A1F"/>
    <w:rsid w:val="0076567E"/>
    <w:rsid w:val="00777854"/>
    <w:rsid w:val="00784AE7"/>
    <w:rsid w:val="007878DB"/>
    <w:rsid w:val="007908FC"/>
    <w:rsid w:val="0079138E"/>
    <w:rsid w:val="00794149"/>
    <w:rsid w:val="007A01B2"/>
    <w:rsid w:val="007B3E53"/>
    <w:rsid w:val="007C0B16"/>
    <w:rsid w:val="007C10AF"/>
    <w:rsid w:val="007C520A"/>
    <w:rsid w:val="007C6371"/>
    <w:rsid w:val="007D23A2"/>
    <w:rsid w:val="007D63C3"/>
    <w:rsid w:val="007E2628"/>
    <w:rsid w:val="007F04C2"/>
    <w:rsid w:val="0080232C"/>
    <w:rsid w:val="0080691E"/>
    <w:rsid w:val="008166AE"/>
    <w:rsid w:val="00816DAF"/>
    <w:rsid w:val="00816F16"/>
    <w:rsid w:val="00820583"/>
    <w:rsid w:val="0082517C"/>
    <w:rsid w:val="008304A8"/>
    <w:rsid w:val="008342AE"/>
    <w:rsid w:val="00835F0D"/>
    <w:rsid w:val="008415BE"/>
    <w:rsid w:val="0085584F"/>
    <w:rsid w:val="00874B91"/>
    <w:rsid w:val="00875E5E"/>
    <w:rsid w:val="00883593"/>
    <w:rsid w:val="00892DDA"/>
    <w:rsid w:val="00895BBE"/>
    <w:rsid w:val="008A63FF"/>
    <w:rsid w:val="008B027E"/>
    <w:rsid w:val="008B1C48"/>
    <w:rsid w:val="008C02DC"/>
    <w:rsid w:val="008C2D52"/>
    <w:rsid w:val="008C33E6"/>
    <w:rsid w:val="008D31CF"/>
    <w:rsid w:val="008E1B55"/>
    <w:rsid w:val="0090649C"/>
    <w:rsid w:val="00914C1F"/>
    <w:rsid w:val="00915931"/>
    <w:rsid w:val="009228E9"/>
    <w:rsid w:val="009250DA"/>
    <w:rsid w:val="009263EF"/>
    <w:rsid w:val="009279E9"/>
    <w:rsid w:val="009325BB"/>
    <w:rsid w:val="0094666A"/>
    <w:rsid w:val="0095631F"/>
    <w:rsid w:val="00956DB4"/>
    <w:rsid w:val="0096245A"/>
    <w:rsid w:val="009638AC"/>
    <w:rsid w:val="00964241"/>
    <w:rsid w:val="00966F22"/>
    <w:rsid w:val="00971771"/>
    <w:rsid w:val="009824A3"/>
    <w:rsid w:val="009907B7"/>
    <w:rsid w:val="009A4736"/>
    <w:rsid w:val="009B7A35"/>
    <w:rsid w:val="009C0370"/>
    <w:rsid w:val="009C1D50"/>
    <w:rsid w:val="009C57F7"/>
    <w:rsid w:val="009E285E"/>
    <w:rsid w:val="009E3D2C"/>
    <w:rsid w:val="009F082C"/>
    <w:rsid w:val="00A03C45"/>
    <w:rsid w:val="00A04760"/>
    <w:rsid w:val="00A05DB9"/>
    <w:rsid w:val="00A119A3"/>
    <w:rsid w:val="00A179CC"/>
    <w:rsid w:val="00A224A3"/>
    <w:rsid w:val="00A41D0F"/>
    <w:rsid w:val="00A4303D"/>
    <w:rsid w:val="00A43F74"/>
    <w:rsid w:val="00A4498C"/>
    <w:rsid w:val="00A54053"/>
    <w:rsid w:val="00A67EF4"/>
    <w:rsid w:val="00A70E9D"/>
    <w:rsid w:val="00A74E42"/>
    <w:rsid w:val="00A80CDA"/>
    <w:rsid w:val="00AB24C9"/>
    <w:rsid w:val="00AD1A5D"/>
    <w:rsid w:val="00AE3D67"/>
    <w:rsid w:val="00B02C25"/>
    <w:rsid w:val="00B054AB"/>
    <w:rsid w:val="00B0769E"/>
    <w:rsid w:val="00B105FC"/>
    <w:rsid w:val="00B136A3"/>
    <w:rsid w:val="00B21276"/>
    <w:rsid w:val="00B21658"/>
    <w:rsid w:val="00B27009"/>
    <w:rsid w:val="00B27AAB"/>
    <w:rsid w:val="00B47576"/>
    <w:rsid w:val="00B51EA8"/>
    <w:rsid w:val="00B529AE"/>
    <w:rsid w:val="00B53813"/>
    <w:rsid w:val="00B55EBF"/>
    <w:rsid w:val="00B57D49"/>
    <w:rsid w:val="00B64ADE"/>
    <w:rsid w:val="00B7472D"/>
    <w:rsid w:val="00B76CEE"/>
    <w:rsid w:val="00B855C4"/>
    <w:rsid w:val="00B855CF"/>
    <w:rsid w:val="00BB1EBD"/>
    <w:rsid w:val="00BB2351"/>
    <w:rsid w:val="00BB24A4"/>
    <w:rsid w:val="00BB53D6"/>
    <w:rsid w:val="00BC1B3B"/>
    <w:rsid w:val="00BC2A08"/>
    <w:rsid w:val="00BF7E65"/>
    <w:rsid w:val="00C015CE"/>
    <w:rsid w:val="00C02970"/>
    <w:rsid w:val="00C176B9"/>
    <w:rsid w:val="00C220E4"/>
    <w:rsid w:val="00C26927"/>
    <w:rsid w:val="00C44705"/>
    <w:rsid w:val="00C45954"/>
    <w:rsid w:val="00C46791"/>
    <w:rsid w:val="00C520B0"/>
    <w:rsid w:val="00C552D9"/>
    <w:rsid w:val="00C60216"/>
    <w:rsid w:val="00C60C50"/>
    <w:rsid w:val="00C6425F"/>
    <w:rsid w:val="00C75D0F"/>
    <w:rsid w:val="00C82A63"/>
    <w:rsid w:val="00C834CD"/>
    <w:rsid w:val="00C85953"/>
    <w:rsid w:val="00C9569A"/>
    <w:rsid w:val="00CD3B92"/>
    <w:rsid w:val="00CD66C0"/>
    <w:rsid w:val="00CE1E7D"/>
    <w:rsid w:val="00CF1016"/>
    <w:rsid w:val="00CF453A"/>
    <w:rsid w:val="00CF717C"/>
    <w:rsid w:val="00D00D3F"/>
    <w:rsid w:val="00D0356F"/>
    <w:rsid w:val="00D10DFB"/>
    <w:rsid w:val="00D123FA"/>
    <w:rsid w:val="00D12C1D"/>
    <w:rsid w:val="00D1589A"/>
    <w:rsid w:val="00D2182A"/>
    <w:rsid w:val="00D239C1"/>
    <w:rsid w:val="00D24CFD"/>
    <w:rsid w:val="00D26E48"/>
    <w:rsid w:val="00D3496A"/>
    <w:rsid w:val="00D37A96"/>
    <w:rsid w:val="00D4034E"/>
    <w:rsid w:val="00D43DB1"/>
    <w:rsid w:val="00D441D0"/>
    <w:rsid w:val="00D55B8D"/>
    <w:rsid w:val="00D6753D"/>
    <w:rsid w:val="00D70A58"/>
    <w:rsid w:val="00D7211C"/>
    <w:rsid w:val="00D73B61"/>
    <w:rsid w:val="00D763FF"/>
    <w:rsid w:val="00DA1296"/>
    <w:rsid w:val="00DA74E9"/>
    <w:rsid w:val="00DB52B3"/>
    <w:rsid w:val="00DB5408"/>
    <w:rsid w:val="00DB616B"/>
    <w:rsid w:val="00DC341D"/>
    <w:rsid w:val="00DD3A20"/>
    <w:rsid w:val="00DD6CAB"/>
    <w:rsid w:val="00DE0945"/>
    <w:rsid w:val="00DE7324"/>
    <w:rsid w:val="00E03460"/>
    <w:rsid w:val="00E12E98"/>
    <w:rsid w:val="00E13B35"/>
    <w:rsid w:val="00E1551A"/>
    <w:rsid w:val="00E1627E"/>
    <w:rsid w:val="00E20517"/>
    <w:rsid w:val="00E31C95"/>
    <w:rsid w:val="00E40088"/>
    <w:rsid w:val="00E4525D"/>
    <w:rsid w:val="00E4781D"/>
    <w:rsid w:val="00E87E89"/>
    <w:rsid w:val="00EB0F82"/>
    <w:rsid w:val="00EC08E1"/>
    <w:rsid w:val="00EC2B74"/>
    <w:rsid w:val="00ED5485"/>
    <w:rsid w:val="00EE6697"/>
    <w:rsid w:val="00F01093"/>
    <w:rsid w:val="00F03B70"/>
    <w:rsid w:val="00F2085F"/>
    <w:rsid w:val="00F2278C"/>
    <w:rsid w:val="00F250A1"/>
    <w:rsid w:val="00F42389"/>
    <w:rsid w:val="00F573A2"/>
    <w:rsid w:val="00F71DC0"/>
    <w:rsid w:val="00F73C80"/>
    <w:rsid w:val="00F80FB0"/>
    <w:rsid w:val="00F83225"/>
    <w:rsid w:val="00F943D7"/>
    <w:rsid w:val="00F969D0"/>
    <w:rsid w:val="00FA3419"/>
    <w:rsid w:val="00FB06E6"/>
    <w:rsid w:val="00FC787C"/>
    <w:rsid w:val="00FD00FA"/>
    <w:rsid w:val="00FD029A"/>
    <w:rsid w:val="00FD2027"/>
    <w:rsid w:val="00FF6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B0E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1CF"/>
    <w:rPr>
      <w:rFonts w:ascii="Tahoma" w:hAnsi="Tahoma" w:cs="Tahoma"/>
      <w:sz w:val="16"/>
      <w:szCs w:val="16"/>
    </w:rPr>
  </w:style>
  <w:style w:type="paragraph" w:styleId="Header">
    <w:name w:val="header"/>
    <w:basedOn w:val="Normal"/>
    <w:link w:val="HeaderChar"/>
    <w:uiPriority w:val="99"/>
    <w:unhideWhenUsed/>
    <w:rsid w:val="00384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14F"/>
  </w:style>
  <w:style w:type="paragraph" w:styleId="Footer">
    <w:name w:val="footer"/>
    <w:basedOn w:val="Normal"/>
    <w:link w:val="FooterChar"/>
    <w:uiPriority w:val="99"/>
    <w:unhideWhenUsed/>
    <w:rsid w:val="00384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14F"/>
  </w:style>
  <w:style w:type="paragraph" w:styleId="ListParagraph">
    <w:name w:val="List Paragraph"/>
    <w:basedOn w:val="Normal"/>
    <w:uiPriority w:val="34"/>
    <w:qFormat/>
    <w:rsid w:val="00A67EF4"/>
    <w:pPr>
      <w:ind w:left="720"/>
      <w:contextualSpacing/>
    </w:pPr>
  </w:style>
  <w:style w:type="table" w:styleId="TableGrid">
    <w:name w:val="Table Grid"/>
    <w:basedOn w:val="TableNormal"/>
    <w:uiPriority w:val="59"/>
    <w:rsid w:val="00E15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0769E"/>
    <w:rPr>
      <w:color w:val="808080"/>
    </w:rPr>
  </w:style>
  <w:style w:type="character" w:styleId="Hyperlink">
    <w:name w:val="Hyperlink"/>
    <w:basedOn w:val="DefaultParagraphFont"/>
    <w:uiPriority w:val="99"/>
    <w:unhideWhenUsed/>
    <w:rsid w:val="00331131"/>
    <w:rPr>
      <w:color w:val="0000FF" w:themeColor="hyperlink"/>
      <w:u w:val="single"/>
    </w:rPr>
  </w:style>
  <w:style w:type="paragraph" w:customStyle="1" w:styleId="EndNoteBibliographyTitle">
    <w:name w:val="EndNote Bibliography Title"/>
    <w:basedOn w:val="Normal"/>
    <w:link w:val="EndNoteBibliographyTitleChar"/>
    <w:rsid w:val="00784AE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84AE7"/>
    <w:rPr>
      <w:rFonts w:ascii="Calibri" w:hAnsi="Calibri"/>
      <w:noProof/>
      <w:lang w:val="en-US"/>
    </w:rPr>
  </w:style>
  <w:style w:type="paragraph" w:customStyle="1" w:styleId="EndNoteBibliography">
    <w:name w:val="EndNote Bibliography"/>
    <w:basedOn w:val="Normal"/>
    <w:link w:val="EndNoteBibliographyChar"/>
    <w:rsid w:val="00784AE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84AE7"/>
    <w:rPr>
      <w:rFonts w:ascii="Calibri" w:hAnsi="Calibri"/>
      <w:noProof/>
      <w:lang w:val="en-US"/>
    </w:rPr>
  </w:style>
  <w:style w:type="character" w:styleId="CommentReference">
    <w:name w:val="annotation reference"/>
    <w:basedOn w:val="DefaultParagraphFont"/>
    <w:uiPriority w:val="99"/>
    <w:semiHidden/>
    <w:unhideWhenUsed/>
    <w:rsid w:val="007C10AF"/>
    <w:rPr>
      <w:sz w:val="16"/>
      <w:szCs w:val="16"/>
    </w:rPr>
  </w:style>
  <w:style w:type="paragraph" w:styleId="CommentText">
    <w:name w:val="annotation text"/>
    <w:basedOn w:val="Normal"/>
    <w:link w:val="CommentTextChar"/>
    <w:uiPriority w:val="99"/>
    <w:semiHidden/>
    <w:unhideWhenUsed/>
    <w:rsid w:val="007C10AF"/>
    <w:pPr>
      <w:spacing w:line="240" w:lineRule="auto"/>
    </w:pPr>
    <w:rPr>
      <w:sz w:val="20"/>
      <w:szCs w:val="20"/>
    </w:rPr>
  </w:style>
  <w:style w:type="character" w:customStyle="1" w:styleId="CommentTextChar">
    <w:name w:val="Comment Text Char"/>
    <w:basedOn w:val="DefaultParagraphFont"/>
    <w:link w:val="CommentText"/>
    <w:uiPriority w:val="99"/>
    <w:semiHidden/>
    <w:rsid w:val="007C10AF"/>
    <w:rPr>
      <w:sz w:val="20"/>
      <w:szCs w:val="20"/>
    </w:rPr>
  </w:style>
  <w:style w:type="paragraph" w:styleId="CommentSubject">
    <w:name w:val="annotation subject"/>
    <w:basedOn w:val="CommentText"/>
    <w:next w:val="CommentText"/>
    <w:link w:val="CommentSubjectChar"/>
    <w:uiPriority w:val="99"/>
    <w:semiHidden/>
    <w:unhideWhenUsed/>
    <w:rsid w:val="007C10AF"/>
    <w:rPr>
      <w:b/>
      <w:bCs/>
    </w:rPr>
  </w:style>
  <w:style w:type="character" w:customStyle="1" w:styleId="CommentSubjectChar">
    <w:name w:val="Comment Subject Char"/>
    <w:basedOn w:val="CommentTextChar"/>
    <w:link w:val="CommentSubject"/>
    <w:uiPriority w:val="99"/>
    <w:semiHidden/>
    <w:rsid w:val="007C10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1CF"/>
    <w:rPr>
      <w:rFonts w:ascii="Tahoma" w:hAnsi="Tahoma" w:cs="Tahoma"/>
      <w:sz w:val="16"/>
      <w:szCs w:val="16"/>
    </w:rPr>
  </w:style>
  <w:style w:type="paragraph" w:styleId="Header">
    <w:name w:val="header"/>
    <w:basedOn w:val="Normal"/>
    <w:link w:val="HeaderChar"/>
    <w:uiPriority w:val="99"/>
    <w:unhideWhenUsed/>
    <w:rsid w:val="00384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14F"/>
  </w:style>
  <w:style w:type="paragraph" w:styleId="Footer">
    <w:name w:val="footer"/>
    <w:basedOn w:val="Normal"/>
    <w:link w:val="FooterChar"/>
    <w:uiPriority w:val="99"/>
    <w:unhideWhenUsed/>
    <w:rsid w:val="00384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14F"/>
  </w:style>
  <w:style w:type="paragraph" w:styleId="ListParagraph">
    <w:name w:val="List Paragraph"/>
    <w:basedOn w:val="Normal"/>
    <w:uiPriority w:val="34"/>
    <w:qFormat/>
    <w:rsid w:val="00A67EF4"/>
    <w:pPr>
      <w:ind w:left="720"/>
      <w:contextualSpacing/>
    </w:pPr>
  </w:style>
  <w:style w:type="table" w:styleId="TableGrid">
    <w:name w:val="Table Grid"/>
    <w:basedOn w:val="TableNormal"/>
    <w:uiPriority w:val="59"/>
    <w:rsid w:val="00E15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0769E"/>
    <w:rPr>
      <w:color w:val="808080"/>
    </w:rPr>
  </w:style>
  <w:style w:type="character" w:styleId="Hyperlink">
    <w:name w:val="Hyperlink"/>
    <w:basedOn w:val="DefaultParagraphFont"/>
    <w:uiPriority w:val="99"/>
    <w:unhideWhenUsed/>
    <w:rsid w:val="00331131"/>
    <w:rPr>
      <w:color w:val="0000FF" w:themeColor="hyperlink"/>
      <w:u w:val="single"/>
    </w:rPr>
  </w:style>
  <w:style w:type="paragraph" w:customStyle="1" w:styleId="EndNoteBibliographyTitle">
    <w:name w:val="EndNote Bibliography Title"/>
    <w:basedOn w:val="Normal"/>
    <w:link w:val="EndNoteBibliographyTitleChar"/>
    <w:rsid w:val="00784AE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84AE7"/>
    <w:rPr>
      <w:rFonts w:ascii="Calibri" w:hAnsi="Calibri"/>
      <w:noProof/>
      <w:lang w:val="en-US"/>
    </w:rPr>
  </w:style>
  <w:style w:type="paragraph" w:customStyle="1" w:styleId="EndNoteBibliography">
    <w:name w:val="EndNote Bibliography"/>
    <w:basedOn w:val="Normal"/>
    <w:link w:val="EndNoteBibliographyChar"/>
    <w:rsid w:val="00784AE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84AE7"/>
    <w:rPr>
      <w:rFonts w:ascii="Calibri" w:hAnsi="Calibri"/>
      <w:noProof/>
      <w:lang w:val="en-US"/>
    </w:rPr>
  </w:style>
  <w:style w:type="character" w:styleId="CommentReference">
    <w:name w:val="annotation reference"/>
    <w:basedOn w:val="DefaultParagraphFont"/>
    <w:uiPriority w:val="99"/>
    <w:semiHidden/>
    <w:unhideWhenUsed/>
    <w:rsid w:val="007C10AF"/>
    <w:rPr>
      <w:sz w:val="16"/>
      <w:szCs w:val="16"/>
    </w:rPr>
  </w:style>
  <w:style w:type="paragraph" w:styleId="CommentText">
    <w:name w:val="annotation text"/>
    <w:basedOn w:val="Normal"/>
    <w:link w:val="CommentTextChar"/>
    <w:uiPriority w:val="99"/>
    <w:semiHidden/>
    <w:unhideWhenUsed/>
    <w:rsid w:val="007C10AF"/>
    <w:pPr>
      <w:spacing w:line="240" w:lineRule="auto"/>
    </w:pPr>
    <w:rPr>
      <w:sz w:val="20"/>
      <w:szCs w:val="20"/>
    </w:rPr>
  </w:style>
  <w:style w:type="character" w:customStyle="1" w:styleId="CommentTextChar">
    <w:name w:val="Comment Text Char"/>
    <w:basedOn w:val="DefaultParagraphFont"/>
    <w:link w:val="CommentText"/>
    <w:uiPriority w:val="99"/>
    <w:semiHidden/>
    <w:rsid w:val="007C10AF"/>
    <w:rPr>
      <w:sz w:val="20"/>
      <w:szCs w:val="20"/>
    </w:rPr>
  </w:style>
  <w:style w:type="paragraph" w:styleId="CommentSubject">
    <w:name w:val="annotation subject"/>
    <w:basedOn w:val="CommentText"/>
    <w:next w:val="CommentText"/>
    <w:link w:val="CommentSubjectChar"/>
    <w:uiPriority w:val="99"/>
    <w:semiHidden/>
    <w:unhideWhenUsed/>
    <w:rsid w:val="007C10AF"/>
    <w:rPr>
      <w:b/>
      <w:bCs/>
    </w:rPr>
  </w:style>
  <w:style w:type="character" w:customStyle="1" w:styleId="CommentSubjectChar">
    <w:name w:val="Comment Subject Char"/>
    <w:basedOn w:val="CommentTextChar"/>
    <w:link w:val="CommentSubject"/>
    <w:uiPriority w:val="99"/>
    <w:semiHidden/>
    <w:rsid w:val="007C10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174561">
      <w:bodyDiv w:val="1"/>
      <w:marLeft w:val="0"/>
      <w:marRight w:val="0"/>
      <w:marTop w:val="0"/>
      <w:marBottom w:val="0"/>
      <w:divBdr>
        <w:top w:val="none" w:sz="0" w:space="0" w:color="auto"/>
        <w:left w:val="none" w:sz="0" w:space="0" w:color="auto"/>
        <w:bottom w:val="none" w:sz="0" w:space="0" w:color="auto"/>
        <w:right w:val="none" w:sz="0" w:space="0" w:color="auto"/>
      </w:divBdr>
    </w:div>
    <w:div w:id="212588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4.bin"/><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hyperlink" Target="mailto:pla@manchester.ac.uk" TargetMode="External"/><Relationship Id="rId14" Type="http://schemas.openxmlformats.org/officeDocument/2006/relationships/oleObject" Target="embeddings/oleObject2.bin"/><Relationship Id="rId22" Type="http://schemas.openxmlformats.org/officeDocument/2006/relationships/image" Target="media/image9.png"/><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5E4AF-5211-4A07-A0C6-9792FF13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12440</Words>
  <Characters>70909</Characters>
  <Application>Microsoft Office Word</Application>
  <DocSecurity>4</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Fletcher</dc:creator>
  <cp:lastModifiedBy>Traceyanne Sinclair</cp:lastModifiedBy>
  <cp:revision>2</cp:revision>
  <cp:lastPrinted>2016-12-19T09:34:00Z</cp:lastPrinted>
  <dcterms:created xsi:type="dcterms:W3CDTF">2017-02-14T10:29:00Z</dcterms:created>
  <dcterms:modified xsi:type="dcterms:W3CDTF">2017-02-14T10:29:00Z</dcterms:modified>
</cp:coreProperties>
</file>