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F9" w:rsidRDefault="004157F9" w:rsidP="002C0871">
      <w:pPr>
        <w:pStyle w:val="papertitle"/>
      </w:pPr>
      <w:r>
        <w:t>Extending the Technology Enhanced Accessible Interaction Framework Method for Thai Visually Impaired People</w:t>
      </w:r>
    </w:p>
    <w:p w:rsidR="004157F9" w:rsidRDefault="004157F9" w:rsidP="002C0871">
      <w:pPr>
        <w:pStyle w:val="author"/>
      </w:pPr>
      <w:proofErr w:type="spellStart"/>
      <w:r>
        <w:t>Kewalin</w:t>
      </w:r>
      <w:proofErr w:type="spellEnd"/>
      <w:r>
        <w:t xml:space="preserve"> Ankananon</w:t>
      </w:r>
      <w:r w:rsidRPr="002C0871">
        <w:rPr>
          <w:vertAlign w:val="superscript"/>
        </w:rPr>
        <w:t>1</w:t>
      </w:r>
      <w:r>
        <w:t xml:space="preserve"> </w:t>
      </w:r>
      <w:r w:rsidR="002C0871">
        <w:t xml:space="preserve">and </w:t>
      </w:r>
      <w:r>
        <w:t>Mike Wald</w:t>
      </w:r>
      <w:r w:rsidRPr="002C0871">
        <w:rPr>
          <w:vertAlign w:val="superscript"/>
        </w:rPr>
        <w:t>2</w:t>
      </w:r>
      <w:r>
        <w:t xml:space="preserve"> </w:t>
      </w:r>
    </w:p>
    <w:p w:rsidR="004157F9" w:rsidRDefault="004157F9" w:rsidP="002C0871">
      <w:pPr>
        <w:pStyle w:val="address"/>
      </w:pPr>
      <w:r w:rsidRPr="002C0871">
        <w:rPr>
          <w:vertAlign w:val="superscript"/>
        </w:rPr>
        <w:t>1</w:t>
      </w:r>
      <w:r>
        <w:t xml:space="preserve">Suratthani </w:t>
      </w:r>
      <w:proofErr w:type="spellStart"/>
      <w:r>
        <w:t>Rajabhat</w:t>
      </w:r>
      <w:proofErr w:type="spellEnd"/>
      <w:r>
        <w:t xml:space="preserve"> University Thailand</w:t>
      </w:r>
    </w:p>
    <w:p w:rsidR="004157F9" w:rsidRPr="002C0871" w:rsidRDefault="004157F9" w:rsidP="002C0871">
      <w:pPr>
        <w:pStyle w:val="address"/>
        <w:rPr>
          <w:rStyle w:val="e-mail"/>
        </w:rPr>
      </w:pPr>
      <w:r w:rsidRPr="002C0871">
        <w:rPr>
          <w:rStyle w:val="e-mail"/>
        </w:rPr>
        <w:t>pla_u@hotmail.com</w:t>
      </w:r>
    </w:p>
    <w:p w:rsidR="004157F9" w:rsidRDefault="004157F9" w:rsidP="002C0871">
      <w:pPr>
        <w:pStyle w:val="address"/>
      </w:pPr>
      <w:r w:rsidRPr="002C0871">
        <w:rPr>
          <w:vertAlign w:val="superscript"/>
        </w:rPr>
        <w:t>2</w:t>
      </w:r>
      <w:r>
        <w:t>ECS, University of Southampton, UK</w:t>
      </w:r>
    </w:p>
    <w:p w:rsidR="004157F9" w:rsidRPr="002C0871" w:rsidRDefault="004157F9" w:rsidP="002C0871">
      <w:pPr>
        <w:pStyle w:val="address"/>
        <w:rPr>
          <w:rStyle w:val="e-mail"/>
        </w:rPr>
      </w:pPr>
      <w:r>
        <w:t xml:space="preserve"> </w:t>
      </w:r>
      <w:r w:rsidRPr="002C0871">
        <w:rPr>
          <w:rStyle w:val="e-mail"/>
        </w:rPr>
        <w:t>m.wald@soton.ac.uk</w:t>
      </w:r>
    </w:p>
    <w:p w:rsidR="004157F9" w:rsidRDefault="004157F9" w:rsidP="002C0871">
      <w:pPr>
        <w:pStyle w:val="abstract"/>
        <w:spacing w:after="0"/>
        <w:ind w:firstLine="0"/>
      </w:pPr>
      <w:r w:rsidRPr="002C0871">
        <w:rPr>
          <w:b/>
        </w:rPr>
        <w:t>Abstract</w:t>
      </w:r>
      <w:r w:rsidR="002C0871" w:rsidRPr="002C0871">
        <w:rPr>
          <w:b/>
        </w:rPr>
        <w:t>.</w:t>
      </w:r>
      <w:r>
        <w:t xml:space="preserve"> This paper focuses on extending the Technology Enhanced Accessible Interaction Framework Method for visual impairment based on interviews with people with visual impairment to help developers develop accessible technology solutions to help people with visual impairment to interact with people, technologies and objects. </w:t>
      </w:r>
    </w:p>
    <w:p w:rsidR="004157F9" w:rsidRDefault="004157F9" w:rsidP="002C0871">
      <w:pPr>
        <w:pStyle w:val="keywords"/>
      </w:pPr>
      <w:r w:rsidRPr="002C0871">
        <w:rPr>
          <w:b/>
        </w:rPr>
        <w:t>Keywords:</w:t>
      </w:r>
      <w:r>
        <w:t xml:space="preserve"> Accessible </w:t>
      </w:r>
      <w:proofErr w:type="spellStart"/>
      <w:r>
        <w:t>Interaction·Visual</w:t>
      </w:r>
      <w:proofErr w:type="spellEnd"/>
      <w:r>
        <w:t xml:space="preserve"> </w:t>
      </w:r>
      <w:proofErr w:type="spellStart"/>
      <w:r>
        <w:t>Impairment·Thailand</w:t>
      </w:r>
      <w:proofErr w:type="spellEnd"/>
    </w:p>
    <w:p w:rsidR="004157F9" w:rsidRDefault="004157F9" w:rsidP="002C0871">
      <w:pPr>
        <w:pStyle w:val="heading1"/>
      </w:pPr>
      <w:r>
        <w:t>Introduction</w:t>
      </w:r>
    </w:p>
    <w:p w:rsidR="004157F9" w:rsidRPr="001F291B" w:rsidRDefault="004157F9" w:rsidP="001F291B">
      <w:pPr>
        <w:pStyle w:val="p1a"/>
      </w:pPr>
      <w:r w:rsidRPr="001F291B">
        <w:t>The motivation for this research is the lack of a method to help developers with the gathering or evaluation of requirements and the design or evaluation of technology solutions to accessible interactions between people, technology, and objects in face-to-face situations involving visually impaired people in Thailand. Nearly 11% of Thailand’s registered disabled population had a visual impairment in 1996 and the National Statistics Office 2007 data estimating nearly two million women and men in Thailand, or approximately 3 per cent of the populat</w:t>
      </w:r>
      <w:r w:rsidR="001F291B" w:rsidRPr="001F291B">
        <w:t>ion, had a disability would sug</w:t>
      </w:r>
      <w:r w:rsidRPr="001F291B">
        <w:t>gest 220,000 people had a registered visual impairment</w:t>
      </w:r>
      <w:r w:rsidR="00765213">
        <w:rPr>
          <w:rStyle w:val="FootnoteReference"/>
        </w:rPr>
        <w:footnoteReference w:id="1"/>
      </w:r>
      <w:r w:rsidRPr="001F291B">
        <w:t xml:space="preserve">.  There are 20 visually </w:t>
      </w:r>
      <w:proofErr w:type="spellStart"/>
      <w:r w:rsidRPr="001F291B">
        <w:t>im</w:t>
      </w:r>
      <w:proofErr w:type="spellEnd"/>
      <w:r w:rsidRPr="001F291B">
        <w:t xml:space="preserve">-paired students at </w:t>
      </w:r>
      <w:proofErr w:type="spellStart"/>
      <w:r w:rsidRPr="001F291B">
        <w:t>Suratthani</w:t>
      </w:r>
      <w:proofErr w:type="spellEnd"/>
      <w:r w:rsidRPr="001F291B">
        <w:t xml:space="preserve"> </w:t>
      </w:r>
      <w:proofErr w:type="spellStart"/>
      <w:r w:rsidRPr="001F291B">
        <w:t>Rajabhat</w:t>
      </w:r>
      <w:proofErr w:type="spellEnd"/>
      <w:r w:rsidRPr="001F291B">
        <w:t xml:space="preserve"> Universit</w:t>
      </w:r>
      <w:r w:rsidR="001F291B" w:rsidRPr="001F291B">
        <w:t>y Thailand who have problems ac</w:t>
      </w:r>
      <w:r w:rsidRPr="001F291B">
        <w:t>cessing information presented visually in classes, tutorials or lectures. For example they find difficulty reading from a board or screen and understanding what is being pointed at. In order to reduce discrimination in access to information technology developers need to produce accessible solutions while the university should also provide an accessible learning environment and the lecturers should provide accessible documents and be trained to teach in an accessible way.</w:t>
      </w:r>
    </w:p>
    <w:p w:rsidR="004157F9" w:rsidRDefault="004157F9" w:rsidP="001F291B">
      <w:pPr>
        <w:pStyle w:val="heading1"/>
      </w:pPr>
      <w:r>
        <w:lastRenderedPageBreak/>
        <w:t>Literature Review</w:t>
      </w:r>
    </w:p>
    <w:p w:rsidR="004157F9" w:rsidRPr="001F291B" w:rsidRDefault="004157F9" w:rsidP="001F291B">
      <w:pPr>
        <w:pStyle w:val="p1a"/>
      </w:pPr>
      <w:r w:rsidRPr="001F291B">
        <w:t xml:space="preserve">There has been some research into technologies to help blind students in lectures. </w:t>
      </w:r>
      <w:proofErr w:type="spellStart"/>
      <w:r w:rsidRPr="001F291B">
        <w:t>Quek</w:t>
      </w:r>
      <w:proofErr w:type="spellEnd"/>
      <w:r w:rsidRPr="001F291B">
        <w:t xml:space="preserve"> and </w:t>
      </w:r>
      <w:proofErr w:type="spellStart"/>
      <w:r w:rsidRPr="001F291B">
        <w:t>Olivereira</w:t>
      </w:r>
      <w:proofErr w:type="spellEnd"/>
      <w:r w:rsidRPr="001F291B">
        <w:t xml:space="preserve"> [2] trained blind students to use a haptic glove with a raised line version of a diagram and computer-vision-based tracking to provide awareness of deictic gestures by providing information through the glove to inform the user where on the diagram on the board the teacher was pointing as they spoke. This system required the tactile diagrams to be pre-prepared however many companies are now developing tactile touch screens that could be used in real-time. Freire et al [3] used a mediator to add screen reader accessible text annotations to the electronic images transmitted from a teacher’s drawings on an intera</w:t>
      </w:r>
      <w:r w:rsidR="001F291B" w:rsidRPr="001F291B">
        <w:t>ctive whiteboard. Many technolo</w:t>
      </w:r>
      <w:r w:rsidRPr="001F291B">
        <w:t>gies have been used to assist disabled people and</w:t>
      </w:r>
      <w:r w:rsidR="001F291B" w:rsidRPr="001F291B">
        <w:t xml:space="preserve"> many researchers have been con</w:t>
      </w:r>
      <w:r w:rsidRPr="001F291B">
        <w:t xml:space="preserve">cerned with how to use technology to support some interactions between people (e.g.  [4], [5]). However, until </w:t>
      </w:r>
      <w:proofErr w:type="spellStart"/>
      <w:r w:rsidRPr="001F291B">
        <w:t>Angkananon</w:t>
      </w:r>
      <w:proofErr w:type="spellEnd"/>
      <w:r w:rsidRPr="001F291B">
        <w:t xml:space="preserve"> et al.’s [8] Technology Enhanced Interaction Framework (TEIF) and Method there had been no framework that helped technology developers to consider all of the possible interactions that occur at the same time and in the same place and no method to guide developer</w:t>
      </w:r>
      <w:r w:rsidR="001F291B" w:rsidRPr="001F291B">
        <w:t>s in developing technology solu</w:t>
      </w:r>
      <w:r w:rsidRPr="001F291B">
        <w:t>tions for complex face-to-face situations for people with disabilities. The TEIF Meth-od was only developed and evaluated for hearing im</w:t>
      </w:r>
      <w:r w:rsidR="001F291B" w:rsidRPr="001F291B">
        <w:t>pairment because of time limita</w:t>
      </w:r>
      <w:r w:rsidRPr="001F291B">
        <w:t xml:space="preserve">tions of the PhD research study. Therefore this paper outlines research to extend the TEIF Method to be able to support developers to develop technology solutions to help people with visual impairment. The TEIF and TEIF Method were developed by </w:t>
      </w:r>
      <w:proofErr w:type="spellStart"/>
      <w:r w:rsidRPr="001F291B">
        <w:t>an</w:t>
      </w:r>
      <w:r w:rsidR="001F291B" w:rsidRPr="001F291B">
        <w:t>a</w:t>
      </w:r>
      <w:r w:rsidRPr="001F291B">
        <w:t>lysing</w:t>
      </w:r>
      <w:proofErr w:type="spellEnd"/>
      <w:r w:rsidRPr="001F291B">
        <w:t>, adapting and extending the work of previous researchers and especially Dix’s framework for Computer Supported Cooperative Work [6]. Table 1 shows the five TEIF sub-components for the interactions and communication main component.</w:t>
      </w:r>
    </w:p>
    <w:p w:rsidR="004157F9" w:rsidRDefault="001F291B" w:rsidP="001F291B">
      <w:pPr>
        <w:pStyle w:val="tablecaption"/>
        <w:rPr>
          <w:lang w:val="en-US"/>
        </w:rPr>
      </w:pPr>
      <w:r w:rsidRPr="001F291B">
        <w:rPr>
          <w:b/>
          <w:lang w:val="en-US"/>
        </w:rPr>
        <w:t xml:space="preserve">Table </w:t>
      </w:r>
      <w:r>
        <w:rPr>
          <w:b/>
        </w:rPr>
        <w:fldChar w:fldCharType="begin"/>
      </w:r>
      <w:r w:rsidRPr="001F291B">
        <w:rPr>
          <w:b/>
          <w:lang w:val="en-US"/>
        </w:rPr>
        <w:instrText xml:space="preserve"> SEQ "Table" \* MERGEFORMAT </w:instrText>
      </w:r>
      <w:r>
        <w:rPr>
          <w:b/>
        </w:rPr>
        <w:fldChar w:fldCharType="separate"/>
      </w:r>
      <w:r w:rsidRPr="001F291B">
        <w:rPr>
          <w:b/>
          <w:noProof/>
          <w:lang w:val="en-US"/>
        </w:rPr>
        <w:t>1</w:t>
      </w:r>
      <w:r>
        <w:rPr>
          <w:b/>
        </w:rPr>
        <w:fldChar w:fldCharType="end"/>
      </w:r>
      <w:r w:rsidRPr="001F291B">
        <w:rPr>
          <w:b/>
          <w:lang w:val="en-US"/>
        </w:rPr>
        <w:t>.</w:t>
      </w:r>
      <w:r w:rsidRPr="001F291B">
        <w:rPr>
          <w:lang w:val="en-US"/>
        </w:rPr>
        <w:t xml:space="preserve"> </w:t>
      </w:r>
      <w:r w:rsidR="004157F9" w:rsidRPr="001F291B">
        <w:rPr>
          <w:lang w:val="en-US"/>
        </w:rPr>
        <w:t xml:space="preserve">Interactions and Communication </w:t>
      </w:r>
      <w:proofErr w:type="gramStart"/>
      <w:r w:rsidR="004157F9" w:rsidRPr="001F291B">
        <w:rPr>
          <w:lang w:val="en-US"/>
        </w:rPr>
        <w:t>In</w:t>
      </w:r>
      <w:proofErr w:type="gramEnd"/>
      <w:r w:rsidR="004157F9" w:rsidRPr="001F291B">
        <w:rPr>
          <w:lang w:val="en-US"/>
        </w:rPr>
        <w:t xml:space="preserve"> the Technology Enhanced Interaction Framework</w:t>
      </w:r>
    </w:p>
    <w:tbl>
      <w:tblPr>
        <w:tblpPr w:leftFromText="180" w:rightFromText="180" w:vertAnchor="text" w:horzAnchor="margin" w:tblpXSpec="center" w:tblpY="76"/>
        <w:tblW w:w="6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68"/>
        <w:gridCol w:w="1356"/>
        <w:gridCol w:w="4872"/>
      </w:tblGrid>
      <w:tr w:rsidR="001F291B" w:rsidRPr="00EB2088" w:rsidTr="00C316FF">
        <w:trPr>
          <w:trHeight w:val="366"/>
        </w:trPr>
        <w:tc>
          <w:tcPr>
            <w:tcW w:w="768" w:type="dxa"/>
            <w:tcBorders>
              <w:top w:val="single" w:sz="2" w:space="0" w:color="auto"/>
              <w:left w:val="single" w:sz="2" w:space="0" w:color="auto"/>
              <w:bottom w:val="single" w:sz="2" w:space="0" w:color="auto"/>
              <w:right w:val="single" w:sz="2" w:space="0" w:color="auto"/>
            </w:tcBorders>
            <w:vAlign w:val="center"/>
          </w:tcPr>
          <w:p w:rsidR="001F291B" w:rsidRPr="005F05EA" w:rsidRDefault="001F291B" w:rsidP="00C316FF">
            <w:pPr>
              <w:pStyle w:val="Tablebody"/>
              <w:rPr>
                <w:rFonts w:ascii="Times New Roman" w:hAnsi="Times New Roman"/>
              </w:rPr>
            </w:pPr>
            <w:r w:rsidRPr="005F05EA">
              <w:rPr>
                <w:rFonts w:ascii="Times New Roman" w:hAnsi="Times New Roman"/>
              </w:rPr>
              <w:t>Main Component</w:t>
            </w:r>
          </w:p>
        </w:tc>
        <w:tc>
          <w:tcPr>
            <w:tcW w:w="1356" w:type="dxa"/>
            <w:tcBorders>
              <w:top w:val="single" w:sz="2" w:space="0" w:color="auto"/>
              <w:left w:val="single" w:sz="2" w:space="0" w:color="auto"/>
              <w:bottom w:val="single" w:sz="2" w:space="0" w:color="auto"/>
              <w:right w:val="single" w:sz="2" w:space="0" w:color="auto"/>
            </w:tcBorders>
            <w:vAlign w:val="center"/>
          </w:tcPr>
          <w:p w:rsidR="001F291B" w:rsidRPr="005F05EA" w:rsidRDefault="001F291B" w:rsidP="00C316FF">
            <w:pPr>
              <w:pStyle w:val="Tablebody"/>
              <w:rPr>
                <w:rFonts w:ascii="Times New Roman" w:hAnsi="Times New Roman"/>
              </w:rPr>
            </w:pPr>
            <w:r w:rsidRPr="005F05EA">
              <w:rPr>
                <w:rFonts w:ascii="Times New Roman" w:hAnsi="Times New Roman"/>
              </w:rPr>
              <w:t>Sub-component</w:t>
            </w:r>
          </w:p>
        </w:tc>
        <w:tc>
          <w:tcPr>
            <w:tcW w:w="4872" w:type="dxa"/>
            <w:tcBorders>
              <w:top w:val="single" w:sz="2" w:space="0" w:color="auto"/>
              <w:left w:val="single" w:sz="2" w:space="0" w:color="auto"/>
              <w:bottom w:val="single" w:sz="2" w:space="0" w:color="auto"/>
              <w:right w:val="single" w:sz="2" w:space="0" w:color="auto"/>
            </w:tcBorders>
            <w:vAlign w:val="center"/>
          </w:tcPr>
          <w:p w:rsidR="001F291B" w:rsidRPr="005F05EA" w:rsidRDefault="001F291B" w:rsidP="00C316FF">
            <w:pPr>
              <w:pStyle w:val="Tablebody"/>
              <w:rPr>
                <w:rFonts w:ascii="Times New Roman" w:hAnsi="Times New Roman"/>
              </w:rPr>
            </w:pPr>
            <w:r w:rsidRPr="005F05EA">
              <w:rPr>
                <w:rFonts w:ascii="Times New Roman" w:hAnsi="Times New Roman"/>
              </w:rPr>
              <w:t>Explanation and example</w:t>
            </w:r>
          </w:p>
        </w:tc>
      </w:tr>
      <w:tr w:rsidR="001F291B" w:rsidRPr="00EB2088" w:rsidTr="00C316FF">
        <w:trPr>
          <w:trHeight w:val="419"/>
        </w:trPr>
        <w:tc>
          <w:tcPr>
            <w:tcW w:w="768" w:type="dxa"/>
            <w:vMerge w:val="restart"/>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 xml:space="preserve">Interactions and </w:t>
            </w:r>
            <w:proofErr w:type="spellStart"/>
            <w:r w:rsidRPr="005F05EA">
              <w:rPr>
                <w:rFonts w:ascii="Times New Roman" w:hAnsi="Times New Roman"/>
              </w:rPr>
              <w:t>Communi</w:t>
            </w:r>
            <w:proofErr w:type="spellEnd"/>
            <w:r w:rsidRPr="005F05EA">
              <w:rPr>
                <w:rFonts w:ascii="Times New Roman" w:hAnsi="Times New Roman"/>
              </w:rPr>
              <w:t>-cation</w:t>
            </w:r>
          </w:p>
        </w:tc>
        <w:tc>
          <w:tcPr>
            <w:tcW w:w="1356" w:type="dxa"/>
            <w:tcBorders>
              <w:top w:val="single" w:sz="2" w:space="0" w:color="auto"/>
              <w:left w:val="single" w:sz="2" w:space="0" w:color="auto"/>
              <w:bottom w:val="single" w:sz="2" w:space="0" w:color="auto"/>
              <w:right w:val="single" w:sz="2" w:space="0" w:color="auto"/>
            </w:tcBorders>
            <w:vAlign w:val="center"/>
          </w:tcPr>
          <w:p w:rsidR="001F291B" w:rsidRPr="005F05EA" w:rsidRDefault="001F291B" w:rsidP="00C316FF">
            <w:pPr>
              <w:pStyle w:val="Tablebody"/>
              <w:rPr>
                <w:rFonts w:ascii="Times New Roman" w:hAnsi="Times New Roman"/>
              </w:rPr>
            </w:pPr>
            <w:r w:rsidRPr="005F05EA">
              <w:rPr>
                <w:rFonts w:ascii="Times New Roman" w:hAnsi="Times New Roman"/>
              </w:rPr>
              <w:t>People-People</w:t>
            </w:r>
          </w:p>
          <w:p w:rsidR="001F291B" w:rsidRPr="005F05EA" w:rsidRDefault="001F291B" w:rsidP="00C316FF">
            <w:pPr>
              <w:pStyle w:val="Tablebody"/>
              <w:rPr>
                <w:rFonts w:ascii="Times New Roman" w:hAnsi="Times New Roman"/>
              </w:rPr>
            </w:pPr>
            <w:r w:rsidRPr="005F05EA">
              <w:rPr>
                <w:rFonts w:ascii="Times New Roman" w:hAnsi="Times New Roman"/>
              </w:rPr>
              <w:t>(P-P)</w:t>
            </w:r>
          </w:p>
          <w:p w:rsidR="001F291B" w:rsidRPr="005F05EA" w:rsidRDefault="001F291B" w:rsidP="00C316FF">
            <w:pPr>
              <w:pStyle w:val="Tablebody"/>
              <w:rPr>
                <w:rFonts w:ascii="Times New Roman" w:hAnsi="Times New Roman"/>
              </w:rPr>
            </w:pPr>
          </w:p>
        </w:tc>
        <w:tc>
          <w:tcPr>
            <w:tcW w:w="4872"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 communicate verbally (speak, listen, ask, answer) and non-verbally (lip-read, smile, touch, sign, gesture, nod). When communicating, people may refer (speak or point) to particular objects or technology – this is known as ‘</w:t>
            </w:r>
            <w:proofErr w:type="spellStart"/>
            <w:r w:rsidRPr="005F05EA">
              <w:rPr>
                <w:rFonts w:ascii="Times New Roman" w:hAnsi="Times New Roman"/>
              </w:rPr>
              <w:t>deixis</w:t>
            </w:r>
            <w:proofErr w:type="spellEnd"/>
            <w:r w:rsidRPr="005F05EA">
              <w:rPr>
                <w:rFonts w:ascii="Times New Roman" w:hAnsi="Times New Roman"/>
              </w:rPr>
              <w:t>’.</w:t>
            </w:r>
          </w:p>
        </w:tc>
      </w:tr>
      <w:tr w:rsidR="001F291B" w:rsidRPr="00EB2088" w:rsidTr="00C316FF">
        <w:trPr>
          <w:trHeight w:val="401"/>
        </w:trPr>
        <w:tc>
          <w:tcPr>
            <w:tcW w:w="768" w:type="dxa"/>
            <w:vMerge/>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p>
        </w:tc>
        <w:tc>
          <w:tcPr>
            <w:tcW w:w="1356"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People-Objects     (P-O)</w:t>
            </w:r>
          </w:p>
        </w:tc>
        <w:tc>
          <w:tcPr>
            <w:tcW w:w="4872"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 interact with objects for two main purposes: controlling (e.g. touch, hold or move), and retrieving information (e.g. look, listen, read, in order to get information or construct personal understanding, and knowledge).</w:t>
            </w:r>
          </w:p>
        </w:tc>
      </w:tr>
      <w:tr w:rsidR="001F291B" w:rsidRPr="00EB2088" w:rsidTr="00C316FF">
        <w:trPr>
          <w:trHeight w:val="130"/>
        </w:trPr>
        <w:tc>
          <w:tcPr>
            <w:tcW w:w="768" w:type="dxa"/>
            <w:vMerge/>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p>
        </w:tc>
        <w:tc>
          <w:tcPr>
            <w:tcW w:w="1356"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 xml:space="preserve">People-Technology   </w:t>
            </w:r>
          </w:p>
          <w:p w:rsidR="001F291B" w:rsidRPr="005F05EA" w:rsidRDefault="001F291B" w:rsidP="00C316FF">
            <w:pPr>
              <w:pStyle w:val="Tablebody"/>
              <w:rPr>
                <w:rFonts w:ascii="Times New Roman" w:hAnsi="Times New Roman"/>
              </w:rPr>
            </w:pPr>
            <w:r w:rsidRPr="005F05EA">
              <w:rPr>
                <w:rFonts w:ascii="Times New Roman" w:hAnsi="Times New Roman"/>
              </w:rPr>
              <w:t>(P-T)</w:t>
            </w:r>
          </w:p>
        </w:tc>
        <w:tc>
          <w:tcPr>
            <w:tcW w:w="4872"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 control technology, (e.g. hold, move, use, type, scan, make image, press, swipe) transmit and store information (e.g. send, save, store, search, retrieve).</w:t>
            </w:r>
          </w:p>
        </w:tc>
      </w:tr>
      <w:tr w:rsidR="001F291B" w:rsidRPr="00EB2088" w:rsidTr="00C316FF">
        <w:trPr>
          <w:trHeight w:val="299"/>
        </w:trPr>
        <w:tc>
          <w:tcPr>
            <w:tcW w:w="768" w:type="dxa"/>
            <w:vMerge/>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p>
        </w:tc>
        <w:tc>
          <w:tcPr>
            <w:tcW w:w="1356"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People-Technology-People (P-T-P)</w:t>
            </w:r>
          </w:p>
        </w:tc>
        <w:tc>
          <w:tcPr>
            <w:tcW w:w="4872"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 xml:space="preserve">People use technology to transmit information to assist communication with (e.g. send </w:t>
            </w:r>
            <w:proofErr w:type="spellStart"/>
            <w:r w:rsidRPr="005F05EA">
              <w:rPr>
                <w:rFonts w:ascii="Times New Roman" w:hAnsi="Times New Roman"/>
              </w:rPr>
              <w:t>sms</w:t>
            </w:r>
            <w:proofErr w:type="spellEnd"/>
            <w:r w:rsidRPr="005F05EA">
              <w:rPr>
                <w:rFonts w:ascii="Times New Roman" w:hAnsi="Times New Roman"/>
              </w:rPr>
              <w:t>, mms, email, chat, instant message) other people.</w:t>
            </w:r>
          </w:p>
        </w:tc>
      </w:tr>
      <w:tr w:rsidR="001F291B" w:rsidRPr="00EB2088" w:rsidTr="00C316FF">
        <w:trPr>
          <w:trHeight w:val="401"/>
        </w:trPr>
        <w:tc>
          <w:tcPr>
            <w:tcW w:w="768" w:type="dxa"/>
            <w:vMerge/>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p>
        </w:tc>
        <w:tc>
          <w:tcPr>
            <w:tcW w:w="1356"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People-Technology</w:t>
            </w:r>
          </w:p>
          <w:p w:rsidR="001F291B" w:rsidRPr="005F05EA" w:rsidRDefault="001F291B" w:rsidP="00C316FF">
            <w:pPr>
              <w:pStyle w:val="Tablebody"/>
              <w:rPr>
                <w:rFonts w:ascii="Times New Roman" w:hAnsi="Times New Roman"/>
              </w:rPr>
            </w:pPr>
            <w:r w:rsidRPr="005F05EA">
              <w:rPr>
                <w:rFonts w:ascii="Times New Roman" w:hAnsi="Times New Roman"/>
              </w:rPr>
              <w:t>-Objects (P-T-O)</w:t>
            </w:r>
          </w:p>
        </w:tc>
        <w:tc>
          <w:tcPr>
            <w:tcW w:w="4872" w:type="dxa"/>
            <w:tcBorders>
              <w:top w:val="single" w:sz="2" w:space="0" w:color="auto"/>
              <w:left w:val="single" w:sz="2" w:space="0" w:color="auto"/>
              <w:bottom w:val="single" w:sz="2" w:space="0" w:color="auto"/>
              <w:right w:val="single" w:sz="2" w:space="0" w:color="auto"/>
            </w:tcBorders>
            <w:vAlign w:val="center"/>
            <w:hideMark/>
          </w:tcPr>
          <w:p w:rsidR="001F291B" w:rsidRPr="005F05EA" w:rsidRDefault="001F291B" w:rsidP="00C316FF">
            <w:pPr>
              <w:pStyle w:val="Tablebody"/>
              <w:rPr>
                <w:rFonts w:ascii="Times New Roman" w:hAnsi="Times New Roman"/>
              </w:rPr>
            </w:pPr>
            <w:r w:rsidRPr="005F05EA">
              <w:rPr>
                <w:rFonts w:ascii="Times New Roman" w:hAnsi="Times New Roman"/>
              </w:rPr>
              <w:t>People use technology (e.g. point, move, hold, scan QR codes, scan AR tag, use camera, use compass) to transmit, store, and retrieve information (send, save, store, search, retrieve) to, in, and from objects.</w:t>
            </w:r>
          </w:p>
        </w:tc>
      </w:tr>
    </w:tbl>
    <w:p w:rsidR="001F291B" w:rsidRPr="001F291B" w:rsidRDefault="001F291B" w:rsidP="001F291B">
      <w:pPr>
        <w:pStyle w:val="image"/>
      </w:pPr>
    </w:p>
    <w:p w:rsidR="004157F9" w:rsidRDefault="004157F9" w:rsidP="001F291B">
      <w:pPr>
        <w:ind w:firstLine="0"/>
      </w:pPr>
      <w:r>
        <w:lastRenderedPageBreak/>
        <w:t>The TEIF Method was successfully validated by th</w:t>
      </w:r>
      <w:r w:rsidR="001F291B">
        <w:t>ree developer experts, three ac</w:t>
      </w:r>
      <w:r>
        <w:t>cessibility experts, and an HCI professor and supports other methods by providing multiple-choice questions to help identify requirements, the answers to which help provide technology suggestions that support the design stage. An experiment with 36 developers showed that the 18 developers using th</w:t>
      </w:r>
      <w:r w:rsidR="00D544FF">
        <w:t>e TEIF Method evaluated require</w:t>
      </w:r>
      <w:r>
        <w:t>ments for technology solutions to problems involving interaction with hearing impaired people better than the 18 developers using their preferred Other Methods. The TEIF Method also helped the developers select a best solution significantly more often and rate the best solution significantly closer to expert ratings.</w:t>
      </w:r>
    </w:p>
    <w:p w:rsidR="004157F9" w:rsidRDefault="004157F9" w:rsidP="00D544FF">
      <w:pPr>
        <w:pStyle w:val="heading1"/>
      </w:pPr>
      <w:r>
        <w:t>Research Methodology</w:t>
      </w:r>
    </w:p>
    <w:p w:rsidR="004157F9" w:rsidRDefault="004157F9" w:rsidP="00D544FF">
      <w:pPr>
        <w:pStyle w:val="p1a"/>
      </w:pPr>
      <w:r>
        <w:t xml:space="preserve">Requirement questions and answers and technology suggestions and example scenarios for visually impaired people have been extended and developed based on a literature review and interviews with visually impaired people in Thailand e.g. :  </w:t>
      </w:r>
    </w:p>
    <w:p w:rsidR="004157F9" w:rsidRDefault="004157F9" w:rsidP="00D544FF">
      <w:r>
        <w:t>“Golf is a blind student in the law faculty. In the class, when the teacher write or draws on a blackboard Golf needs the teacher or another student to read it aloud or explain it to him. Also when the teacher refers to material by pointing at the board he does not know what the teacher is pointing at.”</w:t>
      </w:r>
    </w:p>
    <w:p w:rsidR="004157F9" w:rsidRDefault="004157F9" w:rsidP="00D544FF">
      <w:r>
        <w:t>The following relevant questions help elicit requirements and the corresponding answers for this scenario aspect are given:</w:t>
      </w:r>
    </w:p>
    <w:p w:rsidR="004157F9" w:rsidRDefault="004157F9" w:rsidP="00277897">
      <w:pPr>
        <w:pStyle w:val="numitem"/>
      </w:pPr>
      <w:r>
        <w:t xml:space="preserve">Question: What media is used to provide information? Answer: a) Non-text image, b) Printed text, c) Handwritten text </w:t>
      </w:r>
    </w:p>
    <w:p w:rsidR="004157F9" w:rsidRDefault="004157F9" w:rsidP="00277897">
      <w:pPr>
        <w:pStyle w:val="numitem"/>
      </w:pPr>
      <w:r>
        <w:t>Question: What live in-class support is available?  Answer: a) None</w:t>
      </w:r>
    </w:p>
    <w:p w:rsidR="004157F9" w:rsidRDefault="004157F9" w:rsidP="00277897">
      <w:pPr>
        <w:pStyle w:val="numitem"/>
      </w:pPr>
      <w:r>
        <w:t>Question: What interaction types take place? Answer: (a) People to People (i.e. speech) b) People to Technology to People (i.e. writing/drawing on board)</w:t>
      </w:r>
    </w:p>
    <w:p w:rsidR="004157F9" w:rsidRDefault="004157F9" w:rsidP="00277897">
      <w:pPr>
        <w:pStyle w:val="numitem"/>
      </w:pPr>
      <w:r>
        <w:t xml:space="preserve">Question: Is there </w:t>
      </w:r>
      <w:proofErr w:type="spellStart"/>
      <w:r>
        <w:t>Diexis</w:t>
      </w:r>
      <w:proofErr w:type="spellEnd"/>
      <w:r>
        <w:t>?  Answer: a) Yes</w:t>
      </w:r>
    </w:p>
    <w:p w:rsidR="004157F9" w:rsidRDefault="004157F9" w:rsidP="00277897">
      <w:pPr>
        <w:ind w:firstLine="0"/>
      </w:pPr>
      <w:r>
        <w:t>Table 2 describes a few suggested technologies (some at prototype stage) with a tick indicating whether it could address the identified requirements.</w:t>
      </w:r>
    </w:p>
    <w:p w:rsidR="004157F9" w:rsidRDefault="004157F9" w:rsidP="00277897">
      <w:pPr>
        <w:pStyle w:val="heading1"/>
      </w:pPr>
      <w:r>
        <w:t xml:space="preserve">Conclusion and </w:t>
      </w:r>
      <w:r w:rsidR="00277897">
        <w:t>P</w:t>
      </w:r>
      <w:r>
        <w:t xml:space="preserve">lanned </w:t>
      </w:r>
      <w:r w:rsidR="00277897">
        <w:t>A</w:t>
      </w:r>
      <w:r>
        <w:t>ctivities</w:t>
      </w:r>
    </w:p>
    <w:p w:rsidR="004157F9" w:rsidRDefault="004157F9" w:rsidP="00665C37">
      <w:pPr>
        <w:pStyle w:val="p1a"/>
      </w:pPr>
      <w:r>
        <w:t xml:space="preserve">Through interviews with visually impaired people the TEIF Method has been ex-tended to help developers develop technology solutions to help people with visual </w:t>
      </w:r>
      <w:proofErr w:type="spellStart"/>
      <w:r>
        <w:t>im-pairment</w:t>
      </w:r>
      <w:proofErr w:type="spellEnd"/>
      <w:r>
        <w:t xml:space="preserve"> to interact with people, technologies and objects. Future work is planned to evaluate its use with developers and visually impaired students at </w:t>
      </w:r>
      <w:proofErr w:type="spellStart"/>
      <w:r>
        <w:t>Suratthani</w:t>
      </w:r>
      <w:proofErr w:type="spellEnd"/>
      <w:r>
        <w:t xml:space="preserve"> </w:t>
      </w:r>
      <w:proofErr w:type="spellStart"/>
      <w:r>
        <w:t>Rajabhat</w:t>
      </w:r>
      <w:proofErr w:type="spellEnd"/>
      <w:r>
        <w:t xml:space="preserve"> University Thailand.</w:t>
      </w:r>
    </w:p>
    <w:p w:rsidR="004157F9" w:rsidRDefault="00665C37" w:rsidP="00665C37">
      <w:pPr>
        <w:pStyle w:val="tablecaption"/>
      </w:pPr>
      <w:r>
        <w:rPr>
          <w:b/>
        </w:rPr>
        <w:lastRenderedPageBreak/>
        <w:t xml:space="preserve">Table </w:t>
      </w:r>
      <w:r>
        <w:rPr>
          <w:b/>
        </w:rPr>
        <w:fldChar w:fldCharType="begin"/>
      </w:r>
      <w:r>
        <w:rPr>
          <w:b/>
        </w:rPr>
        <w:instrText xml:space="preserve"> SEQ "Table" \* MERGEFORMAT </w:instrText>
      </w:r>
      <w:r>
        <w:rPr>
          <w:b/>
        </w:rPr>
        <w:fldChar w:fldCharType="separate"/>
      </w:r>
      <w:r>
        <w:rPr>
          <w:b/>
          <w:noProof/>
        </w:rPr>
        <w:t>2</w:t>
      </w:r>
      <w:r>
        <w:rPr>
          <w:b/>
        </w:rPr>
        <w:fldChar w:fldCharType="end"/>
      </w:r>
      <w:r>
        <w:rPr>
          <w:b/>
        </w:rPr>
        <w:t>.</w:t>
      </w:r>
      <w:r>
        <w:t xml:space="preserve"> </w:t>
      </w:r>
      <w:r w:rsidR="004157F9" w:rsidRPr="00665C37">
        <w:t>Technology</w:t>
      </w:r>
      <w:r>
        <w:t xml:space="preserve"> Suggestions</w:t>
      </w:r>
    </w:p>
    <w:tbl>
      <w:tblPr>
        <w:tblStyle w:val="TableGrid1"/>
        <w:tblW w:w="6993" w:type="dxa"/>
        <w:tblLayout w:type="fixed"/>
        <w:tblLook w:val="00A0" w:firstRow="1" w:lastRow="0" w:firstColumn="1" w:lastColumn="0" w:noHBand="0" w:noVBand="0"/>
      </w:tblPr>
      <w:tblGrid>
        <w:gridCol w:w="2274"/>
        <w:gridCol w:w="2690"/>
        <w:gridCol w:w="338"/>
        <w:gridCol w:w="338"/>
        <w:gridCol w:w="338"/>
        <w:gridCol w:w="338"/>
        <w:gridCol w:w="338"/>
        <w:gridCol w:w="339"/>
      </w:tblGrid>
      <w:tr w:rsidR="00665C37" w:rsidRPr="00E34BBC" w:rsidTr="00A16F32">
        <w:trPr>
          <w:trHeight w:val="1564"/>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bookmarkStart w:id="0" w:name="_GoBack"/>
            <w:bookmarkEnd w:id="0"/>
          </w:p>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Technology Suggestions</w:t>
            </w:r>
          </w:p>
          <w:p w:rsidR="00665C37" w:rsidRPr="00A1095A" w:rsidRDefault="00665C37" w:rsidP="00C316FF">
            <w:pPr>
              <w:overflowPunct/>
              <w:autoSpaceDE/>
              <w:autoSpaceDN/>
              <w:adjustRightInd/>
              <w:spacing w:line="240" w:lineRule="auto"/>
              <w:ind w:firstLine="0"/>
              <w:contextualSpacing/>
              <w:jc w:val="left"/>
              <w:textAlignment w:val="auto"/>
              <w:rPr>
                <w:rFonts w:eastAsiaTheme="minorHAnsi"/>
                <w:sz w:val="16"/>
                <w:szCs w:val="16"/>
                <w:lang w:val="en-GB" w:eastAsia="en-US"/>
              </w:rPr>
            </w:pP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p>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Technology Description</w:t>
            </w:r>
          </w:p>
        </w:tc>
        <w:tc>
          <w:tcPr>
            <w:tcW w:w="338" w:type="dxa"/>
            <w:textDirection w:val="btLr"/>
          </w:tcPr>
          <w:p w:rsidR="00665C37" w:rsidRPr="00A1095A" w:rsidRDefault="00665C37" w:rsidP="00C316FF">
            <w:pPr>
              <w:overflowPunct/>
              <w:autoSpaceDE/>
              <w:autoSpaceDN/>
              <w:adjustRightInd/>
              <w:spacing w:after="160"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1a Non</w:t>
            </w:r>
            <w:r>
              <w:rPr>
                <w:rFonts w:eastAsiaTheme="minorEastAsia"/>
                <w:sz w:val="16"/>
                <w:szCs w:val="16"/>
                <w:lang w:val="en-GB" w:eastAsia="en-US"/>
              </w:rPr>
              <w:t>-t</w:t>
            </w:r>
            <w:r w:rsidRPr="00A1095A">
              <w:rPr>
                <w:rFonts w:eastAsiaTheme="minorEastAsia"/>
                <w:sz w:val="16"/>
                <w:szCs w:val="16"/>
                <w:lang w:val="en-GB" w:eastAsia="en-US"/>
              </w:rPr>
              <w:t xml:space="preserve">ext Image </w:t>
            </w:r>
          </w:p>
        </w:tc>
        <w:tc>
          <w:tcPr>
            <w:tcW w:w="338" w:type="dxa"/>
            <w:textDirection w:val="btLr"/>
          </w:tcPr>
          <w:p w:rsidR="00665C37" w:rsidRPr="00A1095A" w:rsidRDefault="00665C37" w:rsidP="00C316FF">
            <w:pPr>
              <w:overflowPunct/>
              <w:autoSpaceDE/>
              <w:autoSpaceDN/>
              <w:adjustRightInd/>
              <w:spacing w:after="160"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1b Printed text</w:t>
            </w:r>
          </w:p>
        </w:tc>
        <w:tc>
          <w:tcPr>
            <w:tcW w:w="338" w:type="dxa"/>
            <w:textDirection w:val="btLr"/>
          </w:tcPr>
          <w:p w:rsidR="00665C37" w:rsidRPr="00A1095A" w:rsidRDefault="00665C37" w:rsidP="00C316FF">
            <w:pPr>
              <w:overflowPunct/>
              <w:autoSpaceDE/>
              <w:autoSpaceDN/>
              <w:adjustRightInd/>
              <w:spacing w:after="160"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 xml:space="preserve">1c Handwritten text </w:t>
            </w:r>
          </w:p>
        </w:tc>
        <w:tc>
          <w:tcPr>
            <w:tcW w:w="338" w:type="dxa"/>
            <w:textDirection w:val="btLr"/>
          </w:tcPr>
          <w:p w:rsidR="00665C37" w:rsidRPr="00A1095A" w:rsidRDefault="00665C37" w:rsidP="00C316FF">
            <w:pPr>
              <w:overflowPunct/>
              <w:autoSpaceDE/>
              <w:autoSpaceDN/>
              <w:adjustRightInd/>
              <w:spacing w:after="160"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2a No in class support</w:t>
            </w:r>
          </w:p>
        </w:tc>
        <w:tc>
          <w:tcPr>
            <w:tcW w:w="338" w:type="dxa"/>
            <w:textDirection w:val="btLr"/>
          </w:tcPr>
          <w:p w:rsidR="00665C37" w:rsidRPr="00A1095A" w:rsidRDefault="00665C37" w:rsidP="00C316FF">
            <w:pPr>
              <w:overflowPunct/>
              <w:autoSpaceDE/>
              <w:autoSpaceDN/>
              <w:adjustRightInd/>
              <w:spacing w:after="160"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3b P-T-P</w:t>
            </w:r>
          </w:p>
        </w:tc>
        <w:tc>
          <w:tcPr>
            <w:tcW w:w="339" w:type="dxa"/>
            <w:textDirection w:val="btLr"/>
          </w:tcPr>
          <w:p w:rsidR="00665C37" w:rsidRPr="00A1095A" w:rsidRDefault="00665C37" w:rsidP="00C316FF">
            <w:pPr>
              <w:overflowPunct/>
              <w:autoSpaceDE/>
              <w:autoSpaceDN/>
              <w:adjustRightInd/>
              <w:spacing w:after="160" w:line="259"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 xml:space="preserve">4a </w:t>
            </w:r>
            <w:proofErr w:type="spellStart"/>
            <w:r w:rsidRPr="00A1095A">
              <w:rPr>
                <w:rFonts w:eastAsiaTheme="minorEastAsia"/>
                <w:sz w:val="16"/>
                <w:szCs w:val="16"/>
                <w:lang w:val="en-GB" w:eastAsia="en-US"/>
              </w:rPr>
              <w:t>Deixis</w:t>
            </w:r>
            <w:proofErr w:type="spellEnd"/>
          </w:p>
        </w:tc>
      </w:tr>
      <w:tr w:rsidR="00665C37" w:rsidRPr="00E34BBC" w:rsidTr="00A16F32">
        <w:trPr>
          <w:trHeight w:val="243"/>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HAnsi"/>
                <w:sz w:val="16"/>
                <w:szCs w:val="16"/>
                <w:lang w:val="en-GB" w:eastAsia="en-US"/>
              </w:rPr>
            </w:pPr>
            <w:r w:rsidRPr="00A1095A">
              <w:rPr>
                <w:rFonts w:eastAsiaTheme="minorHAnsi"/>
                <w:sz w:val="16"/>
                <w:szCs w:val="16"/>
                <w:lang w:val="en-GB" w:eastAsia="en-US"/>
              </w:rPr>
              <w:t>Screen Reading Technology (SRT)</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Automatically reads displayed text aloud and allows blind user to navigate screen</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43"/>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HAnsi"/>
                <w:sz w:val="16"/>
                <w:szCs w:val="16"/>
                <w:lang w:val="en-GB" w:eastAsia="en-US"/>
              </w:rPr>
            </w:pPr>
            <w:r w:rsidRPr="00A1095A">
              <w:rPr>
                <w:rFonts w:eastAsiaTheme="minorHAnsi"/>
                <w:sz w:val="16"/>
                <w:szCs w:val="16"/>
                <w:lang w:val="en-GB" w:eastAsia="en-US"/>
              </w:rPr>
              <w:t>Optical Character Recognition (OCR)</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Converts a text image into text that can be read by a screen reader</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43"/>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HAnsi"/>
                <w:sz w:val="16"/>
                <w:szCs w:val="16"/>
                <w:lang w:val="en-GB" w:eastAsia="en-US"/>
              </w:rPr>
            </w:pPr>
            <w:r w:rsidRPr="00A1095A">
              <w:rPr>
                <w:rFonts w:eastAsiaTheme="minorHAnsi"/>
                <w:sz w:val="16"/>
                <w:szCs w:val="16"/>
                <w:lang w:val="en-GB" w:eastAsia="en-US"/>
              </w:rPr>
              <w:t>Handwriting recognition (HWR)</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Converts a handwritten image into text that can be read by a screen reader</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43"/>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HAnsi"/>
                <w:sz w:val="16"/>
                <w:szCs w:val="16"/>
                <w:lang w:val="en-GB" w:eastAsia="en-US"/>
              </w:rPr>
              <w:t xml:space="preserve">Diagram mediated text annotation </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 xml:space="preserve">Adds text to a diagram </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12"/>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 xml:space="preserve">Camera focused on board with OCR/HWR to read text &amp; </w:t>
            </w:r>
            <w:r w:rsidRPr="00A1095A">
              <w:rPr>
                <w:rFonts w:eastAsiaTheme="minorHAnsi"/>
                <w:sz w:val="16"/>
                <w:szCs w:val="16"/>
                <w:lang w:val="en-GB" w:eastAsia="en-US"/>
              </w:rPr>
              <w:t>SRT</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Enables text on a non electronic board in class to be read by a screen reader</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02"/>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Pr>
                <w:rFonts w:eastAsiaTheme="minorEastAsia"/>
                <w:sz w:val="16"/>
                <w:szCs w:val="16"/>
                <w:lang w:val="en-GB" w:eastAsia="en-US"/>
              </w:rPr>
              <w:t>E</w:t>
            </w:r>
            <w:r w:rsidRPr="00A1095A">
              <w:rPr>
                <w:rFonts w:eastAsiaTheme="minorEastAsia"/>
                <w:sz w:val="16"/>
                <w:szCs w:val="16"/>
                <w:lang w:val="en-GB" w:eastAsia="en-US"/>
              </w:rPr>
              <w:t xml:space="preserve">lectronic whiteboard with OCR/HWR to read text &amp; </w:t>
            </w:r>
            <w:r w:rsidRPr="00A1095A">
              <w:rPr>
                <w:rFonts w:eastAsiaTheme="minorHAnsi"/>
                <w:sz w:val="16"/>
                <w:szCs w:val="16"/>
                <w:lang w:val="en-GB" w:eastAsia="en-US"/>
              </w:rPr>
              <w:t>SRT</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Enables text on an electronic board in class to be read by a screen reader</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41"/>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HAnsi"/>
                <w:sz w:val="16"/>
                <w:szCs w:val="16"/>
                <w:lang w:val="en-GB" w:eastAsia="en-US"/>
              </w:rPr>
              <w:t>Pre-prepared paper tactile diagram</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 xml:space="preserve">Static 3D representation of a diagram that can be explored by touch by a blind person </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E34BBC"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sym w:font="Wingdings" w:char="F0FC"/>
            </w:r>
          </w:p>
        </w:tc>
        <w:tc>
          <w:tcPr>
            <w:tcW w:w="339" w:type="dxa"/>
          </w:tcPr>
          <w:p w:rsidR="00665C37" w:rsidRPr="00E34BBC"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lang w:val="en-GB" w:eastAsia="en-US"/>
              </w:rPr>
            </w:pPr>
            <w:r w:rsidRPr="00E34BBC">
              <w:rPr>
                <w:rFonts w:asciiTheme="minorHAnsi" w:eastAsiaTheme="minorEastAsia" w:hAnsiTheme="minorHAnsi"/>
                <w:lang w:val="en-GB" w:eastAsia="en-US"/>
              </w:rPr>
              <w:t>x</w:t>
            </w:r>
          </w:p>
        </w:tc>
      </w:tr>
      <w:tr w:rsidR="00665C37" w:rsidRPr="00E34BBC" w:rsidTr="00A16F32">
        <w:trPr>
          <w:trHeight w:val="238"/>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HAnsi"/>
                <w:sz w:val="16"/>
                <w:szCs w:val="16"/>
                <w:lang w:val="en-GB" w:eastAsia="en-US"/>
              </w:rPr>
              <w:t xml:space="preserve">Live electronic tactile display </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Dynamic 3D representation of a diagram that can be explored by touch by a blind person</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9" w:type="dxa"/>
          </w:tcPr>
          <w:p w:rsidR="00665C37" w:rsidRPr="00A1095A"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t>x</w:t>
            </w:r>
          </w:p>
        </w:tc>
      </w:tr>
      <w:tr w:rsidR="00665C37" w:rsidRPr="00E34BBC" w:rsidTr="00A16F32">
        <w:trPr>
          <w:trHeight w:val="214"/>
        </w:trPr>
        <w:tc>
          <w:tcPr>
            <w:tcW w:w="2274" w:type="dxa"/>
            <w:noWrap/>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HAnsi"/>
                <w:sz w:val="16"/>
                <w:szCs w:val="16"/>
                <w:lang w:val="en-GB" w:eastAsia="en-US"/>
              </w:rPr>
              <w:t>Camera and haptic glove tracking of teacher’s pointing used with tactile diagram/display</w:t>
            </w:r>
          </w:p>
        </w:tc>
        <w:tc>
          <w:tcPr>
            <w:tcW w:w="2690" w:type="dxa"/>
          </w:tcPr>
          <w:p w:rsidR="00665C37" w:rsidRPr="00A1095A" w:rsidRDefault="00665C37" w:rsidP="00C316FF">
            <w:pPr>
              <w:overflowPunct/>
              <w:autoSpaceDE/>
              <w:autoSpaceDN/>
              <w:adjustRightInd/>
              <w:spacing w:line="240" w:lineRule="auto"/>
              <w:ind w:firstLine="0"/>
              <w:contextualSpacing/>
              <w:jc w:val="left"/>
              <w:textAlignment w:val="auto"/>
              <w:rPr>
                <w:rFonts w:eastAsiaTheme="minorEastAsia"/>
                <w:sz w:val="16"/>
                <w:szCs w:val="16"/>
                <w:lang w:val="en-GB" w:eastAsia="en-US"/>
              </w:rPr>
            </w:pPr>
            <w:r w:rsidRPr="00A1095A">
              <w:rPr>
                <w:rFonts w:eastAsiaTheme="minorEastAsia"/>
                <w:sz w:val="16"/>
                <w:szCs w:val="16"/>
                <w:lang w:val="en-GB" w:eastAsia="en-US"/>
              </w:rPr>
              <w:t xml:space="preserve">Information is provided about what the teacher is pointing at using vibration in an electronic glove </w:t>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8" w:type="dxa"/>
          </w:tcPr>
          <w:p w:rsidR="00665C37" w:rsidRPr="00A1095A" w:rsidRDefault="00665C37" w:rsidP="00C316FF">
            <w:pPr>
              <w:overflowPunct/>
              <w:autoSpaceDE/>
              <w:autoSpaceDN/>
              <w:adjustRightInd/>
              <w:spacing w:after="160" w:line="240"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c>
          <w:tcPr>
            <w:tcW w:w="339" w:type="dxa"/>
          </w:tcPr>
          <w:p w:rsidR="00665C37" w:rsidRPr="00A1095A" w:rsidRDefault="00665C37" w:rsidP="00C316FF">
            <w:pPr>
              <w:overflowPunct/>
              <w:autoSpaceDE/>
              <w:autoSpaceDN/>
              <w:adjustRightInd/>
              <w:spacing w:after="160" w:line="259" w:lineRule="auto"/>
              <w:ind w:firstLine="0"/>
              <w:contextualSpacing/>
              <w:jc w:val="left"/>
              <w:textAlignment w:val="auto"/>
              <w:rPr>
                <w:rFonts w:asciiTheme="minorHAnsi" w:eastAsiaTheme="minorEastAsia" w:hAnsiTheme="minorHAnsi"/>
                <w:sz w:val="16"/>
                <w:szCs w:val="16"/>
                <w:lang w:val="en-GB" w:eastAsia="en-US"/>
              </w:rPr>
            </w:pPr>
            <w:r w:rsidRPr="00A1095A">
              <w:rPr>
                <w:rFonts w:asciiTheme="minorHAnsi" w:eastAsiaTheme="minorEastAsia" w:hAnsiTheme="minorHAnsi"/>
                <w:sz w:val="16"/>
                <w:szCs w:val="16"/>
                <w:lang w:val="en-GB" w:eastAsia="en-US"/>
              </w:rPr>
              <w:sym w:font="Wingdings" w:char="F0FC"/>
            </w:r>
          </w:p>
        </w:tc>
      </w:tr>
    </w:tbl>
    <w:p w:rsidR="00665C37" w:rsidRPr="00665C37" w:rsidRDefault="00665C37" w:rsidP="00665C37">
      <w:pPr>
        <w:pStyle w:val="image"/>
        <w:rPr>
          <w:lang w:val="de-DE"/>
        </w:rPr>
      </w:pPr>
    </w:p>
    <w:p w:rsidR="004157F9" w:rsidRPr="00F8770D" w:rsidRDefault="004157F9" w:rsidP="00665C37">
      <w:pPr>
        <w:pStyle w:val="heading1"/>
        <w:numPr>
          <w:ilvl w:val="0"/>
          <w:numId w:val="0"/>
        </w:numPr>
        <w:rPr>
          <w:lang w:val="de-DE"/>
        </w:rPr>
      </w:pPr>
      <w:r w:rsidRPr="00F8770D">
        <w:rPr>
          <w:lang w:val="de-DE"/>
        </w:rPr>
        <w:t>References</w:t>
      </w:r>
    </w:p>
    <w:p w:rsidR="004157F9" w:rsidRDefault="004157F9" w:rsidP="00F8770D">
      <w:pPr>
        <w:pStyle w:val="referenceitem"/>
      </w:pPr>
      <w:r w:rsidRPr="00F8770D">
        <w:rPr>
          <w:lang w:val="de-DE"/>
        </w:rPr>
        <w:t xml:space="preserve">Petrie, H., Fisher, W., Langer, I., Weber, G., Gladstone, K., Rundle, C., &amp; Pyfers, L. Uni-versal Interfaces to multimedia documents. </w:t>
      </w:r>
      <w:r>
        <w:t>Paper presented at the Multimodal Interfaces, 2002. Proceedings on Fourth IEEE International Conference.</w:t>
      </w:r>
    </w:p>
    <w:p w:rsidR="004157F9" w:rsidRDefault="004157F9" w:rsidP="00F8770D">
      <w:pPr>
        <w:pStyle w:val="referenceitem"/>
      </w:pPr>
      <w:proofErr w:type="spellStart"/>
      <w:r>
        <w:t>Quek</w:t>
      </w:r>
      <w:proofErr w:type="spellEnd"/>
      <w:r>
        <w:t>, F., and Oliveira, F. Enabling the blind to see gestures. ACM Transac</w:t>
      </w:r>
      <w:r w:rsidR="00F8770D">
        <w:t>tions on Com</w:t>
      </w:r>
      <w:r>
        <w:t xml:space="preserve">puter-Human Interaction. 2013  20, 1, Article 4 </w:t>
      </w:r>
    </w:p>
    <w:p w:rsidR="004157F9" w:rsidRDefault="004157F9" w:rsidP="00F8770D">
      <w:pPr>
        <w:pStyle w:val="referenceitem"/>
      </w:pPr>
      <w:r>
        <w:t xml:space="preserve">Freire, A. P., </w:t>
      </w:r>
      <w:proofErr w:type="spellStart"/>
      <w:r>
        <w:t>Linhalis</w:t>
      </w:r>
      <w:proofErr w:type="spellEnd"/>
      <w:r>
        <w:t xml:space="preserve">, F., </w:t>
      </w:r>
      <w:proofErr w:type="spellStart"/>
      <w:r>
        <w:t>Bianchini</w:t>
      </w:r>
      <w:proofErr w:type="spellEnd"/>
      <w:r>
        <w:t>, S.L., Fortes, R. P., Pimentel, M. C. Revealing the whiteboard to blind students: An inclusive approach to provide mediation in synchronous e-learning activities. Computers &amp; Education 2010 54(4): 866-876</w:t>
      </w:r>
    </w:p>
    <w:p w:rsidR="004157F9" w:rsidRDefault="004157F9" w:rsidP="00F8770D">
      <w:pPr>
        <w:pStyle w:val="referenceitem"/>
      </w:pPr>
      <w:r>
        <w:t xml:space="preserve">Dix, A. Computer supported cooperative work - a framework. In Design Issues in CSCW Eds. D. </w:t>
      </w:r>
      <w:proofErr w:type="spellStart"/>
      <w:r>
        <w:t>Rosenburg</w:t>
      </w:r>
      <w:proofErr w:type="spellEnd"/>
      <w:r>
        <w:t xml:space="preserve"> and C. Hutchison. , Springer </w:t>
      </w:r>
      <w:proofErr w:type="spellStart"/>
      <w:r>
        <w:t>Verlag</w:t>
      </w:r>
      <w:proofErr w:type="spellEnd"/>
      <w:r>
        <w:t>, 1994 23-37.</w:t>
      </w:r>
    </w:p>
    <w:p w:rsidR="004157F9" w:rsidRDefault="004157F9" w:rsidP="00F8770D">
      <w:pPr>
        <w:pStyle w:val="referenceitem"/>
      </w:pPr>
      <w:proofErr w:type="spellStart"/>
      <w:r>
        <w:t>Rukzio</w:t>
      </w:r>
      <w:proofErr w:type="spellEnd"/>
      <w:r>
        <w:t xml:space="preserve">, E., </w:t>
      </w:r>
      <w:proofErr w:type="spellStart"/>
      <w:r>
        <w:t>Broll</w:t>
      </w:r>
      <w:proofErr w:type="spellEnd"/>
      <w:r>
        <w:t xml:space="preserve">, G., </w:t>
      </w:r>
      <w:proofErr w:type="spellStart"/>
      <w:r>
        <w:t>Wetzstein</w:t>
      </w:r>
      <w:proofErr w:type="spellEnd"/>
      <w:r>
        <w:t>, S. The Physical Mobile Interaction Framework (PMIF). 2008 Technical Report LMU-MI-2008-2.</w:t>
      </w:r>
    </w:p>
    <w:p w:rsidR="00336943" w:rsidRPr="0022605F" w:rsidRDefault="004157F9" w:rsidP="00F8770D">
      <w:pPr>
        <w:pStyle w:val="referenceitem"/>
      </w:pPr>
      <w:proofErr w:type="spellStart"/>
      <w:r>
        <w:t>Angkananon</w:t>
      </w:r>
      <w:proofErr w:type="spellEnd"/>
      <w:r>
        <w:t>, K., Wald, M., Gilbert, L. Developing and Evaluating a Technology Enhanced Interaction Framework and Method that can enhance the Accessibility of Mobile Learning. Themes in Science &amp; Technology Education. 2014 7(2). 99-118</w:t>
      </w:r>
    </w:p>
    <w:sectPr w:rsidR="00336943" w:rsidRPr="0022605F" w:rsidSect="00CE7667">
      <w:footerReference w:type="first" r:id="rId8"/>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5E" w:rsidRDefault="00F1235E">
      <w:r>
        <w:separator/>
      </w:r>
    </w:p>
  </w:endnote>
  <w:endnote w:type="continuationSeparator" w:id="0">
    <w:p w:rsidR="00F1235E" w:rsidRDefault="00F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A16F32">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5E" w:rsidRDefault="00F1235E" w:rsidP="00895F20">
      <w:pPr>
        <w:ind w:firstLine="0"/>
      </w:pPr>
      <w:r>
        <w:separator/>
      </w:r>
    </w:p>
  </w:footnote>
  <w:footnote w:type="continuationSeparator" w:id="0">
    <w:p w:rsidR="00F1235E" w:rsidRDefault="00F1235E" w:rsidP="00895F20">
      <w:pPr>
        <w:ind w:firstLine="0"/>
      </w:pPr>
      <w:r>
        <w:continuationSeparator/>
      </w:r>
    </w:p>
  </w:footnote>
  <w:footnote w:id="1">
    <w:p w:rsidR="00765213" w:rsidRDefault="00765213">
      <w:pPr>
        <w:pStyle w:val="FootnoteText"/>
      </w:pPr>
      <w:r>
        <w:rPr>
          <w:rStyle w:val="FootnoteReference"/>
        </w:rPr>
        <w:footnoteRef/>
      </w:r>
      <w:r>
        <w:t xml:space="preserve"> </w:t>
      </w:r>
      <w:r>
        <w:tab/>
      </w:r>
      <w:r w:rsidRPr="00765213">
        <w:rPr>
          <w:rStyle w:val="e-mail"/>
        </w:rPr>
        <w:t>http://www.ilo.org/wcmsp5/groups/public/---ed_emp/---ifp_skills/documents/publication/wcms_112307.pdf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15:restartNumberingAfterBreak="0">
    <w:nsid w:val="7D9521C8"/>
    <w:multiLevelType w:val="multilevel"/>
    <w:tmpl w:val="30AA3560"/>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5"/>
  </w:num>
  <w:num w:numId="2">
    <w:abstractNumId w:val="10"/>
  </w:num>
  <w:num w:numId="3">
    <w:abstractNumId w:val="13"/>
  </w:num>
  <w:num w:numId="4">
    <w:abstractNumId w:val="14"/>
  </w:num>
  <w:num w:numId="5">
    <w:abstractNumId w:val="16"/>
  </w:num>
  <w:num w:numId="6">
    <w:abstractNumId w:val="12"/>
  </w:num>
  <w:num w:numId="7">
    <w:abstractNumId w:val="9"/>
  </w:num>
  <w:num w:numId="8">
    <w:abstractNumId w:val="14"/>
  </w:num>
  <w:num w:numId="9">
    <w:abstractNumId w:val="8"/>
  </w:num>
  <w:num w:numId="10">
    <w:abstractNumId w:val="16"/>
  </w:num>
  <w:num w:numId="11">
    <w:abstractNumId w:val="10"/>
  </w:num>
  <w:num w:numId="12">
    <w:abstractNumId w:val="13"/>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F9"/>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3193E"/>
    <w:rsid w:val="001362F0"/>
    <w:rsid w:val="0013666A"/>
    <w:rsid w:val="00145AF7"/>
    <w:rsid w:val="00162CC8"/>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D3E27"/>
    <w:rsid w:val="001D53EB"/>
    <w:rsid w:val="001E21AD"/>
    <w:rsid w:val="001E3A57"/>
    <w:rsid w:val="001F291B"/>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77897"/>
    <w:rsid w:val="002823FC"/>
    <w:rsid w:val="002A0991"/>
    <w:rsid w:val="002A4602"/>
    <w:rsid w:val="002A4A69"/>
    <w:rsid w:val="002A56B5"/>
    <w:rsid w:val="002B406E"/>
    <w:rsid w:val="002B4B5F"/>
    <w:rsid w:val="002B53C3"/>
    <w:rsid w:val="002B66F5"/>
    <w:rsid w:val="002B7863"/>
    <w:rsid w:val="002C0871"/>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57F9"/>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65C37"/>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5213"/>
    <w:rsid w:val="0076605E"/>
    <w:rsid w:val="00775796"/>
    <w:rsid w:val="007809D1"/>
    <w:rsid w:val="00780F47"/>
    <w:rsid w:val="00791F6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16F3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2269"/>
    <w:rsid w:val="00AB2CDF"/>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B2916"/>
    <w:rsid w:val="00CD0021"/>
    <w:rsid w:val="00CD0BD7"/>
    <w:rsid w:val="00CD4538"/>
    <w:rsid w:val="00CE223C"/>
    <w:rsid w:val="00CE7667"/>
    <w:rsid w:val="00CF3131"/>
    <w:rsid w:val="00CF3BE1"/>
    <w:rsid w:val="00D00243"/>
    <w:rsid w:val="00D05ECD"/>
    <w:rsid w:val="00D073CB"/>
    <w:rsid w:val="00D24964"/>
    <w:rsid w:val="00D30140"/>
    <w:rsid w:val="00D36EBA"/>
    <w:rsid w:val="00D40AC2"/>
    <w:rsid w:val="00D4100E"/>
    <w:rsid w:val="00D54466"/>
    <w:rsid w:val="00D544FF"/>
    <w:rsid w:val="00D63A3C"/>
    <w:rsid w:val="00D6724D"/>
    <w:rsid w:val="00D6791A"/>
    <w:rsid w:val="00D707E2"/>
    <w:rsid w:val="00D75A83"/>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A69A4"/>
    <w:rsid w:val="00EB0717"/>
    <w:rsid w:val="00EB4862"/>
    <w:rsid w:val="00EB4F99"/>
    <w:rsid w:val="00EB6167"/>
    <w:rsid w:val="00EC2435"/>
    <w:rsid w:val="00EC76EB"/>
    <w:rsid w:val="00ED4B90"/>
    <w:rsid w:val="00ED6091"/>
    <w:rsid w:val="00ED7231"/>
    <w:rsid w:val="00EE1957"/>
    <w:rsid w:val="00EE516F"/>
    <w:rsid w:val="00EF07AE"/>
    <w:rsid w:val="00F070EE"/>
    <w:rsid w:val="00F07CC8"/>
    <w:rsid w:val="00F1235E"/>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8770D"/>
    <w:rsid w:val="00F93F65"/>
    <w:rsid w:val="00F95511"/>
    <w:rsid w:val="00F9578C"/>
    <w:rsid w:val="00FC2DC4"/>
    <w:rsid w:val="00FC3D76"/>
    <w:rsid w:val="00FC464E"/>
    <w:rsid w:val="00FC5481"/>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546A8-4C98-4690-9AED-AA84E575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F8770D"/>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Tablebody">
    <w:name w:val="Table body"/>
    <w:basedOn w:val="Normal"/>
    <w:uiPriority w:val="99"/>
    <w:rsid w:val="001F291B"/>
    <w:pPr>
      <w:overflowPunct/>
      <w:autoSpaceDE/>
      <w:autoSpaceDN/>
      <w:adjustRightInd/>
      <w:spacing w:line="240" w:lineRule="auto"/>
      <w:ind w:firstLine="0"/>
      <w:jc w:val="left"/>
      <w:textAlignment w:val="auto"/>
    </w:pPr>
    <w:rPr>
      <w:rFonts w:ascii="Century Schoolbook" w:eastAsiaTheme="minorEastAsia" w:hAnsi="Century Schoolbook"/>
      <w:sz w:val="16"/>
      <w:szCs w:val="16"/>
      <w:lang w:eastAsia="en-US"/>
    </w:rPr>
  </w:style>
  <w:style w:type="table" w:customStyle="1" w:styleId="TableGrid1">
    <w:name w:val="Table Grid1"/>
    <w:basedOn w:val="TableNormal"/>
    <w:next w:val="TableGrid"/>
    <w:rsid w:val="00665C37"/>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Konferenzen\ICCHP\16\Proceedings\papers_20160401\7209\format_revised\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E77E-16F6-494A-A2F4-354E39E7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2</TotalTime>
  <Pages>4</Pages>
  <Words>1495</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Murillo Morales</dc:creator>
  <dc:description>Formats and macros for Springer Lecture Notes</dc:description>
  <cp:lastModifiedBy>User</cp:lastModifiedBy>
  <cp:revision>3</cp:revision>
  <dcterms:created xsi:type="dcterms:W3CDTF">2016-04-14T08:19:00Z</dcterms:created>
  <dcterms:modified xsi:type="dcterms:W3CDTF">2016-04-14T08:21:00Z</dcterms:modified>
</cp:coreProperties>
</file>