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E74DE5" w14:textId="77777777" w:rsidR="001529CF" w:rsidRDefault="00492337">
      <w:pPr>
        <w:pStyle w:val="Title"/>
      </w:pPr>
      <w:bookmarkStart w:id="0" w:name="_gjdgxs"/>
      <w:bookmarkEnd w:id="0"/>
      <w:r>
        <w:t>Computational Methods and Tools in Antimicrobial Peptide Research</w:t>
      </w:r>
    </w:p>
    <w:p w14:paraId="5CA43EDA" w14:textId="63904580" w:rsidR="001529CF" w:rsidRDefault="00492337">
      <w:pPr>
        <w:pStyle w:val="Heading1"/>
      </w:pPr>
      <w:r>
        <w:rPr>
          <w:sz w:val="28"/>
          <w:szCs w:val="28"/>
        </w:rPr>
        <w:t>Pietro G.A. Aronica</w:t>
      </w:r>
      <w:r>
        <w:rPr>
          <w:sz w:val="28"/>
          <w:szCs w:val="28"/>
          <w:vertAlign w:val="superscript"/>
        </w:rPr>
        <w:t>1</w:t>
      </w:r>
      <w:r>
        <w:rPr>
          <w:sz w:val="28"/>
          <w:szCs w:val="28"/>
        </w:rPr>
        <w:t>*, Lauren M. Reid</w:t>
      </w:r>
      <w:r>
        <w:rPr>
          <w:sz w:val="28"/>
          <w:szCs w:val="28"/>
          <w:vertAlign w:val="superscript"/>
        </w:rPr>
        <w:t>1,2,3</w:t>
      </w:r>
      <w:r>
        <w:rPr>
          <w:sz w:val="28"/>
          <w:szCs w:val="28"/>
        </w:rPr>
        <w:t>, Nirali Desai</w:t>
      </w:r>
      <w:r>
        <w:rPr>
          <w:sz w:val="28"/>
          <w:szCs w:val="28"/>
          <w:vertAlign w:val="superscript"/>
        </w:rPr>
        <w:t>1,4</w:t>
      </w:r>
      <w:r>
        <w:rPr>
          <w:sz w:val="28"/>
          <w:szCs w:val="28"/>
        </w:rPr>
        <w:t>, Jianguo Li</w:t>
      </w:r>
      <w:r>
        <w:rPr>
          <w:sz w:val="28"/>
          <w:szCs w:val="28"/>
          <w:vertAlign w:val="superscript"/>
        </w:rPr>
        <w:t>1,5</w:t>
      </w:r>
      <w:r>
        <w:rPr>
          <w:sz w:val="28"/>
          <w:szCs w:val="28"/>
        </w:rPr>
        <w:t>, Stephen J. Fox</w:t>
      </w:r>
      <w:r>
        <w:rPr>
          <w:sz w:val="28"/>
          <w:szCs w:val="28"/>
          <w:vertAlign w:val="superscript"/>
        </w:rPr>
        <w:t>1</w:t>
      </w:r>
      <w:r>
        <w:rPr>
          <w:sz w:val="28"/>
          <w:szCs w:val="28"/>
        </w:rPr>
        <w:t>, Shilpa Yadahalli</w:t>
      </w:r>
      <w:r>
        <w:rPr>
          <w:sz w:val="28"/>
          <w:szCs w:val="28"/>
          <w:vertAlign w:val="superscript"/>
        </w:rPr>
        <w:t>1</w:t>
      </w:r>
      <w:r>
        <w:rPr>
          <w:sz w:val="28"/>
          <w:szCs w:val="28"/>
        </w:rPr>
        <w:t xml:space="preserve">, </w:t>
      </w:r>
      <w:r w:rsidR="00354B43">
        <w:rPr>
          <w:sz w:val="28"/>
          <w:szCs w:val="28"/>
        </w:rPr>
        <w:t>Jonathan W. Essex</w:t>
      </w:r>
      <w:r w:rsidR="00354B43">
        <w:rPr>
          <w:sz w:val="28"/>
          <w:szCs w:val="28"/>
          <w:vertAlign w:val="superscript"/>
        </w:rPr>
        <w:t>2</w:t>
      </w:r>
      <w:r w:rsidR="00354B43">
        <w:rPr>
          <w:sz w:val="28"/>
          <w:szCs w:val="28"/>
        </w:rPr>
        <w:t xml:space="preserve">, </w:t>
      </w:r>
      <w:r>
        <w:rPr>
          <w:sz w:val="28"/>
          <w:szCs w:val="28"/>
        </w:rPr>
        <w:t>Chandra S. Verma</w:t>
      </w:r>
      <w:r>
        <w:rPr>
          <w:sz w:val="28"/>
          <w:szCs w:val="28"/>
          <w:vertAlign w:val="superscript"/>
        </w:rPr>
        <w:t>1</w:t>
      </w:r>
      <w:r w:rsidR="008E7293">
        <w:rPr>
          <w:sz w:val="28"/>
          <w:szCs w:val="28"/>
          <w:vertAlign w:val="superscript"/>
        </w:rPr>
        <w:t>,6,7</w:t>
      </w:r>
    </w:p>
    <w:p w14:paraId="265704F3" w14:textId="45AB00A9" w:rsidR="008E7293" w:rsidRDefault="00492337">
      <w:pPr>
        <w:pStyle w:val="Heading1"/>
        <w:rPr>
          <w:sz w:val="24"/>
          <w:szCs w:val="24"/>
        </w:rPr>
      </w:pPr>
      <w:r>
        <w:rPr>
          <w:sz w:val="24"/>
          <w:szCs w:val="24"/>
        </w:rPr>
        <w:t>1. Bioinformatics Institute at A*STAR (Agency for Science, Technology and Research), 30 Biopolis Street, #07-01 Matrix, Singapore, 138671</w:t>
      </w:r>
      <w:r>
        <w:rPr>
          <w:sz w:val="24"/>
          <w:szCs w:val="24"/>
        </w:rPr>
        <w:br/>
        <w:t>2. School of Chemistry, University of Southampton, Highfield Southampton, Hampshire, UK, SO17 1BJ</w:t>
      </w:r>
      <w:r>
        <w:rPr>
          <w:sz w:val="24"/>
          <w:szCs w:val="24"/>
        </w:rPr>
        <w:br/>
        <w:t>3. MedChemica Ltd, Alderley Park, Macclesfield, Cheshire, UK, SK10 4TG</w:t>
      </w:r>
      <w:r>
        <w:rPr>
          <w:sz w:val="24"/>
          <w:szCs w:val="24"/>
        </w:rPr>
        <w:br/>
        <w:t>4. Division of Biological and Life Sciences, Ahmedabad University, Central Campus, Ahmedabad, Gujarat, India, 380009</w:t>
      </w:r>
      <w:r>
        <w:rPr>
          <w:sz w:val="24"/>
          <w:szCs w:val="24"/>
        </w:rPr>
        <w:br/>
        <w:t>5. Singapore Eye Research Institute, 20 College Road Discovery Tower, Singapore, 169856</w:t>
      </w:r>
      <w:r w:rsidR="008E7293">
        <w:rPr>
          <w:sz w:val="24"/>
          <w:szCs w:val="24"/>
        </w:rPr>
        <w:br/>
        <w:t>6. Department of Biological Sciences, National University of Singapore, 14 Science Drive 4, 117543, Singapore</w:t>
      </w:r>
      <w:r w:rsidR="008E7293">
        <w:rPr>
          <w:sz w:val="24"/>
          <w:szCs w:val="24"/>
        </w:rPr>
        <w:br/>
        <w:t>7. School of Biological Sciences, Nanyang Technological University, 50 Nanyang Drive, 637551, Singapore</w:t>
      </w:r>
    </w:p>
    <w:p w14:paraId="01C1B3E3" w14:textId="77777777" w:rsidR="001529CF" w:rsidRDefault="00492337">
      <w:pPr>
        <w:pStyle w:val="Heading1"/>
      </w:pPr>
      <w:r>
        <w:rPr>
          <w:sz w:val="28"/>
          <w:szCs w:val="28"/>
        </w:rPr>
        <w:t xml:space="preserve">Corresponding Address: </w:t>
      </w:r>
      <w:r>
        <w:rPr>
          <w:sz w:val="28"/>
          <w:szCs w:val="28"/>
        </w:rPr>
        <w:br/>
        <w:t xml:space="preserve">30 Biopolis Street, #07-01 Matrix, Singapore, 138671, Tel: (65) 6478 8298, Fax: (65) 6478 9047, </w:t>
      </w:r>
      <w:hyperlink r:id="rId8">
        <w:r>
          <w:rPr>
            <w:rStyle w:val="InternetLink"/>
            <w:sz w:val="28"/>
            <w:szCs w:val="28"/>
          </w:rPr>
          <w:t>pietroa@bii.a-star.edu.sg</w:t>
        </w:r>
      </w:hyperlink>
      <w:r>
        <w:rPr>
          <w:sz w:val="28"/>
          <w:szCs w:val="28"/>
        </w:rPr>
        <w:t xml:space="preserve">, </w:t>
      </w:r>
      <w:hyperlink r:id="rId9">
        <w:r>
          <w:rPr>
            <w:rStyle w:val="InternetLink"/>
            <w:sz w:val="28"/>
            <w:szCs w:val="28"/>
          </w:rPr>
          <w:t>pietro.ga.aronica@gmail.com</w:t>
        </w:r>
      </w:hyperlink>
    </w:p>
    <w:p w14:paraId="7F1EC23C" w14:textId="77777777" w:rsidR="001529CF" w:rsidRDefault="001529CF">
      <w:pPr>
        <w:pStyle w:val="Heading1"/>
      </w:pPr>
    </w:p>
    <w:p w14:paraId="5A0E6F89" w14:textId="77777777" w:rsidR="001529CF" w:rsidRDefault="001529CF">
      <w:pPr>
        <w:pStyle w:val="Heading1"/>
      </w:pPr>
    </w:p>
    <w:p w14:paraId="76D9AF5C" w14:textId="77777777" w:rsidR="001529CF" w:rsidRDefault="001529CF">
      <w:pPr>
        <w:pStyle w:val="Heading1"/>
      </w:pPr>
    </w:p>
    <w:p w14:paraId="18295F66" w14:textId="77777777" w:rsidR="001529CF" w:rsidRDefault="001529CF">
      <w:pPr>
        <w:pStyle w:val="Heading1"/>
      </w:pPr>
    </w:p>
    <w:p w14:paraId="063D9304" w14:textId="77777777" w:rsidR="001529CF" w:rsidRDefault="001529CF">
      <w:pPr>
        <w:pStyle w:val="Heading1"/>
      </w:pPr>
    </w:p>
    <w:p w14:paraId="033DB475" w14:textId="77777777" w:rsidR="001529CF" w:rsidRDefault="001529CF">
      <w:pPr>
        <w:pStyle w:val="Heading1"/>
      </w:pPr>
    </w:p>
    <w:p w14:paraId="7140A23A" w14:textId="77777777" w:rsidR="001529CF" w:rsidRDefault="001529CF">
      <w:pPr>
        <w:pStyle w:val="Heading1"/>
      </w:pPr>
    </w:p>
    <w:p w14:paraId="579C6DFA" w14:textId="77777777" w:rsidR="001529CF" w:rsidRDefault="00492337">
      <w:pPr>
        <w:pStyle w:val="Heading1"/>
      </w:pPr>
      <w:bookmarkStart w:id="1" w:name="_30j0zll"/>
      <w:bookmarkEnd w:id="1"/>
      <w:r>
        <w:t>Abstract</w:t>
      </w:r>
    </w:p>
    <w:p w14:paraId="2733F7BF" w14:textId="52F68619" w:rsidR="001529CF" w:rsidRDefault="00F96EA0">
      <w:pPr>
        <w:pStyle w:val="LO-normal"/>
        <w:jc w:val="both"/>
      </w:pPr>
      <w:r>
        <w:t xml:space="preserve">The evolution of antibiotic-resistant bacteria is an ongoing and troubling development that has increased the number of diseases and infections that risk going untreated. </w:t>
      </w:r>
      <w:r w:rsidR="00492337">
        <w:t xml:space="preserve">There is an urgent need to develop alternative strategies and treatments to address this issue. One class of molecules that is attracting significant interest is that of AntiMicrobial Peptides (AMPs). Their design and development has been aided considerably by the applications of molecular models, and we review these here. These methods include the use of tools to explore the relationships between their structures, dynamics and functions, and the increasing application of machine learning and molecular dynamics simulations. The review compiles resources such as AMP databases, AMP-related web servers, and commonly used techniques, together aimed at aiding researchers in the area towards complementing experimental studies with computational approaches. </w:t>
      </w:r>
    </w:p>
    <w:p w14:paraId="0FB431C2" w14:textId="77777777" w:rsidR="001529CF" w:rsidRDefault="001529CF">
      <w:pPr>
        <w:pStyle w:val="LO-normal"/>
        <w:jc w:val="both"/>
      </w:pPr>
    </w:p>
    <w:p w14:paraId="7A31D1F5" w14:textId="70F73711" w:rsidR="0085729B" w:rsidRPr="0085729B" w:rsidRDefault="0085729B">
      <w:pPr>
        <w:pStyle w:val="LO-normal"/>
        <w:jc w:val="both"/>
      </w:pPr>
      <w:r>
        <w:rPr>
          <w:b/>
        </w:rPr>
        <w:t>Keywords:</w:t>
      </w:r>
      <w:r>
        <w:t xml:space="preserve"> Antimicrobial peptides, peptides, peptide engineering, </w:t>
      </w:r>
      <w:r w:rsidR="002560DD">
        <w:t xml:space="preserve">antibiotic resistance, </w:t>
      </w:r>
      <w:r>
        <w:t xml:space="preserve">molecular dynamics, </w:t>
      </w:r>
      <w:r w:rsidR="002560DD">
        <w:t>computational chemistry</w:t>
      </w:r>
      <w:bookmarkStart w:id="2" w:name="_GoBack"/>
      <w:bookmarkEnd w:id="2"/>
      <w:r>
        <w:t>, membranes, aggregation, machine learning</w:t>
      </w:r>
      <w:r w:rsidR="002560DD">
        <w:t>, artificial intelligence</w:t>
      </w:r>
    </w:p>
    <w:p w14:paraId="1712BA06" w14:textId="77777777" w:rsidR="001529CF" w:rsidRDefault="00492337">
      <w:pPr>
        <w:pStyle w:val="Heading1"/>
      </w:pPr>
      <w:bookmarkStart w:id="3" w:name="_1fob9te"/>
      <w:bookmarkEnd w:id="3"/>
      <w:r>
        <w:t>Introduction</w:t>
      </w:r>
    </w:p>
    <w:p w14:paraId="44773A0B" w14:textId="1ADBB6C8" w:rsidR="001529CF" w:rsidRDefault="00492337">
      <w:pPr>
        <w:pStyle w:val="LO-normal"/>
        <w:jc w:val="both"/>
      </w:pPr>
      <w:r>
        <w:t>One of the most important classes of drugs are antibiotics, which have found consistent use in medicine since their discovery in the first half of the twentieth century</w:t>
      </w:r>
      <w:r>
        <w:fldChar w:fldCharType="begin" w:fldLock="1"/>
      </w:r>
      <w:r w:rsidR="007012DA">
        <w:instrText>ADDIN CSL_CITATION {"citationItems":[{"id":"ITEM-1","itemData":{"DOI":"10.1038/ja.2017.62","ISSN":"18811469","PMID":"28676714","abstract":"The advent of modern antibiotics contributed enormously to the dramatic extension of human lifespan since their discovery by virtue of their lethal and selective action against pathogenic microbes. And yet despite our powerful arsenal of weapons against these pathogens, the war against them has not been won. And it may never be. Drug resistance is still menacing the society with many lives being lost due to deadly infections caused by continuously evolving strains spread beyond our means to eradicate them or prevent their spreading. Herein, the emergence and evolution of antibiotics is briefly reviewed, and a select number of total syntheses of naturally occurring antibiotics from the authors' laboratories are highlighted. The article concludes with a strong endorsement of the current efforts to intensify our fight against these dangerous pathogens with the hope that, this time, these initiatives will be sufficiently focused and serious enough so as to achieve our set goals of, at least, being prepared and ahead of them as part of our drive to improve humanity's healthcare and wellbeing.","author":[{"dropping-particle":"","family":"Nicolaou","given":"Kyriacos C.","non-dropping-particle":"","parse-names":false,"suffix":""},{"dropping-particle":"","family":"Rigol","given":"Stephan","non-dropping-particle":"","parse-names":false,"suffix":""}],"container-title":"Journal of Antibiotics","id":"ITEM-1","issue":"2","issued":{"date-parts":[["2018","2","1"]]},"page":"153-184","publisher":"Nature Publishing Group","title":"A brief history of antibiotics and select advances in their synthesis","type":"article-journal","volume":"71"},"uris":["http://www.mendeley.com/documents/?uuid=a8bc6f58-0232-34a8-af4e-873e7fc81046"]}],"mendeley":{"formattedCitation":"&lt;sup&gt;1&lt;/sup&gt;","plainTextFormattedCitation":"1","previouslyFormattedCitation":"&lt;sup&gt;1&lt;/sup&gt;"},"properties":{"noteIndex":0},"schema":"https://github.com/citation-style-language/schema/raw/master/csl-citation.json"}</w:instrText>
      </w:r>
      <w:r>
        <w:fldChar w:fldCharType="separate"/>
      </w:r>
      <w:r w:rsidRPr="00492337">
        <w:rPr>
          <w:noProof/>
          <w:vertAlign w:val="superscript"/>
        </w:rPr>
        <w:t>1</w:t>
      </w:r>
      <w:r>
        <w:fldChar w:fldCharType="end"/>
      </w:r>
      <w:r>
        <w:t>. Antibiotics have provided an effective and powerful treatment for many bacterial diseases and remain amongst the most frequently used and prescribed drugs worldwide</w:t>
      </w:r>
      <w:r>
        <w:fldChar w:fldCharType="begin" w:fldLock="1"/>
      </w:r>
      <w:r>
        <w:instrText>ADDIN CSL_CITATION {"citationItems":[{"id":"ITEM-1","itemData":{"DOI":"10.3390/pharmacy6020043","ISSN":"2226-4787","abstract":"Pharmacists have access to a plethora of information related to drugs. Online compendia concerning top 200 prescribed drugs are readily-accessible, comparatively-easy to search. While these resources provide some information about the commonly prescribed drugs, they lack in furnishing in-depth knowledge to pharmacy students, pharmacists and other healthcare professionals. The aim of this paper is to present the relevant details of top 200 most prescribed drugs in the United States. The names and therapeutic classes of top 200 prescribed drugs were compiled from online resources. The pharmacological actions of drugs, any reported adverse reactions and black box warnings are collected from drug bank resources, such as AccessPharmacy and Lexicomp. The paper provides comprehensive information about top 200 prescribed drugs, which includes generic names, pharmacological action, route of administration and adverse reaction profile including black box warning when applicable. Overall, the drug list may serve as an easy access of ideas for pharmacists, researchers and other healthcare professionals interested in developing new strategies for treating patients with various ailments.","author":[{"dropping-particle":"","family":"Fuentes","given":"Andrea","non-dropping-particle":"","parse-names":false,"suffix":""},{"dropping-particle":"","family":"Pineda","given":"Moises","non-dropping-particle":"","parse-names":false,"suffix":""},{"dropping-particle":"","family":"Venkata","given":"Kalyan","non-dropping-particle":"","parse-names":false,"suffix":""}],"container-title":"Pharmacy","id":"ITEM-1","issue":"2","issued":{"date-parts":[["2018","5","14"]]},"page":"43","publisher":"MDPI AG","title":"Comprehension of Top 200 Prescribed Drugs in the US as a Resource for Pharmacy Teaching, Training and Practice","type":"article-journal","volume":"6"},"uris":["http://www.mendeley.com/documents/?uuid=a7f73077-ba04-3946-8d73-3be19b51f8d1"]}],"mendeley":{"formattedCitation":"&lt;sup&gt;2&lt;/sup&gt;","plainTextFormattedCitation":"2","previouslyFormattedCitation":"&lt;sup&gt;2&lt;/sup&gt;"},"properties":{"noteIndex":0},"schema":"https://github.com/citation-style-language/schema/raw/master/csl-citation.json"}</w:instrText>
      </w:r>
      <w:r>
        <w:fldChar w:fldCharType="separate"/>
      </w:r>
      <w:r w:rsidRPr="00492337">
        <w:rPr>
          <w:noProof/>
          <w:vertAlign w:val="superscript"/>
        </w:rPr>
        <w:t>2</w:t>
      </w:r>
      <w:r>
        <w:fldChar w:fldCharType="end"/>
      </w:r>
      <w:r>
        <w:t>. Unfortunately, due to their unregulated overuse, noncompliance, and high demand within the agricultural/animal industry, the emergence of antibiotic resistant bacteria has become problematic, such as  methicillin-resistant Staphylococcus aureus (MRSA)</w:t>
      </w:r>
      <w:r>
        <w:fldChar w:fldCharType="begin" w:fldLock="1"/>
      </w:r>
      <w:r w:rsidR="007012DA">
        <w:instrText>ADDIN CSL_CITATION {"citationItems":[{"id":"ITEM-1","itemData":{"DOI":"10.1186/s13054-017-1801-3","ISSN":"1466609X","PMID":"28807042","abstract":"Methicillin-resistant Staphylococcus aureus (MRSA) infection is still a major global healthcare problem. Of concern is S. aureus bacteremia, which exhibits high rates of morbidity and mortality and can cause metastatic or complicated infections such as infective endocarditis or sepsis. MRSA is responsible for most global S. aureus bacteremia cases, and compared with methicillin-sensitive S. aureus, MRSA infection is associated with poorer clinical outcomes. S. aureus virulence is affected by the unique combination of toxin and immune-modulatory gene products, which may differ by geographic location and healthcare- or community-associated acquisition. Management of S. aureus bacteremia involves timely identification of the infecting strain and source of infection, proper choice of antibiotic treatment, and robust prevention strategies. Resistance and nonsusceptibility to first-line antimicrobials combined with a lack of equally effective alternatives complicates MRSA bacteremia treatment. This review describes trends in epidemiology and factors that influence the incidence of MRSA bacteremia. Current and developing diagnostic tools, treatments, and prevention strategies are also discussed.","author":[{"dropping-particle":"","family":"Hassoun","given":"Ali","non-dropping-particle":"","parse-names":false,"suffix":""},{"dropping-particle":"","family":"Linden","given":"Peter K.","non-dropping-particle":"","parse-names":false,"suffix":""},{"dropping-particle":"","family":"Friedman","given":"Bruce","non-dropping-particle":"","parse-names":false,"suffix":""}],"container-title":"Critical care (London, England)","id":"ITEM-1","issue":"1","issued":{"date-parts":[["2017","8","14"]]},"page":"211","publisher":"Crit Care","title":"Incidence, prevalence, and management of MRSA bacteremia across patient populations-a review of recent developments in MRSA management and treatment","type":"article-journal","volume":"21"},"uris":["http://www.mendeley.com/documents/?uuid=fac403f4-984d-33b5-b2f4-d68530eba467"]}],"mendeley":{"formattedCitation":"&lt;sup&gt;3&lt;/sup&gt;","plainTextFormattedCitation":"3","previouslyFormattedCitation":"&lt;sup&gt;3&lt;/sup&gt;"},"properties":{"noteIndex":0},"schema":"https://github.com/citation-style-language/schema/raw/master/csl-citation.json"}</w:instrText>
      </w:r>
      <w:r>
        <w:fldChar w:fldCharType="separate"/>
      </w:r>
      <w:r w:rsidRPr="00492337">
        <w:rPr>
          <w:noProof/>
          <w:vertAlign w:val="superscript"/>
        </w:rPr>
        <w:t>3</w:t>
      </w:r>
      <w:r>
        <w:fldChar w:fldCharType="end"/>
      </w:r>
      <w:r>
        <w:t xml:space="preserve">. This has resulted in loss of efficacy of the commonly prescribed antibiotics against previously treatable illnesses. To obviate this problem, new paradigms and approaches are needed, both to treat currently resistant infections and to reduce the risk of future resistance. </w:t>
      </w:r>
    </w:p>
    <w:p w14:paraId="2CFA84E0" w14:textId="77777777" w:rsidR="001529CF" w:rsidRDefault="001529CF">
      <w:pPr>
        <w:pStyle w:val="LO-normal"/>
        <w:jc w:val="both"/>
      </w:pPr>
    </w:p>
    <w:p w14:paraId="21C846CA" w14:textId="3565E970" w:rsidR="001529CF" w:rsidRDefault="00492337">
      <w:pPr>
        <w:pStyle w:val="LO-normal"/>
        <w:jc w:val="both"/>
      </w:pPr>
      <w:r>
        <w:t>One approach has been to harness lessons learnt from a class of molecules that are naturally abundant. These are the AntiMicrobial Peptides (AMP) that exploit a mechanism that is different from those employed by more traditional antibiotics</w:t>
      </w:r>
      <w:r>
        <w:fldChar w:fldCharType="begin" w:fldLock="1"/>
      </w:r>
      <w:r w:rsidR="007012DA">
        <w:instrText>ADDIN CSL_CITATION {"citationItems":[{"id":"ITEM-1","itemData":{"DOI":"10.3389/fcimb.2016.00194","ISSN":"22352988","PMID":"28083516","abstract":"Antimicrobial peptides (AMPs), also known as host defense peptides, are short and generally positively charged peptides found in a wide variety of life forms from microorganisms to humans. Most AMPs have the ability to kill microbial pathogens directly, whereas others act indirectly by modulating the host defense systems. Against a background of rapidly increasing resistance development to conventional antibiotics all over the world, efforts to bring AMPs into clinical use are accelerating. Several AMPs are currently being evaluated in clinical trials as novel anti-infectives, but also as new pharmacological agents to modulate the immune response, promote wound healing, and prevent post-surgical adhesions. In this review, we provide an overview of the biological role, classification, and mode of action of AMPs, discuss the opportunities and challenges to develop these peptides for clinical applications, and review the innovative formulation strategies for application of AMPs.","author":[{"dropping-particle":"","family":"Mahlapuu","given":"Margit","non-dropping-particle":"","parse-names":false,"suffix":""},{"dropping-particle":"","family":"Håkansson","given":"Joakim","non-dropping-particle":"","parse-names":false,"suffix":""},{"dropping-particle":"","family":"Ringstad","given":"Lovisa","non-dropping-particle":"","parse-names":false,"suffix":""},{"dropping-particle":"","family":"Björn","given":"Camilla","non-dropping-particle":"","parse-names":false,"suffix":""}],"container-title":"Frontiers in Cellular and Infection Microbiology","id":"ITEM-1","issue":"DEC","issued":{"date-parts":[["2016"]]},"page":"194","publisher":"Frontiers Media S.A.","title":"Antimicrobial peptides: An emerging category of therapeutic agents","type":"article-journal","volume":"6"},"uris":["http://www.mendeley.com/documents/?uuid=f7f2d3e3-eaef-3893-98f3-fae653201188"]}],"mendeley":{"formattedCitation":"&lt;sup&gt;4&lt;/sup&gt;","plainTextFormattedCitation":"4","previouslyFormattedCitation":"&lt;sup&gt;4&lt;/sup&gt;"},"properties":{"noteIndex":0},"schema":"https://github.com/citation-style-language/schema/raw/master/csl-citation.json"}</w:instrText>
      </w:r>
      <w:r>
        <w:fldChar w:fldCharType="separate"/>
      </w:r>
      <w:r w:rsidRPr="00492337">
        <w:rPr>
          <w:noProof/>
          <w:vertAlign w:val="superscript"/>
        </w:rPr>
        <w:t>4</w:t>
      </w:r>
      <w:r>
        <w:fldChar w:fldCharType="end"/>
      </w:r>
      <w:r>
        <w:t xml:space="preserve">. AMPs are used by the immune systems of many organisms to defend against bacterial infections by targeting and disrupting bacterial cell membranes. This contrasts with the traditional antibiotics, which themselves are derivatives of molecules produced by organisms as part of their defence, but </w:t>
      </w:r>
      <w:r w:rsidR="00F96EA0">
        <w:t xml:space="preserve">generally </w:t>
      </w:r>
      <w:r>
        <w:t>target intracellular pathways rather than the membrane</w:t>
      </w:r>
      <w:r>
        <w:fldChar w:fldCharType="begin" w:fldLock="1"/>
      </w:r>
      <w:r w:rsidR="007012DA">
        <w:instrText>ADDIN CSL_CITATION {"citationItems":[{"id":"ITEM-1","itemData":{"DOI":"10.1038/ja.2017.62","ISSN":"18811469","PMID":"28676714","abstract":"The advent of modern antibiotics contributed enormously to the dramatic extension of human lifespan since their discovery by virtue of their lethal and selective action against pathogenic microbes. And yet despite our powerful arsenal of weapons against these pathogens, the war against them has not been won. And it may never be. Drug resistance is still menacing the society with many lives being lost due to deadly infections caused by continuously evolving strains spread beyond our means to eradicate them or prevent their spreading. Herein, the emergence and evolution of antibiotics is briefly reviewed, and a select number of total syntheses of naturally occurring antibiotics from the authors' laboratories are highlighted. The article concludes with a strong endorsement of the current efforts to intensify our fight against these dangerous pathogens with the hope that, this time, these initiatives will be sufficiently focused and serious enough so as to achieve our set goals of, at least, being prepared and ahead of them as part of our drive to improve humanity's healthcare and wellbeing.","author":[{"dropping-particle":"","family":"Nicolaou","given":"Kyriacos C.","non-dropping-particle":"","parse-names":false,"suffix":""},{"dropping-particle":"","family":"Rigol","given":"Stephan","non-dropping-particle":"","parse-names":false,"suffix":""}],"container-title":"Journal of Antibiotics","id":"ITEM-1","issue":"2","issued":{"date-parts":[["2018","2","1"]]},"page":"153-184","publisher":"Nature Publishing Group","title":"A brief history of antibiotics and select advances in their synthesis","type":"article-journal","volume":"71"},"uris":["http://www.mendeley.com/documents/?uuid=a8bc6f58-0232-34a8-af4e-873e7fc81046"]}],"mendeley":{"formattedCitation":"&lt;sup&gt;1&lt;/sup&gt;","plainTextFormattedCitation":"1","previouslyFormattedCitation":"&lt;sup&gt;1&lt;/sup&gt;"},"properties":{"noteIndex":0},"schema":"https://github.com/citation-style-language/schema/raw/master/csl-citation.json"}</w:instrText>
      </w:r>
      <w:r>
        <w:fldChar w:fldCharType="separate"/>
      </w:r>
      <w:r w:rsidRPr="00492337">
        <w:rPr>
          <w:noProof/>
          <w:vertAlign w:val="superscript"/>
        </w:rPr>
        <w:t>1</w:t>
      </w:r>
      <w:r>
        <w:fldChar w:fldCharType="end"/>
      </w:r>
      <w:r w:rsidR="00F96EA0">
        <w:t xml:space="preserve">, although membrane-targeting antibiotics have also been </w:t>
      </w:r>
      <w:r w:rsidR="00F96EA0">
        <w:lastRenderedPageBreak/>
        <w:t>reported</w:t>
      </w:r>
      <w:r w:rsidR="00F96EA0">
        <w:fldChar w:fldCharType="begin" w:fldLock="1"/>
      </w:r>
      <w:r w:rsidR="00B05924">
        <w:instrText>ADDIN CSL_CITATION {"citationItems":[{"id":"ITEM-1","itemData":{"DOI":"10.1016/j.bbamem.2015.10.018","ISSN":"18792642","PMID":"26514603","abstract":"The bacterial membrane provides a target for antimicrobial peptides. There are two groups of bacteria that have characteristically different surface membranes. One is the Gram-negative bacteria that have an outer membrane rich in lipopolysaccharide. Several antimicrobials have been found to inhibit the synthesis of this lipid, and it is expected that more will be developed. In addition, antimicrobial peptides can bind to the outer membrane of Gram-negative bacteria and block passage of solutes between the periplasm and the cell exterior, resulting in bacterial toxicity. In Gram-positive bacteria, the major bacterial lipid component, phosphatidylglycerol can be chemically modified by bacterial enzymes to convert the lipid from anionic to cationic or zwitterionic form. This process leads to increased levels of resistance of the bacteria against polycationic antimicrobial agents. Inhibitors of this enzyme would provide protection against the development of bacterial resistance. There are antimicrobial agents that directly target a component of bacterial cytoplasmic membranes that can act on both Gram-negative as well as Gram-positive bacteria. Many of these are cyclic peptides with a rigid binding site capable of binding a lipid component. This binding targets antimicrobial agents to bacteria, rather than being toxic to host cells. This article is part of a Special Issue entitled: Antimicrobial peptides edited by Karl Lohner and Kai Hilpert.","author":[{"dropping-particle":"","family":"Epand","given":"Richard M.","non-dropping-particle":"","parse-names":false,"suffix":""},{"dropping-particle":"","family":"Walker","given":"Chelsea","non-dropping-particle":"","parse-names":false,"suffix":""},{"dropping-particle":"","family":"Epand","given":"Raquel F.","non-dropping-particle":"","parse-names":false,"suffix":""},{"dropping-particle":"","family":"Magarvey","given":"Nathan A.","non-dropping-particle":"","parse-names":false,"suffix":""}],"container-title":"Biochimica et Biophysica Acta - Biomembranes","id":"ITEM-1","issue":"5","issued":{"date-parts":[["2016","5","1"]]},"page":"980-987","publisher":"Elsevier B.V.","title":"Molecular mechanisms of membrane targeting antibiotics","type":"article-journal","volume":"1858"},"uris":["http://www.mendeley.com/documents/?uuid=392323c1-7a14-3b83-8bfd-6c114e9aa90d"]}],"mendeley":{"formattedCitation":"&lt;sup&gt;5&lt;/sup&gt;","plainTextFormattedCitation":"5","previouslyFormattedCitation":"&lt;sup&gt;5&lt;/sup&gt;"},"properties":{"noteIndex":0},"schema":"https://github.com/citation-style-language/schema/raw/master/csl-citation.json"}</w:instrText>
      </w:r>
      <w:r w:rsidR="00F96EA0">
        <w:fldChar w:fldCharType="separate"/>
      </w:r>
      <w:r w:rsidR="00F96EA0" w:rsidRPr="00F96EA0">
        <w:rPr>
          <w:noProof/>
          <w:vertAlign w:val="superscript"/>
        </w:rPr>
        <w:t>5</w:t>
      </w:r>
      <w:r w:rsidR="00F96EA0">
        <w:fldChar w:fldCharType="end"/>
      </w:r>
      <w:r>
        <w:t>. As the membrane is an essential component of the bacterial cell, the general hypothesis is that bacteria cannot easily remodel it, which significantly lessens the risk of developing resistance to AMPs. Indeed, since their discovery in the mid-twentieth century</w:t>
      </w:r>
      <w:r>
        <w:fldChar w:fldCharType="begin" w:fldLock="1"/>
      </w:r>
      <w:r w:rsidR="00576689">
        <w:instrText>ADDIN CSL_CITATION {"citationItems":[{"id":"ITEM-1","itemData":{"DOI":"10.1084/jem.70.1.1","ISSN":"15409538","PMID":"19870884","abstract":"A Gram-positive, spore-bearing, aerobic bacillus, capable of lyzing the living cells of many Gram-positive microbial species, has been isolated from soil. Cultures of this soil bacillus in peptone media release during autolysis a soluble agent which exerts a bactericidal effect on all the Gram-positive microorganisms so far tested, and inactivates their glucose dehydrogenases. It also inhibits the growth of the susceptible species in culture media. Several of the Gram-positive species undergo lysis when incubated with the bactericidal agent. It appears however, that lysis is only a secondary process, due to the autolytic enzymes of the susceptible cells, and that it follows upon some other primary injury caused by the active agent. The bactericidal agent is ineffective against all the Gram-negative bacilli so far tested. © 1939, Rockefeller University Press., All rights reserved.","author":[{"dropping-particle":"","family":"Dubos","given":"Rene J.","non-dropping-particle":"","parse-names":false,"suffix":""}],"container-title":"Journal of Experimental Medicine","id":"ITEM-1","issue":"1","issued":{"date-parts":[["1939","7","1"]]},"page":"1-10","publisher":"The Rockefeller University Press","title":"Studies on a bactericidal agent extracted from a soil bacillus: I. Preparation of the agent. Its activity in vitro","type":"article-journal","volume":"70"},"uris":["http://www.mendeley.com/documents/?uuid=994b610a-fb60-3065-89b7-9b9f76eb2440"]},{"id":"ITEM-2","itemData":{"DOI":"10.1084/jem.73.5.629","ISSN":"15409538","PMID":"19871101","abstract":"Several species of aerobic sporulating bacilli recently isolated from soil, sewage, manure, and cheese, as well as authentic strains obtained from type culture collections, have been found to exhibit antagonistic activity against unrelated microorganisms. Cultures of these aerobic sporulating bacilli yield an alcohol-soluble, water-insoluble fraction,-tyrothricin,-which is bactericidal for most Gram-positive and Gram-negative microbial species. Two different crystalline products have been separated from tyrothricin. One, which may be called tyrocidine, is bactericidal in vitro for both Grampositive and Gram-negative species; the other substance, gramicidin, is effective only against Gram-positive microorganisms. In general, tyrocidine behaves like a protoplasmic poison and like other antiseptics, loses much of its activity in the presence of animal tissues. Gramicidin on the contrary exerts a much more subtle physiological effect on the susceptible bacterial cells and, when applied locally at the site of the infection, retains in vivo a striking activity against Gram-positive microorganisms. © 1941, Rockefeller University Press., All rights reserved.","author":[{"dropping-particle":"","family":"Dubos","given":"René J.","non-dropping-particle":"","parse-names":false,"suffix":""},{"dropping-particle":"","family":"Hotchkiss","given":"Rollin D.","non-dropping-particle":"","parse-names":false,"suffix":""}],"container-title":"Journal of Experimental Medicine","id":"ITEM-2","issue":"5","issued":{"date-parts":[["1941","5","1"]]},"page":"629-640","publisher":"The Rockefeller University Press","title":"The production of bactericidal substances by aerobic sporulating bacilli","type":"article-journal","volume":"73"},"uris":["http://www.mendeley.com/documents/?uuid=a186636f-44a6-3c53-976b-6f1e68abff4c"]},{"id":"ITEM-3","itemData":{"DOI":"10.1084/jem.103.5.589","ISSN":"00221007","PMID":"13319580","author":[{"dropping-particle":"","family":"Hirsch","given":"J. G.","non-dropping-particle":"","parse-names":false,"suffix":""}],"container-title":"The Journal of experimental medicine","id":"ITEM-3","issue":"5","issued":{"date-parts":[["1956","5","1"]]},"page":"589-611","title":"Phagocytin: a bactericidal substance from polymorphonuclear leucocytes.","type":"article-journal","volume":"103"},"uris":["http://www.mendeley.com/documents/?uuid=f9708e65-dace-310f-8fb7-d457565e555f"]}],"mendeley":{"formattedCitation":"&lt;sup&gt;6–8&lt;/sup&gt;","plainTextFormattedCitation":"6–8","previouslyFormattedCitation":"&lt;sup&gt;6–8&lt;/sup&gt;"},"properties":{"noteIndex":0},"schema":"https://github.com/citation-style-language/schema/raw/master/csl-citation.json"}</w:instrText>
      </w:r>
      <w:r>
        <w:fldChar w:fldCharType="separate"/>
      </w:r>
      <w:r w:rsidR="00F96EA0" w:rsidRPr="00F96EA0">
        <w:rPr>
          <w:noProof/>
          <w:vertAlign w:val="superscript"/>
        </w:rPr>
        <w:t>6–8</w:t>
      </w:r>
      <w:r>
        <w:fldChar w:fldCharType="end"/>
      </w:r>
      <w:r>
        <w:t>, they have become an established class of antibiotics</w:t>
      </w:r>
      <w:r>
        <w:fldChar w:fldCharType="begin" w:fldLock="1"/>
      </w:r>
      <w:r w:rsidR="00B05924">
        <w:instrText>ADDIN CSL_CITATION {"citationItems":[{"id":"ITEM-1","itemData":{"DOI":"10.3390/ph6121543","ISSN":"1424-8247","abstract":"The rapid increase in drug-resistant infections has presented a serious challenge to antimicrobial therapies. The failure of the most potent antibiotics to kill \"superbugs\" emphasizes the urgent need to develop other control agents. Here we review the history and new development of antimicrobial peptides (AMPs), a growing class of natural and synthetic peptides with a wide spectrum of targets including viruses, bacteria, fungi, and parasites. We summarize the major types of AMPs, their modes of action, and the common mechanisms of AMP resistance. In addition, we discuss the principles for designing effective AMPs and the potential of using AMPs to control biofilms (multicellular structures of bacteria embedded in extracellular matrixes) and persister cells (dormant phenotypic variants of bacterial cells that are highly tolerant to antibiotics). © 2013 by the authors; licensee MDPI, Basel, Switzerland.","author":[{"dropping-particle":"","family":"Bahar","given":"Ali","non-dropping-particle":"","parse-names":false,"suffix":""},{"dropping-particle":"","family":"Ren","given":"Dacheng","non-dropping-particle":"","parse-names":false,"suffix":""}],"container-title":"Pharmaceuticals","id":"ITEM-1","issue":"12","issued":{"date-parts":[["2013","11","28"]]},"page":"1543-1575","publisher":"MDPI AG","title":"Antimicrobial Peptides","type":"article-journal","volume":"6"},"uris":["http://www.mendeley.com/documents/?uuid=66ab0295-38df-354a-934c-4a86198b6dbd"]}],"mendeley":{"formattedCitation":"&lt;sup&gt;9&lt;/sup&gt;","plainTextFormattedCitation":"9","previouslyFormattedCitation":"&lt;sup&gt;9&lt;/sup&gt;"},"properties":{"noteIndex":0},"schema":"https://github.com/citation-style-language/schema/raw/master/csl-citation.json"}</w:instrText>
      </w:r>
      <w:r>
        <w:fldChar w:fldCharType="separate"/>
      </w:r>
      <w:r w:rsidR="00F96EA0" w:rsidRPr="00F96EA0">
        <w:rPr>
          <w:noProof/>
          <w:vertAlign w:val="superscript"/>
        </w:rPr>
        <w:t>9</w:t>
      </w:r>
      <w:r>
        <w:fldChar w:fldCharType="end"/>
      </w:r>
      <w:r>
        <w:t>. The earliest AMP, Gramicidin S, was first isolated from Russian soil by Gause and Brazhnikova in 1942 and was effectively used as a topical antibiotic to treat infected wounds by the Soviet Union in World War II</w:t>
      </w:r>
      <w:r>
        <w:fldChar w:fldCharType="begin" w:fldLock="1"/>
      </w:r>
      <w:r w:rsidR="007012DA">
        <w:instrText>ADDIN CSL_CITATION {"citationItems":[{"id":"ITEM-1","itemData":{"DOI":"10.1038/154703a0","ISSN":"00280836","abstract":"ANTISEPTICS of biological origin are now well known since the pioneer investigations of Fleming on penicillin and Dubos on tyrothricin. In our laboratory early in 1942 an attempt was made to isolate the strains of Bacillus brevis from Russian soils in order to prepare tyrothricin similar to that of Dubos. In the course of this work we isolated from soil a new strain of aerobic sporulating bacillus possessing some unique characteristics. It is well known that alcoholic extract of the acid precipitate of the culture of B. brevis contains an amorphous body, designated by Dubos and Hotchkiss (1941) as tyrothricin, which can be afterwards fractionated by special procedures into two individual crystalline substances, gramicidin and tyrocidine hydrochloride. In distinction from this, alcoholic extract of the acid precipitate from our strain consists almost entirely of the antibacterial substance, which is not amorphous but is directly crystallizable from the alcoholic solution. This crystalline substance can be further purified and obtained in the form of colourless needles with the melting point 267–268°. Hence it is different from gramicidin (m.p. 228–230°) and tyrocidine hydrochloride (m.p. about 240°). The bacteria producing this substance were designated as the strain of Gause-Brazhnikova, and the substance itself as gramicidin S (Soviet gramicidin).","author":[{"dropping-particle":"","family":"Gause","given":"G. F.","non-dropping-particle":"","parse-names":false,"suffix":""},{"dropping-particle":"","family":"Brazhnikova","given":"M. G.","non-dropping-particle":"","parse-names":false,"suffix":""}],"container-title":"Nature","id":"ITEM-1","issue":"3918","issued":{"date-parts":[["1944"]]},"page":"703","publisher":"Nature Publishing Group","title":"Gramicidin S and its use in the treatment of infected wounds","type":"article-journal","volume":"154"},"uris":["http://www.mendeley.com/documents/?uuid=9a09815e-bfa4-3e8f-ad75-3f29b182a68f"]},{"id":"ITEM-2","itemData":{"DOI":"10.1128/mBio.00802-18","ISSN":"21507511","PMID":"30301848","abstract":"Cyclic β-sheet decapeptides from the tyrocidine group and the homologous gramicidin S were the first commercially used antibiotics, yet it remains unclear exactly how they kill bacteria. We investigated their mode of action using a bacterial cytological profiling approach. Tyrocidines form defined ion-conducting pores, induce lipid phase separation, and strongly reduce membrane fluidity, resulting in delocalization of a broad range of peripheral and integral membrane proteins. Interestingly, they also cause DNA damage and interfere with DNA-binding proteins. Despite sharing 50% sequence identity with tyrocidines, gramicidin S causes only mild lipid demixing with minor effects on membrane fluidity and permeability. Gramicidin S delocalizes peripheral membrane proteins involved in cell division and cell envelope synthesis but does not affect integral membrane proteins or DNA. Our results shed a new light on the multifaceted antibacterial mechanisms of these antibiotics and explain why resistance to them is virtually nonexistent. IMPORTANCE Cyclic β-sheet decapeptides, such as tyrocidines and gramicidin S, were among the first antibiotics in clinical application. Although they have been used for such a long time, there is virtually no resistance to them, which has led to a renewed interest in this peptide class. Both tyrocidines and gramicidin S are thought to disrupt the bacterial membrane. However, this knowledge is mainly derived from in vitro studies, and there is surprisingly little knowledge about how these long-established antibiotics kill bacteria. Our results shed new light on the antibacterial mechanism of β-sheet peptide antibiotics and explain why they are still so effective and why there is so little resistance to them.","author":[{"dropping-particle":"","family":"Wenzel","given":"Michaela","non-dropping-particle":"","parse-names":false,"suffix":""},{"dropping-particle":"","family":"Rautenbach","given":"Marina","non-dropping-particle":"","parse-names":false,"suffix":""},{"dropping-particle":"","family":"Vosloo","given":"J. Arnold","non-dropping-particle":"","parse-names":false,"suffix":""},{"dropping-particle":"","family":"Siersma","given":"Tjalling","non-dropping-particle":"","parse-names":false,"suffix":""},{"dropping-particle":"","family":"Aisenbrey","given":"Christopher H.M.","non-dropping-particle":"","parse-names":false,"suffix":""},{"dropping-particle":"","family":"Zaitseva","given":"Ekaterina","non-dropping-particle":"","parse-names":false,"suffix":""},{"dropping-particle":"","family":"Laubscher","given":"Wikus E.","non-dropping-particle":"","parse-names":false,"suffix":""},{"dropping-particle":"","family":"Rensburg","given":"Wilma","non-dropping-particle":"van","parse-names":false,"suffix":""},{"dropping-particle":"","family":"Behrends","given":"Jan C.","non-dropping-particle":"","parse-names":false,"suffix":""},{"dropping-particle":"","family":"Bechinger","given":"Burkhard","non-dropping-particle":"","parse-names":false,"suffix":""},{"dropping-particle":"","family":"Hamoen","given":"Leendert W.","non-dropping-particle":"","parse-names":false,"suffix":""}],"container-title":"mBio","id":"ITEM-2","issue":"5","issued":{"date-parts":[["2018","9","1"]]},"page":"e00802-18","publisher":"American Society for Microbiology","title":"The multifaceted antibacterial mechanisms of the pioneering peptide antibiotics tyrocidine and gramicidin S","type":"article-journal","volume":"9"},"uris":["http://www.mendeley.com/documents/?uuid=d5e3737e-0e30-3c2d-b8a2-65467a575065"]}],"mendeley":{"formattedCitation":"&lt;sup&gt;10,11&lt;/sup&gt;","plainTextFormattedCitation":"10,11","previouslyFormattedCitation":"&lt;sup&gt;10,11&lt;/sup&gt;"},"properties":{"noteIndex":0},"schema":"https://github.com/citation-style-language/schema/raw/master/csl-citation.json"}</w:instrText>
      </w:r>
      <w:r>
        <w:fldChar w:fldCharType="separate"/>
      </w:r>
      <w:r w:rsidR="00F96EA0" w:rsidRPr="00F96EA0">
        <w:rPr>
          <w:noProof/>
          <w:vertAlign w:val="superscript"/>
        </w:rPr>
        <w:t>10,11</w:t>
      </w:r>
      <w:r>
        <w:fldChar w:fldCharType="end"/>
      </w:r>
      <w:r>
        <w:t>. Despite being one of the first antibiotics used in modern medicine, there is very little resistance reported for Gramicidin S, which has led to interest in understanding its mechanisms. It is now acknowledged that Gramicidin S affects bacterial cell membranes in a multifaceted manner, hence the low incidence of resistance</w:t>
      </w:r>
      <w:r>
        <w:fldChar w:fldCharType="begin" w:fldLock="1"/>
      </w:r>
      <w:r w:rsidR="007E7BCC">
        <w:instrText>ADDIN CSL_CITATION {"citationItems":[{"id":"ITEM-1","itemData":{"DOI":"10.1128/mBio.00802-18","ISSN":"21507511","PMID":"30301848","abstract":"Cyclic β-sheet decapeptides from the tyrocidine group and the homologous gramicidin S were the first commercially used antibiotics, yet it remains unclear exactly how they kill bacteria. We investigated their mode of action using a bacterial cytological profiling approach. Tyrocidines form defined ion-conducting pores, induce lipid phase separation, and strongly reduce membrane fluidity, resulting in delocalization of a broad range of peripheral and integral membrane proteins. Interestingly, they also cause DNA damage and interfere with DNA-binding proteins. Despite sharing 50% sequence identity with tyrocidines, gramicidin S causes only mild lipid demixing with minor effects on membrane fluidity and permeability. Gramicidin S delocalizes peripheral membrane proteins involved in cell division and cell envelope synthesis but does not affect integral membrane proteins or DNA. Our results shed a new light on the multifaceted antibacterial mechanisms of these antibiotics and explain why resistance to them is virtually nonexistent. IMPORTANCE Cyclic β-sheet decapeptides, such as tyrocidines and gramicidin S, were among the first antibiotics in clinical application. Although they have been used for such a long time, there is virtually no resistance to them, which has led to a renewed interest in this peptide class. Both tyrocidines and gramicidin S are thought to disrupt the bacterial membrane. However, this knowledge is mainly derived from in vitro studies, and there is surprisingly little knowledge about how these long-established antibiotics kill bacteria. Our results shed new light on the antibacterial mechanism of β-sheet peptide antibiotics and explain why they are still so effective and why there is so little resistance to them.","author":[{"dropping-particle":"","family":"Wenzel","given":"Michaela","non-dropping-particle":"","parse-names":false,"suffix":""},{"dropping-particle":"","family":"Rautenbach","given":"Marina","non-dropping-particle":"","parse-names":false,"suffix":""},{"dropping-particle":"","family":"Vosloo","given":"J. Arnold","non-dropping-particle":"","parse-names":false,"suffix":""},{"dropping-particle":"","family":"Siersma","given":"Tjalling","non-dropping-particle":"","parse-names":false,"suffix":""},{"dropping-particle":"","family":"Aisenbrey","given":"Christopher H.M.","non-dropping-particle":"","parse-names":false,"suffix":""},{"dropping-particle":"","family":"Zaitseva","given":"Ekaterina","non-dropping-particle":"","parse-names":false,"suffix":""},{"dropping-particle":"","family":"Laubscher","given":"Wikus E.","non-dropping-particle":"","parse-names":false,"suffix":""},{"dropping-particle":"","family":"Rensburg","given":"Wilma","non-dropping-particle":"van","parse-names":false,"suffix":""},{"dropping-particle":"","family":"Behrends","given":"Jan C.","non-dropping-particle":"","parse-names":false,"suffix":""},{"dropping-particle":"","family":"Bechinger","given":"Burkhard","non-dropping-particle":"","parse-names":false,"suffix":""},{"dropping-particle":"","family":"Hamoen","given":"Leendert W.","non-dropping-particle":"","parse-names":false,"suffix":""}],"container-title":"mBio","id":"ITEM-1","issue":"5","issued":{"date-parts":[["2018","9","1"]]},"page":"e00802-18","publisher":"American Society for Microbiology","title":"The multifaceted antibacterial mechanisms of the pioneering peptide antibiotics tyrocidine and gramicidin S","type":"article-journal","volume":"9"},"uris":["http://www.mendeley.com/documents/?uuid=d5e3737e-0e30-3c2d-b8a2-65467a575065"]}],"mendeley":{"formattedCitation":"&lt;sup&gt;11&lt;/sup&gt;","plainTextFormattedCitation":"11","previouslyFormattedCitation":"&lt;sup&gt;11&lt;/sup&gt;"},"properties":{"noteIndex":0},"schema":"https://github.com/citation-style-language/schema/raw/master/csl-citation.json"}</w:instrText>
      </w:r>
      <w:r>
        <w:fldChar w:fldCharType="separate"/>
      </w:r>
      <w:r w:rsidR="00F96EA0" w:rsidRPr="00F96EA0">
        <w:rPr>
          <w:noProof/>
          <w:vertAlign w:val="superscript"/>
        </w:rPr>
        <w:t>11</w:t>
      </w:r>
      <w:r>
        <w:fldChar w:fldCharType="end"/>
      </w:r>
      <w:r>
        <w:t xml:space="preserve">. </w:t>
      </w:r>
    </w:p>
    <w:p w14:paraId="1C16F03F" w14:textId="77777777" w:rsidR="00294CCC" w:rsidRDefault="00294CCC">
      <w:pPr>
        <w:pStyle w:val="LO-normal"/>
        <w:jc w:val="both"/>
      </w:pPr>
    </w:p>
    <w:p w14:paraId="3E1F6E50" w14:textId="2037C342" w:rsidR="00294CCC" w:rsidRDefault="00016F6B" w:rsidP="00294CCC">
      <w:pPr>
        <w:pStyle w:val="LO-normal"/>
        <w:jc w:val="both"/>
      </w:pPr>
      <w:r>
        <w:t>There are a variety of theories reflecting on the mechanisms underscoring the observed r</w:t>
      </w:r>
      <w:r w:rsidR="00294CCC">
        <w:t>educed susceptibility of AMPs to antibiotic resistance, which makes their role in m</w:t>
      </w:r>
      <w:r>
        <w:t>odern antibiotic research vital</w:t>
      </w:r>
      <w:r w:rsidR="00294CCC">
        <w:t>. For example, AMPs have been shown to kill bacteria through multiple, diverse mechanisms, which is important because a diverse approa</w:t>
      </w:r>
      <w:r>
        <w:t xml:space="preserve">ch reduces the likelihood that </w:t>
      </w:r>
      <w:r w:rsidR="00294CCC">
        <w:t>site-specifi</w:t>
      </w:r>
      <w:r>
        <w:t>c bacterial mutations will result in</w:t>
      </w:r>
      <w:r w:rsidR="00294CCC">
        <w:t xml:space="preserve"> resistance</w:t>
      </w:r>
      <w:r w:rsidR="00294CCC">
        <w:fldChar w:fldCharType="begin" w:fldLock="1"/>
      </w:r>
      <w:r w:rsidR="001403A4">
        <w:instrText>ADDIN CSL_CITATION {"citationItems":[{"id":"ITEM-1","itemData":{"DOI":"10.1007/s12602-018-9465-0","ISSN":"18671306","PMID":"30229514","abstract":"Antibiotic resistance is an imminent threat to the effective treatment of bacterial infections, and alternative antibiotic strategies are urgently required. The golden epoch of antibiotics is coming to an end, and the development of new therapeutic agents to combat bacterial infections should be prioritized. This article will review the potential of antimicrobial peptides (AMPs) to combat the threat of antimicrobial resistance. The modern-day antimicrobial resistance dilemma is briefly discussed followed by a review of the potential of AMPs to be used alone or in combination with current antibiotics in order to enhance antibacterial properties of antibiotics while also potentially combatting resistance. This article reiterates that many AMPs exhibit direct microbial killing activity and also play an integral role in the innate immune system. These properties make AMPs attractive alternative antimicrobial agents. Furthermore, AMPs are promising candidates to be used as adjuvants in combination with current antibiotics in order to combat antibiotic resistance. Combinations of AMPs and antibiotics are less likely to develop resistance or transmit cross-resistance. The further identification and therapeutic development of AMPs and antibiotic-AMP combinations are strongly recommended.","author":[{"dropping-particle":"","family":"Lewies","given":"Angélique","non-dropping-particle":"","parse-names":false,"suffix":""},{"dropping-particle":"","family":"Plessis","given":"Lissinda H.","non-dropping-particle":"Du","parse-names":false,"suffix":""},{"dropping-particle":"","family":"Wentzel","given":"Johannes F.","non-dropping-particle":"","parse-names":false,"suffix":""}],"container-title":"Probiotics and Antimicrobial Proteins","id":"ITEM-1","issue":"2","issued":{"date-parts":[["2019","6","15"]]},"page":"370-381","publisher":"Springer New York LLC","title":"Antimicrobial Peptides: the Achilles’ Heel of Antibiotic Resistance?","type":"article-journal","volume":"11"},"uris":["http://www.mendeley.com/documents/?uuid=880a5d0c-ce87-3222-8249-b84016d9f0f2"]}],"mendeley":{"formattedCitation":"&lt;sup&gt;12&lt;/sup&gt;","plainTextFormattedCitation":"12","previouslyFormattedCitation":"&lt;sup&gt;12&lt;/sup&gt;"},"properties":{"noteIndex":0},"schema":"https://github.com/citation-style-language/schema/raw/master/csl-citation.json"}</w:instrText>
      </w:r>
      <w:r w:rsidR="00294CCC">
        <w:fldChar w:fldCharType="separate"/>
      </w:r>
      <w:r w:rsidR="00294CCC" w:rsidRPr="00294CCC">
        <w:rPr>
          <w:noProof/>
          <w:vertAlign w:val="superscript"/>
        </w:rPr>
        <w:t>12</w:t>
      </w:r>
      <w:r w:rsidR="00294CCC">
        <w:fldChar w:fldCharType="end"/>
      </w:r>
      <w:r w:rsidR="00294CCC">
        <w:t>. While traditional small-molecule antibiotics have specific int</w:t>
      </w:r>
      <w:r>
        <w:t>racellular targets, AMPs attack</w:t>
      </w:r>
      <w:r w:rsidR="00294CCC">
        <w:t xml:space="preserve"> bacteria in multiple ways, </w:t>
      </w:r>
      <w:r>
        <w:t>both intracellularly and extracellullarly.</w:t>
      </w:r>
      <w:r w:rsidR="00294CCC">
        <w:t xml:space="preserve"> </w:t>
      </w:r>
      <w:r>
        <w:t xml:space="preserve">They </w:t>
      </w:r>
      <w:r w:rsidR="001403A4">
        <w:t>use</w:t>
      </w:r>
      <w:r w:rsidR="00294CCC">
        <w:t xml:space="preserve"> a variety of membrane disruption mechanisms (these are discussed in more detail later and are the main focus of this review), </w:t>
      </w:r>
      <w:r>
        <w:t>as well</w:t>
      </w:r>
      <w:r w:rsidR="001403A4">
        <w:t xml:space="preserve"> </w:t>
      </w:r>
      <w:r>
        <w:t>interact with internal targets</w:t>
      </w:r>
      <w:r w:rsidR="00294CCC">
        <w:t xml:space="preserve"> such as bacterial enzymes </w:t>
      </w:r>
      <w:r>
        <w:t xml:space="preserve">and nucleic acids, and stimulate </w:t>
      </w:r>
      <w:r w:rsidR="001403A4">
        <w:t>the host immune response</w:t>
      </w:r>
      <w:r w:rsidR="001403A4">
        <w:fldChar w:fldCharType="begin" w:fldLock="1"/>
      </w:r>
      <w:r w:rsidR="001403A4">
        <w:instrText>ADDIN CSL_CITATION {"citationItems":[{"id":"ITEM-1","itemData":{"DOI":"10.1007/s12602-018-9465-0","ISSN":"18671306","PMID":"30229514","abstract":"Antibiotic resistance is an imminent threat to the effective treatment of bacterial infections, and alternative antibiotic strategies are urgently required. The golden epoch of antibiotics is coming to an end, and the development of new therapeutic agents to combat bacterial infections should be prioritized. This article will review the potential of antimicrobial peptides (AMPs) to combat the threat of antimicrobial resistance. The modern-day antimicrobial resistance dilemma is briefly discussed followed by a review of the potential of AMPs to be used alone or in combination with current antibiotics in order to enhance antibacterial properties of antibiotics while also potentially combatting resistance. This article reiterates that many AMPs exhibit direct microbial killing activity and also play an integral role in the innate immune system. These properties make AMPs attractive alternative antimicrobial agents. Furthermore, AMPs are promising candidates to be used as adjuvants in combination with current antibiotics in order to combat antibiotic resistance. Combinations of AMPs and antibiotics are less likely to develop resistance or transmit cross-resistance. The further identification and therapeutic development of AMPs and antibiotic-AMP combinations are strongly recommended.","author":[{"dropping-particle":"","family":"Lewies","given":"Angélique","non-dropping-particle":"","parse-names":false,"suffix":""},{"dropping-particle":"","family":"Plessis","given":"Lissinda H.","non-dropping-particle":"Du","parse-names":false,"suffix":""},{"dropping-particle":"","family":"Wentzel","given":"Johannes F.","non-dropping-particle":"","parse-names":false,"suffix":""}],"container-title":"Probiotics and Antimicrobial Proteins","id":"ITEM-1","issue":"2","issued":{"date-parts":[["2019","6","15"]]},"page":"370-381","publisher":"Springer New York LLC","title":"Antimicrobial Peptides: the Achilles’ Heel of Antibiotic Resistance?","type":"article-journal","volume":"11"},"uris":["http://www.mendeley.com/documents/?uuid=880a5d0c-ce87-3222-8249-b84016d9f0f2"]}],"mendeley":{"formattedCitation":"&lt;sup&gt;12&lt;/sup&gt;","plainTextFormattedCitation":"12","previouslyFormattedCitation":"&lt;sup&gt;12&lt;/sup&gt;"},"properties":{"noteIndex":0},"schema":"https://github.com/citation-style-language/schema/raw/master/csl-citation.json"}</w:instrText>
      </w:r>
      <w:r w:rsidR="001403A4">
        <w:fldChar w:fldCharType="separate"/>
      </w:r>
      <w:r w:rsidR="001403A4" w:rsidRPr="001403A4">
        <w:rPr>
          <w:noProof/>
          <w:vertAlign w:val="superscript"/>
        </w:rPr>
        <w:t>12</w:t>
      </w:r>
      <w:r w:rsidR="001403A4">
        <w:fldChar w:fldCharType="end"/>
      </w:r>
      <w:r w:rsidR="00294CCC">
        <w:t xml:space="preserve">. The targeting of bacterial membranes by AMPs is beneficial not only for </w:t>
      </w:r>
      <w:r>
        <w:t>diversifying strategies of attack</w:t>
      </w:r>
      <w:r w:rsidR="00294CCC">
        <w:t xml:space="preserve">, but </w:t>
      </w:r>
      <w:r w:rsidR="001403A4">
        <w:t xml:space="preserve">also </w:t>
      </w:r>
      <w:r w:rsidR="00294CCC">
        <w:t>because the membrane is an essential component of the bacterial cell, making it difficult for the bacter</w:t>
      </w:r>
      <w:r w:rsidR="001403A4">
        <w:t>ia to effectively remodel it</w:t>
      </w:r>
      <w:r w:rsidR="001403A4">
        <w:fldChar w:fldCharType="begin" w:fldLock="1"/>
      </w:r>
      <w:r w:rsidR="007012DA">
        <w:instrText>ADDIN CSL_CITATION {"citationItems":[{"id":"ITEM-1","itemData":{"DOI":"10.3389/fchem.2018.00204","ISSN":"22962646","abstract":"Antimicrobial peptides (AMPs) are promising novel antibiotics since they have shown antimicrobial activity against a wide range of bacterial species, including multiresistant bacteria; however, toxicity is the major barrier to convert antimicrobial peptides into active drugs. A profound and proper understanding of the complex interactions between these peptides and biological membranes using biophysical tools and model membranes seems to be a key factor in the race to develop a suitable antimicrobial peptide therapy for clinical use. In the search for such therapy, different combined approaches with conventional antibiotics have been evaluated in recent years and demonstrated to improve the therapeutic potential of AMPs. Some of these approaches have revealed promising additive or synergistic activity between AMPs and chemical antibiotics. This review will give an insight into the possibilities that physicochemical tools can give in the AMPs research and also address the state of the art on the current promising combined therapies between AMPs and conventional antibiotics, which appear to be a plausible future opportunity for AMPs treatment.","author":[{"dropping-particle":"","family":"Hollmann","given":"Axel","non-dropping-particle":"","parse-names":false,"suffix":""},{"dropping-particle":"","family":"Martinez","given":"Melina","non-dropping-particle":"","parse-names":false,"suffix":""},{"dropping-particle":"","family":"Maturana","given":"Patricia","non-dropping-particle":"","parse-names":false,"suffix":""},{"dropping-particle":"","family":"Semorile","given":"Liliana C.","non-dropping-particle":"","parse-names":false,"suffix":""},{"dropping-particle":"","family":"Maffia","given":"Paulo C.","non-dropping-particle":"","parse-names":false,"suffix":""}],"container-title":"Frontiers in Chemistry","id":"ITEM-1","issue":"JUN","issued":{"date-parts":[["2018","6","5"]]},"page":"204","publisher":"Frontiers Media S.A.","title":"Antimicrobial peptides: Interaction with model and biological membranes and synergism with chemical antibiotics","type":"article-journal","volume":"6"},"uris":["http://www.mendeley.com/documents/?uuid=c3ac3e0b-916d-3fd1-9fcb-bcca82ee03c0"]}],"mendeley":{"formattedCitation":"&lt;sup&gt;13&lt;/sup&gt;","plainTextFormattedCitation":"13","previouslyFormattedCitation":"&lt;sup&gt;13&lt;/sup&gt;"},"properties":{"noteIndex":0},"schema":"https://github.com/citation-style-language/schema/raw/master/csl-citation.json"}</w:instrText>
      </w:r>
      <w:r w:rsidR="001403A4">
        <w:fldChar w:fldCharType="separate"/>
      </w:r>
      <w:r w:rsidR="001403A4" w:rsidRPr="001403A4">
        <w:rPr>
          <w:noProof/>
          <w:vertAlign w:val="superscript"/>
        </w:rPr>
        <w:t>13</w:t>
      </w:r>
      <w:r w:rsidR="001403A4">
        <w:fldChar w:fldCharType="end"/>
      </w:r>
      <w:r w:rsidR="00294CCC">
        <w:t xml:space="preserve">. Furthermore, AMPs attack bacteria </w:t>
      </w:r>
      <w:r w:rsidR="001403A4">
        <w:t>quickly and strongly</w:t>
      </w:r>
      <w:r w:rsidR="001403A4">
        <w:fldChar w:fldCharType="begin" w:fldLock="1"/>
      </w:r>
      <w:r w:rsidR="007012DA">
        <w:instrText>ADDIN CSL_CITATION {"citationItems":[{"id":"ITEM-1","itemData":{"DOI":"10.3389/fchem.2018.00204","ISSN":"22962646","abstract":"Antimicrobial peptides (AMPs) are promising novel antibiotics since they have shown antimicrobial activity against a wide range of bacterial species, including multiresistant bacteria; however, toxicity is the major barrier to convert antimicrobial peptides into active drugs. A profound and proper understanding of the complex interactions between these peptides and biological membranes using biophysical tools and model membranes seems to be a key factor in the race to develop a suitable antimicrobial peptide therapy for clinical use. In the search for such therapy, different combined approaches with conventional antibiotics have been evaluated in recent years and demonstrated to improve the therapeutic potential of AMPs. Some of these approaches have revealed promising additive or synergistic activity between AMPs and chemical antibiotics. This review will give an insight into the possibilities that physicochemical tools can give in the AMPs research and also address the state of the art on the current promising combined therapies between AMPs and conventional antibiotics, which appear to be a plausible future opportunity for AMPs treatment.","author":[{"dropping-particle":"","family":"Hollmann","given":"Axel","non-dropping-particle":"","parse-names":false,"suffix":""},{"dropping-particle":"","family":"Martinez","given":"Melina","non-dropping-particle":"","parse-names":false,"suffix":""},{"dropping-particle":"","family":"Maturana","given":"Patricia","non-dropping-particle":"","parse-names":false,"suffix":""},{"dropping-particle":"","family":"Semorile","given":"Liliana C.","non-dropping-particle":"","parse-names":false,"suffix":""},{"dropping-particle":"","family":"Maffia","given":"Paulo C.","non-dropping-particle":"","parse-names":false,"suffix":""}],"container-title":"Frontiers in Chemistry","id":"ITEM-1","issue":"JUN","issued":{"date-parts":[["2018","6","5"]]},"page":"204","publisher":"Frontiers Media S.A.","title":"Antimicrobial peptides: Interaction with model and biological membranes and synergism with chemical antibiotics","type":"article-journal","volume":"6"},"uris":["http://www.mendeley.com/documents/?uuid=c3ac3e0b-916d-3fd1-9fcb-bcca82ee03c0"]}],"mendeley":{"formattedCitation":"&lt;sup&gt;13&lt;/sup&gt;","plainTextFormattedCitation":"13","previouslyFormattedCitation":"&lt;sup&gt;13&lt;/sup&gt;"},"properties":{"noteIndex":0},"schema":"https://github.com/citation-style-language/schema/raw/master/csl-citation.json"}</w:instrText>
      </w:r>
      <w:r w:rsidR="001403A4">
        <w:fldChar w:fldCharType="separate"/>
      </w:r>
      <w:r w:rsidR="001403A4" w:rsidRPr="001403A4">
        <w:rPr>
          <w:noProof/>
          <w:vertAlign w:val="superscript"/>
        </w:rPr>
        <w:t>13</w:t>
      </w:r>
      <w:r w:rsidR="001403A4">
        <w:fldChar w:fldCharType="end"/>
      </w:r>
      <w:r w:rsidR="00294CCC">
        <w:t>, and it has been reported that some AMPs repres</w:t>
      </w:r>
      <w:r w:rsidR="001403A4">
        <w:t>s the bacterial SOS-response</w:t>
      </w:r>
      <w:r w:rsidR="001403A4">
        <w:fldChar w:fldCharType="begin" w:fldLock="1"/>
      </w:r>
      <w:r w:rsidR="00CD66A0">
        <w:instrText>ADDIN CSL_CITATION {"citationItems":[{"id":"ITEM-1","itemData":{"DOI":"10.1128/mBio.02144-17","ISSN":"21507511","PMID":"29317513","abstract":"Bacterial persistence is a transient, nonheritable physiological state that provides tolerance to bactericidal antibiotics. The stringent response, toxin-antitoxin modules, and stochastic processes, among other mechanisms, play roles in this phenomenon. How persistence is regulated is relatively ill defined. Here we show that cyclic AMP, a global regulator of carbon catabolism and other core processes, is a negative regulator of bacterial persistence in uropathogenic Escherichia coli, as measured by survival after exposure to a β-lactam antibiotic. This phenotype is regulated by a set of genes leading to an oxidative stress response and SOS-dependent DNA repair. Thus, persister cells tolerant to cell wall-acting antibiotics must cope with oxidative stress and DNA damage and these processes are regulated by cyclic AMP in uropathogenic E. coli. IMPORTANCE Bacterial persister cells are important in relapsing infections in patients treated with antibiotics and also in the emergence of antibiotic resistance. Our results show that in uropathogenic E. coli, the second messenger cyclic AMP negatively regulates persister cell formation, since in its absence much more persister cells form that are tolerant to β-lactams antibiotics. We reveal the mechanism to be decreased levels of reactive oxygen species, specifically hydroxyl radicals, and SOS-dependent DNA repair. Our findings suggest that the oxidative stress response and DNA repair are relevant pathways to target in the design of persister-specific antibiotic compounds.","author":[{"dropping-particle":"","family":"Molina-Quiroz","given":"Roberto C.","non-dropping-particle":"","parse-names":false,"suffix":""},{"dropping-particle":"","family":"Silva-Valenzuela","given":"Cecilia","non-dropping-particle":"","parse-names":false,"suffix":""},{"dropping-particle":"","family":"Brewster","given":"Jennifer","non-dropping-particle":"","parse-names":false,"suffix":""},{"dropping-particle":"","family":"Castro-Nallar","given":"Eduardo","non-dropping-particle":"","parse-names":false,"suffix":""},{"dropping-particle":"","family":"Levy","given":"Stuart B.","non-dropping-particle":"","parse-names":false,"suffix":""},{"dropping-particle":"","family":"Camilli","given":"Andrew","non-dropping-particle":"","parse-names":false,"suffix":""}],"container-title":"mBio","id":"ITEM-1","issue":"1","issued":{"date-parts":[["2018","1","1"]]},"page":"e02144-17","publisher":"American Society for Microbiology","title":"Cyclic AMP regulates bacterial persistence through repression of the oxidative stress response and SOS-dependent DNA repair in uropathogenic Escherichia coli","type":"article-journal","volume":"9"},"uris":["http://www.mendeley.com/documents/?uuid=24c973e0-2993-33ec-b83d-54a6f6be3b99"]}],"mendeley":{"formattedCitation":"&lt;sup&gt;14&lt;/sup&gt;","plainTextFormattedCitation":"14","previouslyFormattedCitation":"&lt;sup&gt;14&lt;/sup&gt;"},"properties":{"noteIndex":0},"schema":"https://github.com/citation-style-language/schema/raw/master/csl-citation.json"}</w:instrText>
      </w:r>
      <w:r w:rsidR="001403A4">
        <w:fldChar w:fldCharType="separate"/>
      </w:r>
      <w:r w:rsidR="001403A4" w:rsidRPr="001403A4">
        <w:rPr>
          <w:noProof/>
          <w:vertAlign w:val="superscript"/>
        </w:rPr>
        <w:t>14</w:t>
      </w:r>
      <w:r w:rsidR="001403A4">
        <w:fldChar w:fldCharType="end"/>
      </w:r>
      <w:r w:rsidR="00294CCC">
        <w:t xml:space="preserve">; both of these effects reduce the ability of bacteria to develop resistance pathways. Finally, it is interesting to note that many host-defense AMPs have co-evolved alongside bacteria, meaning that a multitude of AMPs are encoded in nature that were “designed” to evade </w:t>
      </w:r>
      <w:r w:rsidR="001403A4">
        <w:t>bacterial resistance</w:t>
      </w:r>
      <w:r w:rsidR="001403A4">
        <w:fldChar w:fldCharType="begin" w:fldLock="1"/>
      </w:r>
      <w:r w:rsidR="007012DA">
        <w:instrText>ADDIN CSL_CITATION {"citationItems":[{"id":"ITEM-1","itemData":{"DOI":"10.1038/nrmicro1441","ISSN":"17401526","PMID":"16778838","abstract":"Endogenous cationic antimicrobial peptides (CAMPs) are among the most ancient and efficient components of host defence. It is somewhat of an enigma that bacteria have not developed highly effective CAMP-resistance mechanisms, such as those that inhibit many therapeutic antibiotics. Here, we propose that CAMPs and CAMP-resistance mechanisms have co-evolved, leading to a transient host-pathogen balance that has shaped the existing CAMP repertoire. Elucidating the underlying principles of this process could help in the development of more sustainable antibiotics. © 2006 Nature Publishing Group.","author":[{"dropping-particle":"","family":"Peschel","given":"Andreas","non-dropping-particle":"","parse-names":false,"suffix":""},{"dropping-particle":"","family":"Sahl","given":"Hans Georg","non-dropping-particle":"","parse-names":false,"suffix":""}],"container-title":"Nature Reviews Microbiology","id":"ITEM-1","issue":"7","issued":{"date-parts":[["2006","7","12"]]},"page":"529-536","publisher":"Nature Publishing Group","title":"The co-evolution of host cationic antimicrobial peptides and microbial resistance","type":"article-journal","volume":"4"},"uris":["http://www.mendeley.com/documents/?uuid=f7bb2417-270b-32ca-8f3b-ed0e3351699a"]},{"id":"ITEM-2","itemData":{"DOI":"10.3389/fchem.2018.00204","ISSN":"22962646","abstract":"Antimicrobial peptides (AMPs) are promising novel antibiotics since they have shown antimicrobial activity against a wide range of bacterial species, including multiresistant bacteria; however, toxicity is the major barrier to convert antimicrobial peptides into active drugs. A profound and proper understanding of the complex interactions between these peptides and biological membranes using biophysical tools and model membranes seems to be a key factor in the race to develop a suitable antimicrobial peptide therapy for clinical use. In the search for such therapy, different combined approaches with conventional antibiotics have been evaluated in recent years and demonstrated to improve the therapeutic potential of AMPs. Some of these approaches have revealed promising additive or synergistic activity between AMPs and chemical antibiotics. This review will give an insight into the possibilities that physicochemical tools can give in the AMPs research and also address the state of the art on the current promising combined therapies between AMPs and conventional antibiotics, which appear to be a plausible future opportunity for AMPs treatment.","author":[{"dropping-particle":"","family":"Hollmann","given":"Axel","non-dropping-particle":"","parse-names":false,"suffix":""},{"dropping-particle":"","family":"Martinez","given":"Melina","non-dropping-particle":"","parse-names":false,"suffix":""},{"dropping-particle":"","family":"Maturana","given":"Patricia","non-dropping-particle":"","parse-names":false,"suffix":""},{"dropping-particle":"","family":"Semorile","given":"Liliana C.","non-dropping-particle":"","parse-names":false,"suffix":""},{"dropping-particle":"","family":"Maffia","given":"Paulo C.","non-dropping-particle":"","parse-names":false,"suffix":""}],"container-title":"Frontiers in Chemistry","id":"ITEM-2","issue":"JUN","issued":{"date-parts":[["2018","6","5"]]},"page":"204","publisher":"Frontiers Media S.A.","title":"Antimicrobial peptides: Interaction with model and biological membranes and synergism with chemical antibiotics","type":"article-journal","volume":"6"},"uris":["http://www.mendeley.com/documents/?uuid=c3ac3e0b-916d-3fd1-9fcb-bcca82ee03c0"]}],"mendeley":{"formattedCitation":"&lt;sup&gt;13,15&lt;/sup&gt;","plainTextFormattedCitation":"13,15","previouslyFormattedCitation":"&lt;sup&gt;13,15&lt;/sup&gt;"},"properties":{"noteIndex":0},"schema":"https://github.com/citation-style-language/schema/raw/master/csl-citation.json"}</w:instrText>
      </w:r>
      <w:r w:rsidR="001403A4">
        <w:fldChar w:fldCharType="separate"/>
      </w:r>
      <w:r w:rsidR="001403A4" w:rsidRPr="001403A4">
        <w:rPr>
          <w:noProof/>
          <w:vertAlign w:val="superscript"/>
        </w:rPr>
        <w:t>13,15</w:t>
      </w:r>
      <w:r w:rsidR="001403A4">
        <w:fldChar w:fldCharType="end"/>
      </w:r>
      <w:r w:rsidR="00294CCC">
        <w:t xml:space="preserve">. Understanding how the properties of AMPs depend on amino-acid sequence could give modern </w:t>
      </w:r>
      <w:r>
        <w:t>approaches</w:t>
      </w:r>
      <w:r w:rsidR="00294CCC">
        <w:t xml:space="preserve"> the ability to respond to the emergence of new antibiotic resistant bacterial strains through the targeted tweaking of AMP sequences. </w:t>
      </w:r>
    </w:p>
    <w:p w14:paraId="370B6D77" w14:textId="77777777" w:rsidR="00294CCC" w:rsidRDefault="00294CCC">
      <w:pPr>
        <w:pStyle w:val="LO-normal"/>
        <w:jc w:val="both"/>
      </w:pPr>
    </w:p>
    <w:p w14:paraId="1B507CD1" w14:textId="77777777" w:rsidR="001529CF" w:rsidRDefault="001529CF">
      <w:pPr>
        <w:pStyle w:val="LO-normal"/>
        <w:jc w:val="both"/>
      </w:pPr>
    </w:p>
    <w:p w14:paraId="79D111B3" w14:textId="77777777" w:rsidR="001529CF" w:rsidRDefault="00492337">
      <w:pPr>
        <w:pStyle w:val="LO-normal"/>
      </w:pPr>
      <w:r>
        <w:rPr>
          <w:noProof/>
          <w:lang w:val="en-SG" w:eastAsia="en-SG" w:bidi="ar-SA"/>
        </w:rPr>
        <w:lastRenderedPageBreak/>
        <w:drawing>
          <wp:inline distT="0" distB="0" distL="0" distR="0" wp14:anchorId="03F60FA7" wp14:editId="11C32342">
            <wp:extent cx="5943600" cy="45720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10"/>
                    <a:stretch>
                      <a:fillRect/>
                    </a:stretch>
                  </pic:blipFill>
                  <pic:spPr bwMode="auto">
                    <a:xfrm>
                      <a:off x="0" y="0"/>
                      <a:ext cx="5943600" cy="4572000"/>
                    </a:xfrm>
                    <a:prstGeom prst="rect">
                      <a:avLst/>
                    </a:prstGeom>
                  </pic:spPr>
                </pic:pic>
              </a:graphicData>
            </a:graphic>
          </wp:inline>
        </w:drawing>
      </w:r>
    </w:p>
    <w:p w14:paraId="64A0ED92" w14:textId="15DDE91A" w:rsidR="001529CF" w:rsidRDefault="00492337">
      <w:pPr>
        <w:pStyle w:val="LO-normal"/>
      </w:pPr>
      <w:r>
        <w:t>Figure 1: A graphical summary of AMP modes of action. Image from Nguyen et al.</w:t>
      </w:r>
      <w:r>
        <w:fldChar w:fldCharType="begin" w:fldLock="1"/>
      </w:r>
      <w:r w:rsidR="007012DA">
        <w:instrText>ADDIN CSL_CITATION {"citationItems":[{"id":"ITEM-1","itemData":{"DOI":"10.1016/j.tibtech.2011.05.001","ISSN":"01677799","PMID":"21680034","abstract":"Antimicrobial peptides (AMPs) are an integral part of the innate immune system that protect a host from invading pathogenic bacteria. To help overcome the problem of antimicrobial resistance, cationic AMPs are currently being considered as potential alternatives for antibiotics. Although extremely variable in length, amino acid composition and secondary structure, all peptides can adopt a distinct membrane-bound amphipathic conformation. Recent studies demonstrate that they achieve their antimicrobial activity by disrupting various key cellular processes. Some peptides can even use multiple mechanisms. Moreover, several intact proteins or protein fragments are now being shown to have inherent antimicrobial activity. A better understanding of the structure-activity relationships of AMPs is required to facilitate the rational design of novel antimicrobial agents. © 2011 Elsevier Ltd.","author":[{"dropping-particle":"","family":"Nguyen","given":"Leonard T.","non-dropping-particle":"","parse-names":false,"suffix":""},{"dropping-particle":"","family":"Haney","given":"Evan F.","non-dropping-particle":"","parse-names":false,"suffix":""},{"dropping-particle":"","family":"Vogel","given":"Hans J.","non-dropping-particle":"","parse-names":false,"suffix":""}],"container-title":"Trends in Biotechnology","id":"ITEM-1","issue":"9","issued":{"date-parts":[["2011","9","1"]]},"page":"464-472","publisher":"Elsevier Current Trends","title":"The expanding scope of antimicrobial peptide structures and their modes of action","type":"article-journal","volume":"29"},"uris":["http://www.mendeley.com/documents/?uuid=3a60d740-8c45-3678-b5e7-2090e9cc4594"]}],"mendeley":{"formattedCitation":"&lt;sup&gt;16&lt;/sup&gt;","plainTextFormattedCitation":"16","previouslyFormattedCitation":"&lt;sup&gt;16&lt;/sup&gt;"},"properties":{"noteIndex":0},"schema":"https://github.com/citation-style-language/schema/raw/master/csl-citation.json"}</w:instrText>
      </w:r>
      <w:r>
        <w:fldChar w:fldCharType="separate"/>
      </w:r>
      <w:r w:rsidR="001403A4" w:rsidRPr="001403A4">
        <w:rPr>
          <w:noProof/>
          <w:vertAlign w:val="superscript"/>
        </w:rPr>
        <w:t>16</w:t>
      </w:r>
      <w:r>
        <w:fldChar w:fldCharType="end"/>
      </w:r>
      <w:r>
        <w:t>. Used with permission.</w:t>
      </w:r>
    </w:p>
    <w:p w14:paraId="0CC6E976" w14:textId="77777777" w:rsidR="001529CF" w:rsidRDefault="001529CF">
      <w:pPr>
        <w:pStyle w:val="LO-normal"/>
        <w:jc w:val="both"/>
      </w:pPr>
    </w:p>
    <w:p w14:paraId="45F70B2A" w14:textId="5AF69D5D" w:rsidR="001529CF" w:rsidRDefault="00492337">
      <w:pPr>
        <w:pStyle w:val="LO-normal"/>
        <w:jc w:val="both"/>
      </w:pPr>
      <w:r>
        <w:t>AMPs are short peptides (10 to 50 residues), largely characterized by amphipathicity (possessing both hydrophilic and</w:t>
      </w:r>
      <w:r w:rsidR="006F359A">
        <w:t xml:space="preserve"> hydrophobic</w:t>
      </w:r>
      <w:r>
        <w:t xml:space="preserve"> regions), and cationicity</w:t>
      </w:r>
      <w:r>
        <w:fldChar w:fldCharType="begin" w:fldLock="1"/>
      </w:r>
      <w:r w:rsidR="00CD66A0">
        <w:instrText>ADDIN CSL_CITATION {"citationItems":[{"id":"ITEM-1","itemData":{"DOI":"10.3389/fcimb.2016.00194","ISSN":"22352988","PMID":"28083516","abstract":"Antimicrobial peptides (AMPs), also known as host defense peptides, are short and generally positively charged peptides found in a wide variety of life forms from microorganisms to humans. Most AMPs have the ability to kill microbial pathogens directly, whereas others act indirectly by modulating the host defense systems. Against a background of rapidly increasing resistance development to conventional antibiotics all over the world, efforts to bring AMPs into clinical use are accelerating. Several AMPs are currently being evaluated in clinical trials as novel anti-infectives, but also as new pharmacological agents to modulate the immune response, promote wound healing, and prevent post-surgical adhesions. In this review, we provide an overview of the biological role, classification, and mode of action of AMPs, discuss the opportunities and challenges to develop these peptides for clinical applications, and review the innovative formulation strategies for application of AMPs.","author":[{"dropping-particle":"","family":"Mahlapuu","given":"Margit","non-dropping-particle":"","parse-names":false,"suffix":""},{"dropping-particle":"","family":"Håkansson","given":"Joakim","non-dropping-particle":"","parse-names":false,"suffix":""},{"dropping-particle":"","family":"Ringstad","given":"Lovisa","non-dropping-particle":"","parse-names":false,"suffix":""},{"dropping-particle":"","family":"Björn","given":"Camilla","non-dropping-particle":"","parse-names":false,"suffix":""}],"container-title":"Frontiers in Cellular and Infection Microbiology","id":"ITEM-1","issue":"DEC","issued":{"date-parts":[["2016"]]},"page":"194","publisher":"Frontiers Media S.A.","title":"Antimicrobial peptides: An emerging category of therapeutic agents","type":"article-journal","volume":"6"},"uris":["http://www.mendeley.com/documents/?uuid=f7f2d3e3-eaef-3893-98f3-fae653201188"]},{"id":"ITEM-2","itemData":{"DOI":"10.1155/2013/675391","ISSN":"16879767","abstract":"Antimicrobial peptides are diverse group of biologically active molecules with multidimensional properties. In recent past, a wide variety of AMPs with diverse structures have been reported from different sources such as plants, animals, mammals, and microorganisms. The presence of unusual amino acids and structural motifs in AMPs confers unique structural properties to the peptide that attribute for their specific mode of action. The ability of these active AMPs to act as multifunctional effector molecules such as signalling molecule, immune modulators, mitogen, antitumor, and contraceptive agent makes it an interesting candidate to study every aspect of their structural and biological properties for prophylactic and therapeutic applications. In addition, easy cloning and recombinant expression of AMPs in heterologous plant host systems provided a pipeline for production of disease resistant transgenic plants. Besides these properties, AMPs were also used as drug delivery vectors to deliver cell impermeable drugs to cell interior. The present review focuses on the diversity and broad spectrum antimicrobial activity of AMPs along with its multidimensional properties that could be exploited for the application of these bioactive peptides as a potential and promising drug candidate in pharmaceutical industries. © 2013 Muthuirulan Pushpanathan et al.","author":[{"dropping-particle":"","family":"Pushpanathan","given":"Muthuirulan","non-dropping-particle":"","parse-names":false,"suffix":""},{"dropping-particle":"","family":"Gunasekaran","given":"Paramasamy","non-dropping-particle":"","parse-names":false,"suffix":""},{"dropping-particle":"","family":"Rajendhran","given":"Jeyaprakash","non-dropping-particle":"","parse-names":false,"suffix":""}],"container-title":"International Journal of Peptides","id":"ITEM-2","issued":{"date-parts":[["2013"]]},"page":"675391","title":"Antimicrobial peptides: Versatile biological properties","type":"article-journal","volume":"2013"},"uris":["http://www.mendeley.com/documents/?uuid=42d63f47-aefa-3c47-850c-26b35165b6cf"]}],"mendeley":{"formattedCitation":"&lt;sup&gt;4,17&lt;/sup&gt;","plainTextFormattedCitation":"4,17","previouslyFormattedCitation":"&lt;sup&gt;4,17&lt;/sup&gt;"},"properties":{"noteIndex":0},"schema":"https://github.com/citation-style-language/schema/raw/master/csl-citation.json"}</w:instrText>
      </w:r>
      <w:r>
        <w:fldChar w:fldCharType="separate"/>
      </w:r>
      <w:r w:rsidR="001403A4" w:rsidRPr="001403A4">
        <w:rPr>
          <w:noProof/>
          <w:vertAlign w:val="superscript"/>
        </w:rPr>
        <w:t>4,17</w:t>
      </w:r>
      <w:r>
        <w:fldChar w:fldCharType="end"/>
      </w:r>
      <w:r w:rsidR="00D6767C">
        <w:t>.</w:t>
      </w:r>
      <w:r>
        <w:t xml:space="preserve"> The combination of these properties allows them to selectively interact and disrupt the anionic bacterial cytoplasmic membranes through a variety of possible mechanisms, leaving the zwitterionic host membranes unaffected. Some of the most common modes of actions include membrane defragmentation (e.g., carpet model) and classical pore formation (e.g., toroidal pore and barrel stave models) (Figure 1). In addition, some peptides such as colistin and polymixin can also specifically target the outer membrane of Gram negative bacteria resulting in permeabilization</w:t>
      </w:r>
      <w:r>
        <w:fldChar w:fldCharType="begin" w:fldLock="1"/>
      </w:r>
      <w:r w:rsidR="007012DA">
        <w:instrText>ADDIN CSL_CITATION {"citationItems":[{"id":"ITEM-1","itemData":{"DOI":"10.1021/bc500094d","ISSN":"15204812","PMID":"24635310","abstract":"The dry antibiotic development pipeline coupled with the emergence of multidrug resistant Gram-negative â€̃superbugs has driven the revival of the polymyxin lipopeptide antibiotics. Polymyxin resistance implies a total lack of antibiotics for the treatment of life-threatening infections. The lack of molecular imaging probes that possess native polymyxin-like antibacterial activity is a barrier to understanding the resistance mechanisms and the development of a new generation of polymyxin lipopeptides. Here we report the regioselective modification of the polymyxin B core scaffold at the N-terminus with the dansyl fluorophore to generate an active probe that mimics polymyxin B pharmacologically. Time-lapse laser scanning confocal microscopy imaging of the penetration of probe (1) into Gram-negative bacterial cells revealed that the probe initially accumulates in the outer membrane and subsequently penetrates into the inner membrane and finally the cytoplasm. The implementation of this polymyxin-mimetic probe will advance the development of platforms for the discovery of novel polymyxin lipopeptides with efficacy against polymyxin-resistant strains. © 2014 American Chemical Society.","author":[{"dropping-particle":"","family":"Deris","given":"Zakuan Z.","non-dropping-particle":"","parse-names":false,"suffix":""},{"dropping-particle":"","family":"Swarbrick","given":"James D.","non-dropping-particle":"","parse-names":false,"suffix":""},{"dropping-particle":"","family":"Roberts","given":"Kade D.","non-dropping-particle":"","parse-names":false,"suffix":""},{"dropping-particle":"","family":"Azad","given":"Mohammad A.K.","non-dropping-particle":"","parse-names":false,"suffix":""},{"dropping-particle":"","family":"Akter","given":"Jesmin","non-dropping-particle":"","parse-names":false,"suffix":""},{"dropping-particle":"","family":"Horne","given":"Andrew S.","non-dropping-particle":"","parse-names":false,"suffix":""},{"dropping-particle":"","family":"Nation","given":"Roger L.","non-dropping-particle":"","parse-names":false,"suffix":""},{"dropping-particle":"","family":"Rogers","given":"Kelly L.","non-dropping-particle":"","parse-names":false,"suffix":""},{"dropping-particle":"","family":"Thompson","given":"Phillip E.","non-dropping-particle":"","parse-names":false,"suffix":""},{"dropping-particle":"","family":"Velkov","given":"Tony","non-dropping-particle":"","parse-names":false,"suffix":""},{"dropping-particle":"","family":"Li","given":"Jian","non-dropping-particle":"","parse-names":false,"suffix":""}],"container-title":"Bioconjugate Chemistry","id":"ITEM-1","issue":"4","issued":{"date-parts":[["2014","4","16"]]},"page":"750-760","publisher":"American Chemical Society","title":"Probing the penetration of antimicrobial polymyxin lipopeptides into gram-negative bacteria","type":"article-journal","volume":"25"},"uris":["http://www.mendeley.com/documents/?uuid=b9fd5c08-fbc6-3b4e-9ad3-de997b8462df"]},{"id":"ITEM-2","itemData":{"DOI":"10.1093/jac/dkm357","ISSN":"03057453","PMID":"17878146","abstract":"Polymyxins have re-emerged in clinical practice owing to the dry antibiotic development pipeline and worldwide increasing prevalence of nosocomial infections caused by multidrug-resistant (MDR) Gram-negative bacteria. Polymyxin B and colistin (polymyxin E) have been ultimately considered as the last-resort treatment of such infections. Microbiological, pharmacokinetic, pharmacodynamic and clinical data available for polymyxin B are reviewed in this paper. Polymyxin B has rapid in vitro bactericidal activity against major MDR Gram-negative bacteria, such as Pseudomonas aeruginosa, Acinetobacter baumannii and Klebsiella pneumoniae. Acquired resistance to this agent is still rare among these pathogens. However, optimized dosage regimens are not known yet. Good clinical outcomes have been observed in the majority of the patients treated with intravenous polymyxin B in recent studies. However, these studies failed to provide definitive conclusions due to limitations of study design and additional clinical trials are required. Although combination therapy may be an attractive option based on some currently available in vitro data, clinical data supporting such recommendations are lacking. Since polymyxins will be increasingly used for the treatment of infections caused by MDR bacteria, clinical pharmacokinetic, pharmacodynamic and toxicodynamic studies underpinning the optimal use of these drugs are urgently required. © The Author 2007. Published by Oxford University Press on behalf of the British Society for Antimicrobial Chemotherapy. All rights reserved.","author":[{"dropping-particle":"","family":"Zavascki","given":"Alexandre Prehn","non-dropping-particle":"","parse-names":false,"suffix":""},{"dropping-particle":"","family":"Goldani","given":"Luciano Zubaran","non-dropping-particle":"","parse-names":false,"suffix":""},{"dropping-particle":"","family":"Li","given":"Jian","non-dropping-particle":"","parse-names":false,"suffix":""},{"dropping-particle":"","family":"Nation","given":"Roger L.","non-dropping-particle":"","parse-names":false,"suffix":""}],"container-title":"Journal of Antimicrobial Chemotherapy","id":"ITEM-2","issue":"6","issued":{"date-parts":[["2007","12"]]},"page":"1206-1215","publisher":"J Antimicrob Chemother","title":"Polymyxin B for the treatment of multidrug-resistant pathogens: A critical review","type":"article-journal","volume":"60"},"uris":["http://www.mendeley.com/documents/?uuid=209deda2-7709-3165-8632-043df09690fe"]}],"mendeley":{"formattedCitation":"&lt;sup&gt;18,19&lt;/sup&gt;","plainTextFormattedCitation":"18,19","previouslyFormattedCitation":"&lt;sup&gt;18,19&lt;/sup&gt;"},"properties":{"noteIndex":0},"schema":"https://github.com/citation-style-language/schema/raw/master/csl-citation.json"}</w:instrText>
      </w:r>
      <w:r>
        <w:fldChar w:fldCharType="separate"/>
      </w:r>
      <w:r w:rsidR="001403A4" w:rsidRPr="001403A4">
        <w:rPr>
          <w:noProof/>
          <w:vertAlign w:val="superscript"/>
        </w:rPr>
        <w:t>18,19</w:t>
      </w:r>
      <w:r>
        <w:fldChar w:fldCharType="end"/>
      </w:r>
      <w:r>
        <w:t>; a comprehensive review can be found in Nguyen et al</w:t>
      </w:r>
      <w:hyperlink r:id="rId11">
        <w:r>
          <w:rPr>
            <w:rStyle w:val="ListLabel118"/>
          </w:rPr>
          <w:t>11</w:t>
        </w:r>
      </w:hyperlink>
      <w:r>
        <w:t>. The exact mechanisms underlying antimicrobial activity, however, remain only partially understood, and unsurprisingly there are exceptions to the rules of thumb outlined above: for example, dermcidin is anionic</w:t>
      </w:r>
      <w:r>
        <w:fldChar w:fldCharType="begin" w:fldLock="1"/>
      </w:r>
      <w:r w:rsidR="007D32C6">
        <w:instrText xml:space="preserve">ADDIN CSL_CITATION {"citationItems":[{"id":"ITEM-1","itemData":{"DOI":"10.1039/C3SM52400K","ISSN":"1744-683X","abstract":"The mechanism of membrane permeabilization by dermcidin (DCD-1L), an antimicrobial peptide present in human sweat, was investigated at a mercury-supported monolayer of dioleoylphosphatidylcholine (DOPC) or dioleoylphosphatidylserine (DOPS) and at a mercury-supported tethered bilayer lipid membrane (tBLM) consisting of a thiolipid (DPTL) with a DOPC or DOPS monolayer self-assembled on top of it. In an unbuffered solution of pH 5.4, DCD-1L is almost neutral and permeabilizes a DPTL/DOPS tBLM at transmembrane potentials, φtrans, which are physiological. In a pH 7 buffer solution DCD-1L bears two negative charges and has no effect on a DPTL/DOPC tBLM, whereas it permeabilizes a DPTL/DOPS tBLM only outside the physiological φtrans range; however, the presence of zinc ion induces DCD-1L to permeabilize the DPTL/DOPS tBLM at physiological φtrans values. The effect of zinc ions suggests a DCD-1L conformation with its positive N-terminus embedded in the lipid bilayer and the negative C terminus floating on the membrane surface. This conformation can be stabilized by a zinc ion bridge between the His38 residue of the C terminus and the carboxyl group of DOPS. Chronocoulometric potential jumps from φtrans </w:instrText>
      </w:r>
      <w:r w:rsidR="007D32C6">
        <w:rPr>
          <w:rFonts w:ascii="Cambria Math" w:hAnsi="Cambria Math" w:cs="Cambria Math"/>
        </w:rPr>
        <w:instrText>≅</w:instrText>
      </w:r>
      <w:r w:rsidR="007D32C6">
        <w:instrText xml:space="preserve"> +160 mV to sufficiently negative values yield charge transients exhibiting a sigmoidal shape preceded by a relatively long \"foot\". This behavior is indicative of ion-channel formation characterized by disruption of DCD-1L clusters adsorbed on top of the lipid bilayer, incorporation of the resulting monomers and their aggregation into hydrophilic pores by a mechanism of nucleation and growth. © 2014 The Royal Society of Chemistry.","author":[{"dropping-particle":"","family":"Becucci","given":"Lucia","non-dropping-particle":"","parse-names":false,"suffix":""},{"dropping-particle":"","family":"Valensin","given":"Daniela","non-dropping-particle":"","parse-names":false,"suffix":""},{"dropping-particle":"","family":"Innocenti","given":"Massimo","non-dropping-particle":"","parse-names":false,"suffix":""},{"dropping-particle":"","family":"Guidelli","given":"Rolando","non-dropping-particle":"","parse-names":false,"suffix":""}],"container-title":"Soft Matter","id":"ITEM-1","issue":"4","issued":{"date-parts":[["2014","1","28"]]},"page":"616-626","title":"Dermcidin, an anionic antimicrobial peptide: influence of lipid charge, pH and Zn &lt;sup&gt;2+&lt;/sup&gt; on its interaction with a biomimetic membrane","type":"article-journal","volume":"10"},"uris":["http://www.mendeley.com/documents/?uuid=a97a80b2-582f-30d4-8e6e-08786bac8b96"]}],"mendeley":{"formattedCitation":"&lt;sup&gt;20&lt;/sup&gt;","plainTextFormattedCitation":"20","previouslyFormattedCitation":"&lt;sup&gt;20&lt;/sup&gt;"},"properties":{"noteIndex":0},"schema":"https://github.com/citation-style-language/schema/raw/master/csl-citation.json"}</w:instrText>
      </w:r>
      <w:r>
        <w:fldChar w:fldCharType="separate"/>
      </w:r>
      <w:r w:rsidR="001403A4" w:rsidRPr="001403A4">
        <w:rPr>
          <w:noProof/>
          <w:vertAlign w:val="superscript"/>
        </w:rPr>
        <w:t>20</w:t>
      </w:r>
      <w:r>
        <w:fldChar w:fldCharType="end"/>
      </w:r>
      <w:r>
        <w:t>, and Gloverin is 130 residues long</w:t>
      </w:r>
      <w:r>
        <w:fldChar w:fldCharType="begin" w:fldLock="1"/>
      </w:r>
      <w:r w:rsidR="007D32C6">
        <w:instrText>ADDIN CSL_CITATION {"citationItems":[{"id":"ITEM-1","itemData":{"DOI":"10.1111/j.1432-1033.1997.00614.x","ISSN":"0014-2956","abstract":"Gloverin is an inducible antibacterial insect protein isolated from pupae of the giant silk moth Hyalophora. It is a basic (pI 8.5) protein with a molecular mass of 13.8 kDa, containing a large number of glycine residues (18.5%) but no cysteine, and has an amino acid sequence that reveals no strong degree of identity with any known proteins. Gloverin inhibits the growth of Escherichia coli at a minimal concentration of 1-3 μM, i.e. less than 5% of the concentration of gloverin in the hemolymph of infected pupae. The prime effect of gloverin, following its interaction with lipopolysaccharide (LPS) in the bacterial envelope, is a specific inhibition of the synthesis of vital outer membrane proteins, leading to an increased permeability of the outer membrane. The activity of gloverin is not affected by heating (100°C, 10 min) but is inhibited by Mg2+ and by free LPS. The gloverin molecule will undergo conformational transitions from a monomeric random coil to an α-helix upon transfer from an aqueous to a hydrophobic environment, a property likely to be of importance for its interaction with cell-bound LPS. The activity of gloverin is in many respects similar to that of attacin, another antibacterial protein, originally found in Hyalophora. [for a review see Boman, H. G., Faye, I., Gudmundsson, G. H., Lee, J.-Y. and Lindholm, D. A (1991) Eur: J. Biochem. 201, 23-31].","author":[{"dropping-particle":"","family":"Axen","given":"Andreas","non-dropping-particle":"","parse-names":false,"suffix":""},{"dropping-particle":"","family":"Carlsson","given":"Anette","non-dropping-particle":"","parse-names":false,"suffix":""},{"dropping-particle":"","family":"Engstrom","given":"Ake","non-dropping-particle":"","parse-names":false,"suffix":""},{"dropping-particle":"","family":"Bennich","given":"Hans","non-dropping-particle":"","parse-names":false,"suffix":""}],"container-title":"European Journal of Biochemistry","id":"ITEM-1","issue":"2","issued":{"date-parts":[["1997","7","15"]]},"page":"614-619","publisher":"Blackwell Publishing Ltd","title":"Gloverin, an Antibacterial Protein from the Immune Hemolymph of Hyalophora Pupae","type":"article-journal","volume":"247"},"uris":["http://www.mendeley.com/documents/?uuid=bd8b3193-3a84-37e6-bd38-1a05d00a8fb4"]}],"mendeley":{"formattedCitation":"&lt;sup&gt;21&lt;/sup&gt;","plainTextFormattedCitation":"21","previouslyFormattedCitation":"&lt;sup&gt;21&lt;/sup&gt;"},"properties":{"noteIndex":0},"schema":"https://github.com/citation-style-language/schema/raw/master/csl-citation.json"}</w:instrText>
      </w:r>
      <w:r>
        <w:fldChar w:fldCharType="separate"/>
      </w:r>
      <w:r w:rsidR="001403A4" w:rsidRPr="001403A4">
        <w:rPr>
          <w:noProof/>
          <w:vertAlign w:val="superscript"/>
        </w:rPr>
        <w:t>21</w:t>
      </w:r>
      <w:r>
        <w:fldChar w:fldCharType="end"/>
      </w:r>
      <w:r>
        <w:t>. Additionally, the mechanism of action of an AMP appears to be determined by its secondary and tertiary structures, which can be ɑ-helical, β-stranded, mixed helical and stranded, or involve extended structures</w:t>
      </w:r>
      <w:r>
        <w:fldChar w:fldCharType="begin" w:fldLock="1"/>
      </w:r>
      <w:r w:rsidR="00576689">
        <w:instrText>ADDIN CSL_CITATION {"citationItems":[{"id":"ITEM-1","itemData":{"DOI":"10.2174/1568026615666150703121700","ISSN":"15680266","PMID":"26139112","abstract":"Antimicrobial peptides (AMPs) are showing increasing promise as potential candidate antibacterial drugs in the face of the rapidly emerging bacterial resistance to conventional antibiotics in recent years. The target of these peptides is the microbial membrane and there are numerous models to explain their mechanism of action ranging from pore formation to general membrane disruption. The interaction between the AMP and the target membrane is critical to the specificity and activity of these peptides. However, a precise understanding of the relationship between antimicrobial peptide structure and their cytolytic function in a range of organisms is still lacking. This is a result of the complex nature of the interactions of AMPs with the cell membrane, the mechanism of which can vary considerably between different classes of antimicrobia peptides. A wide range of biophysical techniques have been used to study the influence of a number of peptide and membrane properties on the cytolytic activity of these peptides in model membrane systems. Central to characterisation of this interaction is a quantitative analysis of the binding of peptide to the membrane and the coherent dynamic changes in membrane structure. Recently, dual polarization interferometry has been used to perform an in depth analysis of antimicrobial peptide induced membrane perturbation and with new mass-structure co-fitting kinetic analysis have allowed a real-time label free analysis of binding affinity and kinetics. We review these studies which describe multi-step mechanisms which are adopted by various AMPs in nature and may advance our approach to the development of a new generation of effective antimicrobial therapeutics.","author":[{"dropping-particle":"","family":"Lee","given":"Tzong Hsien","non-dropping-particle":"","parse-names":false,"suffix":""},{"dropping-particle":"","family":"N. Hall","given":"Kristopher","non-dropping-particle":"","parse-names":false,"suffix":""},{"dropping-particle":"","family":"Aguilar","given":"Marie Isabel","non-dropping-particle":"","parse-names":false,"suffix":""}],"container-title":"Current Topics in Medicinal Chemistry","id":"ITEM-1","issue":"1","issued":{"date-parts":[["2015","9","18"]]},"page":"25-39","publisher":"Bentham Science Publishers Ltd.","title":"Antimicrobial Peptide Structure and Mechanism of Action: A Focus on the Role of Membrane Structure","type":"article-journal","volume":"16"},"uris":["http://www.mendeley.com/documents/?uuid=e7e5a0c7-ec8c-331d-a0fd-2befa79e62d0"]}],"mendeley":{"formattedCitation":"&lt;sup&gt;22&lt;/sup&gt;","plainTextFormattedCitation":"22","previouslyFormattedCitation":"&lt;sup&gt;22&lt;/sup&gt;"},"properties":{"noteIndex":0},"schema":"https://github.com/citation-style-language/schema/raw/master/csl-citation.json"}</w:instrText>
      </w:r>
      <w:r>
        <w:fldChar w:fldCharType="separate"/>
      </w:r>
      <w:r w:rsidR="001403A4" w:rsidRPr="001403A4">
        <w:rPr>
          <w:noProof/>
          <w:vertAlign w:val="superscript"/>
        </w:rPr>
        <w:t>22</w:t>
      </w:r>
      <w:r>
        <w:fldChar w:fldCharType="end"/>
      </w:r>
      <w:r>
        <w:t xml:space="preserve"> (Figure 2).</w:t>
      </w:r>
    </w:p>
    <w:p w14:paraId="3174260C" w14:textId="77777777" w:rsidR="001529CF" w:rsidRDefault="001529CF">
      <w:pPr>
        <w:pStyle w:val="LO-normal"/>
        <w:jc w:val="both"/>
      </w:pPr>
    </w:p>
    <w:p w14:paraId="4FE46164" w14:textId="77777777" w:rsidR="001529CF" w:rsidRDefault="00492337">
      <w:pPr>
        <w:pStyle w:val="LO-normal"/>
      </w:pPr>
      <w:r>
        <w:rPr>
          <w:noProof/>
          <w:lang w:val="en-SG" w:eastAsia="en-SG" w:bidi="ar-SA"/>
        </w:rPr>
        <w:lastRenderedPageBreak/>
        <w:drawing>
          <wp:inline distT="0" distB="0" distL="0" distR="0" wp14:anchorId="6867AA8E" wp14:editId="6C070032">
            <wp:extent cx="5943600" cy="2324100"/>
            <wp:effectExtent l="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a:picLocks noChangeAspect="1" noChangeArrowheads="1"/>
                    </pic:cNvPicPr>
                  </pic:nvPicPr>
                  <pic:blipFill>
                    <a:blip r:embed="rId12"/>
                    <a:stretch>
                      <a:fillRect/>
                    </a:stretch>
                  </pic:blipFill>
                  <pic:spPr bwMode="auto">
                    <a:xfrm>
                      <a:off x="0" y="0"/>
                      <a:ext cx="5943600" cy="2324100"/>
                    </a:xfrm>
                    <a:prstGeom prst="rect">
                      <a:avLst/>
                    </a:prstGeom>
                  </pic:spPr>
                </pic:pic>
              </a:graphicData>
            </a:graphic>
          </wp:inline>
        </w:drawing>
      </w:r>
    </w:p>
    <w:p w14:paraId="07791AAA" w14:textId="46234925" w:rsidR="001529CF" w:rsidRDefault="00492337">
      <w:pPr>
        <w:pStyle w:val="LO-normal"/>
        <w:jc w:val="both"/>
      </w:pPr>
      <w:r>
        <w:t>Figure 2: Common AMP folds, represented by example AMPs. A) α-helix (represented by melittin</w:t>
      </w:r>
      <w:r w:rsidR="00D05176">
        <w:t>, PDB 6DST</w:t>
      </w:r>
      <w:r>
        <w:t>); B) anti-parallel β-sheets (represented by protegrin-1</w:t>
      </w:r>
      <w:r w:rsidR="00D05176">
        <w:t>, PDB 1PG1</w:t>
      </w:r>
      <w:r>
        <w:t>); C) mixed helical and sheets (represented by human β-Defensin 2</w:t>
      </w:r>
      <w:r w:rsidR="00D05176">
        <w:t>, PDB 1FD3</w:t>
      </w:r>
      <w:r>
        <w:t>); D) extended random coil (represented by indolicidin</w:t>
      </w:r>
      <w:r w:rsidR="00D05176">
        <w:t>, PDB 1G89</w:t>
      </w:r>
      <w:r>
        <w:t>). Helical, β-sheet, turn and coil elements shown in pink, yellow, cyan and white, respectively.</w:t>
      </w:r>
      <w:r w:rsidR="00EF6D65">
        <w:t xml:space="preserve"> Images prepared with VMD 1.9.4a31.</w:t>
      </w:r>
    </w:p>
    <w:p w14:paraId="4C009D5C" w14:textId="77777777" w:rsidR="001529CF" w:rsidRDefault="001529CF">
      <w:pPr>
        <w:pStyle w:val="LO-normal"/>
        <w:rPr>
          <w:b/>
        </w:rPr>
      </w:pPr>
    </w:p>
    <w:p w14:paraId="3D283B75" w14:textId="46598BC6" w:rsidR="001403A4" w:rsidRPr="003A4F3F" w:rsidRDefault="001403A4" w:rsidP="001403A4">
      <w:pPr>
        <w:jc w:val="both"/>
        <w:rPr>
          <w:rFonts w:ascii="Times New Roman" w:eastAsia="Times New Roman" w:hAnsi="Times New Roman" w:cs="Times New Roman"/>
          <w:lang w:eastAsia="en-GB"/>
        </w:rPr>
      </w:pPr>
      <w:r>
        <w:rPr>
          <w:rFonts w:eastAsia="Times New Roman"/>
          <w:lang w:eastAsia="en-GB"/>
        </w:rPr>
        <w:t>One</w:t>
      </w:r>
      <w:r w:rsidRPr="00B6678C">
        <w:rPr>
          <w:rFonts w:eastAsia="Times New Roman"/>
          <w:lang w:eastAsia="en-GB"/>
        </w:rPr>
        <w:t xml:space="preserve"> important aspect of AMP research is to </w:t>
      </w:r>
      <w:r>
        <w:rPr>
          <w:rFonts w:eastAsia="Times New Roman"/>
          <w:lang w:eastAsia="en-GB"/>
        </w:rPr>
        <w:t>consider</w:t>
      </w:r>
      <w:r w:rsidRPr="00B6678C">
        <w:rPr>
          <w:rFonts w:eastAsia="Times New Roman"/>
          <w:lang w:eastAsia="en-GB"/>
        </w:rPr>
        <w:t xml:space="preserve"> the therapeutic index of the peptide (</w:t>
      </w:r>
      <w:r w:rsidR="007D32C6">
        <w:rPr>
          <w:rFonts w:eastAsia="Times New Roman"/>
          <w:lang w:eastAsia="en-GB"/>
        </w:rPr>
        <w:t xml:space="preserve">i.e. </w:t>
      </w:r>
      <w:r w:rsidRPr="00B6678C">
        <w:rPr>
          <w:rFonts w:eastAsia="Times New Roman"/>
          <w:lang w:eastAsia="en-GB"/>
        </w:rPr>
        <w:t xml:space="preserve">the ratio of antimicrobial activity </w:t>
      </w:r>
      <w:r w:rsidR="00016F6B">
        <w:rPr>
          <w:rFonts w:eastAsia="Times New Roman"/>
          <w:lang w:eastAsia="en-GB"/>
        </w:rPr>
        <w:t>relative to</w:t>
      </w:r>
      <w:r w:rsidRPr="00B6678C">
        <w:rPr>
          <w:rFonts w:eastAsia="Times New Roman"/>
          <w:lang w:eastAsia="en-GB"/>
        </w:rPr>
        <w:t xml:space="preserve"> mammalian cytotoxicity). In nature, AMPs selectively target invading microbes without detrimentally interfering with host cells, and the reasons for this have been related to their structure and physicochemical properties</w:t>
      </w:r>
      <w:r w:rsidR="007D32C6">
        <w:rPr>
          <w:rFonts w:eastAsia="Times New Roman"/>
          <w:lang w:eastAsia="en-GB"/>
        </w:rPr>
        <w:fldChar w:fldCharType="begin" w:fldLock="1"/>
      </w:r>
      <w:r w:rsidR="007012DA">
        <w:rPr>
          <w:rFonts w:eastAsia="Times New Roman"/>
          <w:lang w:eastAsia="en-GB"/>
        </w:rPr>
        <w:instrText>ADDIN CSL_CITATION {"citationItems":[{"id":"ITEM-1","itemData":{"DOI":"10.1124/pr.55.1.2","ISSN":"00316997","PMID":"12615953","abstract":"Antimicrobial peptides have been isolated and characterized from tissues and organisms representing virtually every kingdom and phylum, ranging from prokaryotes to humans. Yet, recurrent structural and functional themes in mechanisms of action and resistance are observed among peptides of widely diverse source and composition. Biochemical distinctions among the peptides themselves, target versus host cells, and the microenvironments in which these counterparts convene, likely provide for varying degrees of selective toxicity among diverse antimicrobial peptide types. Moreover, many antimicrobial peptides employ sophisticated and dynamic mechanisms of action to effect rapid and potent activities consistent with their likely roles in antimicrobial host defense. In balance, successful microbial pathogens have evolved multifaceted and effective countermeasures to avoid exposure to and subvert mechanisms of antimicrobial peptides. A clearer recognition of these opposing themes will significantly advance our understanding of how antimicrobial peptides function in defense against infection. Furthermore, this understanding may provide new models and strategies for developing novel antimicrobial agents, that may also augment immunity, restore potency or amplify the mechanisms of conventional antibiotics, and minimize antimicrobial resistance mechanisms among pathogens. From these perspectives, the intention of this review is to illustrate the contemporary structural and functional themes among mechanisms of antimicrobial peptide action and resistance.","author":[{"dropping-particle":"","family":"Yeaman","given":"Michael R.","non-dropping-particle":"","parse-names":false,"suffix":""},{"dropping-particle":"","family":"Yount","given":"Nannette Y.","non-dropping-particle":"","parse-names":false,"suffix":""}],"container-title":"Pharmacological Reviews","id":"ITEM-1","issue":"1","issued":{"date-parts":[["2003","3"]]},"page":"27-55","publisher":"Pharmacol Rev","title":"Mechanisms of antimicrobial peptide action and resistance","type":"article-journal","volume":"55"},"uris":["http://www.mendeley.com/documents/?uuid=36270850-d298-3b30-a890-bf10d48c9ea4"]},{"id":"ITEM-2","itemData":{"DOI":"10.1007/s10989-014-9430-z","ISSN":"15733904","abstract":"Antimicrobial peptides (AMPs) represent a class of molecules synthesized by different organisms as an ancient innate defense mechanism against different pathogens like bacteria, fungi, viruses. Their characteristics make them good candidates to fight against bacteria together with or as an alternative to antibiotics. To decide on AMPs suitability for use in mammalian systems we redefined a 'therapeutic index' using the concentrations for which AMP is active against pathogens without inducing cytotoxic damage to the mammalian cells. Here we analyzed the toxic effects of eleven, highly active cationic AMPs towards human cells. The AMPs cytotoxicity was determined using common standardized assays measuring their effect on red blood cells (hemolytic index) and on lymphocytes (cell viability). The therapeutic index was calculated for all the AMPs tested. The highest therapeutic index was found for cecropins followed by magainins and the smallest for Melittin. For two peptides, Cecropin A which presents the highest therapeutic index and Melittin with the smallest therapeutic index we characterized in detail the cell death process distinguishing between apoptosis and necrosis. The toxic effects produced by Cecropin A and Melittin are induced mostly by means of apoptosis suggesting that the definition of therapeutic index has to consider the apoptotic effects of AMPs. Thus we provided here a unitary way to characterize the side effects of AMPs. The analysis of in vitro cytotoxic effects of AMPs using the global concept of therapeutic index can be a powerful way to decide which peptide can be taken for further testing in preclinical trials.","author":[{"dropping-particle":"","family":"Bacalum","given":"M.","non-dropping-particle":"","parse-names":false,"suffix":""},{"dropping-particle":"","family":"Radu","given":"M.","non-dropping-particle":"","parse-names":false,"suffix":""}],"container-title":"International Journal of Peptide Research and Therapeutics","id":"ITEM-2","issue":"1","issued":{"date-parts":[["2015","8","24"]]},"page":"47-55","publisher":"Kluwer Academic Publishers","title":"Cationic antimicrobial peptides cytotoxicity on mammalian cells: An analysis using therapeutic index integrative concept","type":"article-journal","volume":"21"},"uris":["http://www.mendeley.com/documents/?uuid=31ac4d1a-4e81-3c74-a147-5022964b1a23"]},{"id":"ITEM-3","itemData":{"DOI":"10.3389/fcimb.2016.00194","ISSN":"22352988","PMID":"28083516","abstract":"Antimicrobial peptides (AMPs), also known as host defense peptides, are short and generally positively charged peptides found in a wide variety of life forms from microorganisms to humans. Most AMPs have the ability to kill microbial pathogens directly, whereas others act indirectly by modulating the host defense systems. Against a background of rapidly increasing resistance development to conventional antibiotics all over the world, efforts to bring AMPs into clinical use are accelerating. Several AMPs are currently being evaluated in clinical trials as novel anti-infectives, but also as new pharmacological agents to modulate the immune response, promote wound healing, and prevent post-surgical adhesions. In this review, we provide an overview of the biological role, classification, and mode of action of AMPs, discuss the opportunities and challenges to develop these peptides for clinical applications, and review the innovative formulation strategies for application of AMPs.","author":[{"dropping-particle":"","family":"Mahlapuu","given":"Margit","non-dropping-particle":"","parse-names":false,"suffix":""},{"dropping-particle":"","family":"Håkansson","given":"Joakim","non-dropping-particle":"","parse-names":false,"suffix":""},{"dropping-particle":"","family":"Ringstad","given":"Lovisa","non-dropping-particle":"","parse-names":false,"suffix":""},{"dropping-particle":"","family":"Björn","given":"Camilla","non-dropping-particle":"","parse-names":false,"suffix":""}],"container-title":"Frontiers in Cellular and Infection Microbiology","id":"ITEM-3","issue":"DEC","issued":{"date-parts":[["2016","12","27"]]},"page":"194","publisher":"Frontiers Media S.A.","title":"Antimicrobial peptides: An emerging category of therapeutic agents","type":"article-journal","volume":"6"},"uris":["http://www.mendeley.com/documents/?uuid=9081b945-1ff1-3177-a518-48fa806d28db"]}],"mendeley":{"formattedCitation":"&lt;sup&gt;23–25&lt;/sup&gt;","plainTextFormattedCitation":"23–25","previouslyFormattedCitation":"&lt;sup&gt;23–25&lt;/sup&gt;"},"properties":{"noteIndex":0},"schema":"https://github.com/citation-style-language/schema/raw/master/csl-citation.json"}</w:instrText>
      </w:r>
      <w:r w:rsidR="007D32C6">
        <w:rPr>
          <w:rFonts w:eastAsia="Times New Roman"/>
          <w:lang w:eastAsia="en-GB"/>
        </w:rPr>
        <w:fldChar w:fldCharType="separate"/>
      </w:r>
      <w:r w:rsidR="007D32C6" w:rsidRPr="007D32C6">
        <w:rPr>
          <w:rFonts w:eastAsia="Times New Roman"/>
          <w:noProof/>
          <w:vertAlign w:val="superscript"/>
          <w:lang w:eastAsia="en-GB"/>
        </w:rPr>
        <w:t>23–25</w:t>
      </w:r>
      <w:r w:rsidR="007D32C6">
        <w:rPr>
          <w:rFonts w:eastAsia="Times New Roman"/>
          <w:lang w:eastAsia="en-GB"/>
        </w:rPr>
        <w:fldChar w:fldCharType="end"/>
      </w:r>
      <w:r w:rsidRPr="00B6678C">
        <w:rPr>
          <w:rFonts w:eastAsia="Times New Roman"/>
          <w:lang w:eastAsia="en-GB"/>
        </w:rPr>
        <w:t>. For example, AMPs are often cationic, meaning their initial electrostatic interactions favour bacterial</w:t>
      </w:r>
      <w:r>
        <w:rPr>
          <w:rFonts w:eastAsia="Times New Roman"/>
          <w:lang w:eastAsia="en-GB"/>
        </w:rPr>
        <w:t xml:space="preserve"> membranes, which </w:t>
      </w:r>
      <w:r w:rsidR="007D32C6">
        <w:rPr>
          <w:rFonts w:eastAsia="Times New Roman"/>
          <w:lang w:eastAsia="en-GB"/>
        </w:rPr>
        <w:t>usually</w:t>
      </w:r>
      <w:r>
        <w:rPr>
          <w:rFonts w:eastAsia="Times New Roman"/>
          <w:lang w:eastAsia="en-GB"/>
        </w:rPr>
        <w:t xml:space="preserve"> contain a multitude of anionic phospholipids,</w:t>
      </w:r>
      <w:r w:rsidR="007D32C6">
        <w:rPr>
          <w:rFonts w:eastAsia="Times New Roman"/>
          <w:lang w:eastAsia="en-GB"/>
        </w:rPr>
        <w:t xml:space="preserve"> over</w:t>
      </w:r>
      <w:r w:rsidRPr="00B6678C">
        <w:rPr>
          <w:rFonts w:eastAsia="Times New Roman"/>
          <w:lang w:eastAsia="en-GB"/>
        </w:rPr>
        <w:t xml:space="preserve"> mammalian membranes</w:t>
      </w:r>
      <w:r>
        <w:rPr>
          <w:rFonts w:eastAsia="Times New Roman"/>
          <w:lang w:eastAsia="en-GB"/>
        </w:rPr>
        <w:t>, which are usually com</w:t>
      </w:r>
      <w:r w:rsidR="007D32C6">
        <w:rPr>
          <w:rFonts w:eastAsia="Times New Roman"/>
          <w:lang w:eastAsia="en-GB"/>
        </w:rPr>
        <w:t>posed of zwitterionic lipids</w:t>
      </w:r>
      <w:r w:rsidR="007D32C6">
        <w:rPr>
          <w:rFonts w:eastAsia="Times New Roman"/>
          <w:lang w:eastAsia="en-GB"/>
        </w:rPr>
        <w:fldChar w:fldCharType="begin" w:fldLock="1"/>
      </w:r>
      <w:r w:rsidR="007012DA">
        <w:rPr>
          <w:rFonts w:eastAsia="Times New Roman"/>
          <w:lang w:eastAsia="en-GB"/>
        </w:rPr>
        <w:instrText>ADDIN CSL_CITATION {"citationItems":[{"id":"ITEM-1","itemData":{"DOI":"10.3389/fcimb.2016.00194","ISSN":"22352988","PMID":"28083516","abstract":"Antimicrobial peptides (AMPs), also known as host defense peptides, are short and generally positively charged peptides found in a wide variety of life forms from microorganisms to humans. Most AMPs have the ability to kill microbial pathogens directly, whereas others act indirectly by modulating the host defense systems. Against a background of rapidly increasing resistance development to conventional antibiotics all over the world, efforts to bring AMPs into clinical use are accelerating. Several AMPs are currently being evaluated in clinical trials as novel anti-infectives, but also as new pharmacological agents to modulate the immune response, promote wound healing, and prevent post-surgical adhesions. In this review, we provide an overview of the biological role, classification, and mode of action of AMPs, discuss the opportunities and challenges to develop these peptides for clinical applications, and review the innovative formulation strategies for application of AMPs.","author":[{"dropping-particle":"","family":"Mahlapuu","given":"Margit","non-dropping-particle":"","parse-names":false,"suffix":""},{"dropping-particle":"","family":"Håkansson","given":"Joakim","non-dropping-particle":"","parse-names":false,"suffix":""},{"dropping-particle":"","family":"Ringstad","given":"Lovisa","non-dropping-particle":"","parse-names":false,"suffix":""},{"dropping-particle":"","family":"Björn","given":"Camilla","non-dropping-particle":"","parse-names":false,"suffix":""}],"container-title":"Frontiers in Cellular and Infection Microbiology","id":"ITEM-1","issue":"DEC","issued":{"date-parts":[["2016","12","27"]]},"page":"194","publisher":"Frontiers Media S.A.","title":"Antimicrobial peptides: An emerging category of therapeutic agents","type":"article-journal","volume":"6"},"uris":["http://www.mendeley.com/documents/?uuid=9081b945-1ff1-3177-a518-48fa806d28db"]}],"mendeley":{"formattedCitation":"&lt;sup&gt;25&lt;/sup&gt;","plainTextFormattedCitation":"25","previouslyFormattedCitation":"&lt;sup&gt;25&lt;/sup&gt;"},"properties":{"noteIndex":0},"schema":"https://github.com/citation-style-language/schema/raw/master/csl-citation.json"}</w:instrText>
      </w:r>
      <w:r w:rsidR="007D32C6">
        <w:rPr>
          <w:rFonts w:eastAsia="Times New Roman"/>
          <w:lang w:eastAsia="en-GB"/>
        </w:rPr>
        <w:fldChar w:fldCharType="separate"/>
      </w:r>
      <w:r w:rsidR="007D32C6" w:rsidRPr="007D32C6">
        <w:rPr>
          <w:rFonts w:eastAsia="Times New Roman"/>
          <w:noProof/>
          <w:vertAlign w:val="superscript"/>
          <w:lang w:eastAsia="en-GB"/>
        </w:rPr>
        <w:t>25</w:t>
      </w:r>
      <w:r w:rsidR="007D32C6">
        <w:rPr>
          <w:rFonts w:eastAsia="Times New Roman"/>
          <w:lang w:eastAsia="en-GB"/>
        </w:rPr>
        <w:fldChar w:fldCharType="end"/>
      </w:r>
      <w:r w:rsidRPr="00B6678C">
        <w:rPr>
          <w:rFonts w:eastAsia="Times New Roman"/>
          <w:lang w:eastAsia="en-GB"/>
        </w:rPr>
        <w:t>.</w:t>
      </w:r>
      <w:r>
        <w:rPr>
          <w:rFonts w:eastAsia="Times New Roman"/>
          <w:lang w:eastAsia="en-GB"/>
        </w:rPr>
        <w:t xml:space="preserve"> Additionally,</w:t>
      </w:r>
      <w:r w:rsidRPr="00B6678C">
        <w:rPr>
          <w:rFonts w:eastAsia="Times New Roman"/>
          <w:lang w:eastAsia="en-GB"/>
        </w:rPr>
        <w:t xml:space="preserve"> </w:t>
      </w:r>
      <w:r>
        <w:rPr>
          <w:rFonts w:eastAsia="Times New Roman"/>
          <w:lang w:eastAsia="en-GB"/>
        </w:rPr>
        <w:t>t</w:t>
      </w:r>
      <w:r w:rsidRPr="00B6678C">
        <w:rPr>
          <w:rFonts w:eastAsia="Times New Roman"/>
          <w:lang w:eastAsia="en-GB"/>
        </w:rPr>
        <w:t xml:space="preserve">here is a more significant transmembrane potential present in bacterial cells, </w:t>
      </w:r>
      <w:r w:rsidR="007D32C6">
        <w:rPr>
          <w:rFonts w:eastAsia="Times New Roman"/>
          <w:lang w:eastAsia="en-GB"/>
        </w:rPr>
        <w:t>which</w:t>
      </w:r>
      <w:r w:rsidRPr="00B6678C">
        <w:rPr>
          <w:rFonts w:eastAsia="Times New Roman"/>
          <w:lang w:eastAsia="en-GB"/>
        </w:rPr>
        <w:t xml:space="preserve"> has been hypothesised to increase the ability of cationic peptide</w:t>
      </w:r>
      <w:r w:rsidR="00016F6B">
        <w:rPr>
          <w:rFonts w:eastAsia="Times New Roman"/>
          <w:lang w:eastAsia="en-GB"/>
        </w:rPr>
        <w:t>s</w:t>
      </w:r>
      <w:r w:rsidRPr="00B6678C">
        <w:rPr>
          <w:rFonts w:eastAsia="Times New Roman"/>
          <w:lang w:eastAsia="en-GB"/>
        </w:rPr>
        <w:t xml:space="preserve"> to insert and disrupt the membrane</w:t>
      </w:r>
      <w:r w:rsidR="007D32C6">
        <w:rPr>
          <w:rFonts w:eastAsia="Times New Roman"/>
          <w:lang w:eastAsia="en-GB"/>
        </w:rPr>
        <w:fldChar w:fldCharType="begin" w:fldLock="1"/>
      </w:r>
      <w:r w:rsidR="007012DA">
        <w:rPr>
          <w:rFonts w:eastAsia="Times New Roman"/>
          <w:lang w:eastAsia="en-GB"/>
        </w:rPr>
        <w:instrText>ADDIN CSL_CITATION {"citationItems":[{"id":"ITEM-1","itemData":{"DOI":"10.1124/pr.55.1.2","ISSN":"00316997","PMID":"12615953","abstract":"Antimicrobial peptides have been isolated and characterized from tissues and organisms representing virtually every kingdom and phylum, ranging from prokaryotes to humans. Yet, recurrent structural and functional themes in mechanisms of action and resistance are observed among peptides of widely diverse source and composition. Biochemical distinctions among the peptides themselves, target versus host cells, and the microenvironments in which these counterparts convene, likely provide for varying degrees of selective toxicity among diverse antimicrobial peptide types. Moreover, many antimicrobial peptides employ sophisticated and dynamic mechanisms of action to effect rapid and potent activities consistent with their likely roles in antimicrobial host defense. In balance, successful microbial pathogens have evolved multifaceted and effective countermeasures to avoid exposure to and subvert mechanisms of antimicrobial peptides. A clearer recognition of these opposing themes will significantly advance our understanding of how antimicrobial peptides function in defense against infection. Furthermore, this understanding may provide new models and strategies for developing novel antimicrobial agents, that may also augment immunity, restore potency or amplify the mechanisms of conventional antibiotics, and minimize antimicrobial resistance mechanisms among pathogens. From these perspectives, the intention of this review is to illustrate the contemporary structural and functional themes among mechanisms of antimicrobial peptide action and resistance.","author":[{"dropping-particle":"","family":"Yeaman","given":"Michael R.","non-dropping-particle":"","parse-names":false,"suffix":""},{"dropping-particle":"","family":"Yount","given":"Nannette Y.","non-dropping-particle":"","parse-names":false,"suffix":""}],"container-title":"Pharmacological Reviews","id":"ITEM-1","issue":"1","issued":{"date-parts":[["2003","3"]]},"page":"27-55","publisher":"Pharmacol Rev","title":"Mechanisms of antimicrobial peptide action and resistance","type":"article-journal","volume":"55"},"uris":["http://www.mendeley.com/documents/?uuid=36270850-d298-3b30-a890-bf10d48c9ea4"]}],"mendeley":{"formattedCitation":"&lt;sup&gt;23&lt;/sup&gt;","plainTextFormattedCitation":"23","previouslyFormattedCitation":"&lt;sup&gt;23&lt;/sup&gt;"},"properties":{"noteIndex":0},"schema":"https://github.com/citation-style-language/schema/raw/master/csl-citation.json"}</w:instrText>
      </w:r>
      <w:r w:rsidR="007D32C6">
        <w:rPr>
          <w:rFonts w:eastAsia="Times New Roman"/>
          <w:lang w:eastAsia="en-GB"/>
        </w:rPr>
        <w:fldChar w:fldCharType="separate"/>
      </w:r>
      <w:r w:rsidR="007D32C6" w:rsidRPr="007D32C6">
        <w:rPr>
          <w:rFonts w:eastAsia="Times New Roman"/>
          <w:noProof/>
          <w:vertAlign w:val="superscript"/>
          <w:lang w:eastAsia="en-GB"/>
        </w:rPr>
        <w:t>23</w:t>
      </w:r>
      <w:r w:rsidR="007D32C6">
        <w:rPr>
          <w:rFonts w:eastAsia="Times New Roman"/>
          <w:lang w:eastAsia="en-GB"/>
        </w:rPr>
        <w:fldChar w:fldCharType="end"/>
      </w:r>
      <w:r w:rsidRPr="00B6678C">
        <w:rPr>
          <w:rFonts w:eastAsia="Times New Roman"/>
          <w:lang w:eastAsia="en-GB"/>
        </w:rPr>
        <w:t xml:space="preserve">. </w:t>
      </w:r>
      <w:r>
        <w:rPr>
          <w:rFonts w:eastAsia="Times New Roman"/>
          <w:lang w:eastAsia="en-GB"/>
        </w:rPr>
        <w:t>Furthermore, mammalian cell membranes have a greater concentration of cholesterol, which is likely to weaken the hydrophobic i</w:t>
      </w:r>
      <w:r w:rsidR="007D32C6">
        <w:rPr>
          <w:rFonts w:eastAsia="Times New Roman"/>
          <w:lang w:eastAsia="en-GB"/>
        </w:rPr>
        <w:t>nteractions with the peptide</w:t>
      </w:r>
      <w:r w:rsidR="007D32C6">
        <w:rPr>
          <w:rFonts w:eastAsia="Times New Roman"/>
          <w:lang w:eastAsia="en-GB"/>
        </w:rPr>
        <w:fldChar w:fldCharType="begin" w:fldLock="1"/>
      </w:r>
      <w:r w:rsidR="007D32C6">
        <w:rPr>
          <w:rFonts w:eastAsia="Times New Roman"/>
          <w:lang w:eastAsia="en-GB"/>
        </w:rPr>
        <w:instrText>ADDIN CSL_CITATION {"citationItems":[{"id":"ITEM-1","itemData":{"DOI":"10.1007/s10989-014-9430-z","ISSN":"15733904","abstract":"Antimicrobial peptides (AMPs) represent a class of molecules synthesized by different organisms as an ancient innate defense mechanism against different pathogens like bacteria, fungi, viruses. Their characteristics make them good candidates to fight against bacteria together with or as an alternative to antibiotics. To decide on AMPs suitability for use in mammalian systems we redefined a 'therapeutic index' using the concentrations for which AMP is active against pathogens without inducing cytotoxic damage to the mammalian cells. Here we analyzed the toxic effects of eleven, highly active cationic AMPs towards human cells. The AMPs cytotoxicity was determined using common standardized assays measuring their effect on red blood cells (hemolytic index) and on lymphocytes (cell viability). The therapeutic index was calculated for all the AMPs tested. The highest therapeutic index was found for cecropins followed by magainins and the smallest for Melittin. For two peptides, Cecropin A which presents the highest therapeutic index and Melittin with the smallest therapeutic index we characterized in detail the cell death process distinguishing between apoptosis and necrosis. The toxic effects produced by Cecropin A and Melittin are induced mostly by means of apoptosis suggesting that the definition of therapeutic index has to consider the apoptotic effects of AMPs. Thus we provided here a unitary way to characterize the side effects of AMPs. The analysis of in vitro cytotoxic effects of AMPs using the global concept of therapeutic index can be a powerful way to decide which peptide can be taken for further testing in preclinical trials.","author":[{"dropping-particle":"","family":"Bacalum","given":"M.","non-dropping-particle":"","parse-names":false,"suffix":""},{"dropping-particle":"","family":"Radu","given":"M.","non-dropping-particle":"","parse-names":false,"suffix":""}],"container-title":"International Journal of Peptide Research and Therapeutics","id":"ITEM-1","issue":"1","issued":{"date-parts":[["2015","8","24"]]},"page":"47-55","publisher":"Kluwer Academic Publishers","title":"Cationic antimicrobial peptides cytotoxicity on mammalian cells: An analysis using therapeutic index integrative concept","type":"article-journal","volume":"21"},"uris":["http://www.mendeley.com/documents/?uuid=31ac4d1a-4e81-3c74-a147-5022964b1a23"]}],"mendeley":{"formattedCitation":"&lt;sup&gt;24&lt;/sup&gt;","plainTextFormattedCitation":"24","previouslyFormattedCitation":"&lt;sup&gt;24&lt;/sup&gt;"},"properties":{"noteIndex":0},"schema":"https://github.com/citation-style-language/schema/raw/master/csl-citation.json"}</w:instrText>
      </w:r>
      <w:r w:rsidR="007D32C6">
        <w:rPr>
          <w:rFonts w:eastAsia="Times New Roman"/>
          <w:lang w:eastAsia="en-GB"/>
        </w:rPr>
        <w:fldChar w:fldCharType="separate"/>
      </w:r>
      <w:r w:rsidR="007D32C6" w:rsidRPr="007D32C6">
        <w:rPr>
          <w:rFonts w:eastAsia="Times New Roman"/>
          <w:noProof/>
          <w:vertAlign w:val="superscript"/>
          <w:lang w:eastAsia="en-GB"/>
        </w:rPr>
        <w:t>24</w:t>
      </w:r>
      <w:r w:rsidR="007D32C6">
        <w:rPr>
          <w:rFonts w:eastAsia="Times New Roman"/>
          <w:lang w:eastAsia="en-GB"/>
        </w:rPr>
        <w:fldChar w:fldCharType="end"/>
      </w:r>
      <w:r>
        <w:rPr>
          <w:rFonts w:eastAsia="Times New Roman"/>
          <w:lang w:eastAsia="en-GB"/>
        </w:rPr>
        <w:t>. Despite t</w:t>
      </w:r>
      <w:r w:rsidRPr="00B6678C">
        <w:rPr>
          <w:rFonts w:eastAsia="Times New Roman"/>
          <w:lang w:eastAsia="en-GB"/>
        </w:rPr>
        <w:t>hese features, some AMPs have reported mammalian cytotoxicity through pore-forming</w:t>
      </w:r>
      <w:r w:rsidR="005B4D74">
        <w:rPr>
          <w:rFonts w:eastAsia="Times New Roman"/>
          <w:lang w:eastAsia="en-GB"/>
        </w:rPr>
        <w:t>, hemolytic,</w:t>
      </w:r>
      <w:r w:rsidRPr="00B6678C">
        <w:rPr>
          <w:rFonts w:eastAsia="Times New Roman"/>
          <w:lang w:eastAsia="en-GB"/>
        </w:rPr>
        <w:t xml:space="preserve"> and apoptotic mechanisms</w:t>
      </w:r>
      <w:r w:rsidR="007D32C6">
        <w:rPr>
          <w:rFonts w:eastAsia="Times New Roman"/>
          <w:lang w:eastAsia="en-GB"/>
        </w:rPr>
        <w:fldChar w:fldCharType="begin" w:fldLock="1"/>
      </w:r>
      <w:r w:rsidR="00D217EC">
        <w:rPr>
          <w:rFonts w:eastAsia="Times New Roman"/>
          <w:lang w:eastAsia="en-GB"/>
        </w:rPr>
        <w:instrText>ADDIN CSL_CITATION {"citationItems":[{"id":"ITEM-1","itemData":{"DOI":"10.1007/s10989-014-9430-z","ISSN":"15733904","abstract":"Antimicrobial peptides (AMPs) represent a class of molecules synthesized by different organisms as an ancient innate defense mechanism against different pathogens like bacteria, fungi, viruses. Their characteristics make them good candidates to fight against bacteria together with or as an alternative to antibiotics. To decide on AMPs suitability for use in mammalian systems we redefined a 'therapeutic index' using the concentrations for which AMP is active against pathogens without inducing cytotoxic damage to the mammalian cells. Here we analyzed the toxic effects of eleven, highly active cationic AMPs towards human cells. The AMPs cytotoxicity was determined using common standardized assays measuring their effect on red blood cells (hemolytic index) and on lymphocytes (cell viability). The therapeutic index was calculated for all the AMPs tested. The highest therapeutic index was found for cecropins followed by magainins and the smallest for Melittin. For two peptides, Cecropin A which presents the highest therapeutic index and Melittin with the smallest therapeutic index we characterized in detail the cell death process distinguishing between apoptosis and necrosis. The toxic effects produced by Cecropin A and Melittin are induced mostly by means of apoptosis suggesting that the definition of therapeutic index has to consider the apoptotic effects of AMPs. Thus we provided here a unitary way to characterize the side effects of AMPs. The analysis of in vitro cytotoxic effects of AMPs using the global concept of therapeutic index can be a powerful way to decide which peptide can be taken for further testing in preclinical trials.","author":[{"dropping-particle":"","family":"Bacalum","given":"M.","non-dropping-particle":"","parse-names":false,"suffix":""},{"dropping-particle":"","family":"Radu","given":"M.","non-dropping-particle":"","parse-names":false,"suffix":""}],"container-title":"International Journal of Peptide Research and Therapeutics","id":"ITEM-1","issue":"1","issued":{"date-parts":[["2015","8","24"]]},"page":"47-55","publisher":"Kluwer Academic Publishers","title":"Cationic antimicrobial peptides cytotoxicity on mammalian cells: An analysis using therapeutic index integrative concept","type":"article-journal","volume":"21"},"uris":["http://www.mendeley.com/documents/?uuid=31ac4d1a-4e81-3c74-a147-5022964b1a23"]},{"id":"ITEM-2","itemData":{"DOI":"10.1007/978-1-4939-6737-7_31","ISSN":"10643745","PMID":"28013523","abstract":"For antimicrobial peptides to be interesting for systemic applications, they must show low toxicity against erythrocytes. In this chapter, we describe a protocol for measuring the ability of AMPs to lyse human red blood cells, using melittin as positive control.","author":[{"dropping-particle":"","family":"Oddo","given":"Alberto","non-dropping-particle":"","parse-names":false,"suffix":""},{"dropping-particle":"","family":"Hansen","given":"Paul R.","non-dropping-particle":"","parse-names":false,"suffix":""}],"container-title":"Methods in Molecular Biology","id":"ITEM-2","issued":{"date-parts":[["2017"]]},"page":"427-435","publisher":"Humana Press Inc.","title":"Hemolytic activity of antimicrobial peptides","type":"chapter","volume":"1548"},"uris":["http://www.mendeley.com/documents/?uuid=ac7383ef-4cec-3642-b571-b6b2a579c75e"]},{"id":"ITEM-3","itemData":{"DOI":"10.1038/s41598-019-47955-2","ISSN":"20452322","PMID":"31399625","abstract":"Porcine protegrin-1 (PG-1) is a broad-spectrum antimicrobial peptide (AMP) with potent antimicrobial activities. We produced recombinant PG-1 and evaluated its cytotoxicity toward various types of mammalian cell lines, including embryonic fibroblasts, retinal cells, embryonic kidney cells, neuroblastoma cells, alveolar macrophage cells, and neutrophils. The sensitivity of the different mammalian cells to cytotoxic damage induced by PG-1 differed significantly among the cell types, with retinal neuron cells and neutrophils being the most significantly affected. A circular dichroism analysis showed there was a precise correlation between conformational changes in PG-1 and the magnitude of cytotoxicity among the various cell type. Subsequently, a green fluorescent protein (GFP) penetration assay using positively charged GFPs indicated there was a close correlation between the degree of penetration of charged GFP into cells and the magnitude of PG-1 cytotoxicity. Furthermore, we also showed that inhibition of the synthesis of anionic sulphated proteoglycans on the cell surface decreases the cytotoxic damage induced by PG-1 treatment. Taken together, the observed cytotoxicity of PG-1 towards different membrane surfaces is highly driven by the membrane’s anionic properties. Our results reveal a possible mechanism underlying cell-type dependent differences in cytotoxicity of AMPs, such as PG-1, toward mammalian cells.","author":[{"dropping-particle":"","family":"Soundrarajan","given":"Nagasundarapandian","non-dropping-particle":"","parse-names":false,"suffix":""},{"dropping-particle":"","family":"Park","given":"Suhyun","non-dropping-particle":"","parse-names":false,"suffix":""},{"dropping-particle":"","family":"Van Chanh","given":"Quy","non-dropping-particle":"Le","parse-names":false,"suffix":""},{"dropping-particle":"","family":"Cho","given":"Hye sun","non-dropping-particle":"","parse-names":false,"suffix":""},{"dropping-particle":"","family":"Raghunathan","given":"Govindan","non-dropping-particle":"","parse-names":false,"suffix":""},{"dropping-particle":"","family":"Ahn","given":"Byeongyong","non-dropping-particle":"","parse-names":false,"suffix":""},{"dropping-particle":"","family":"Song","given":"Hyuk","non-dropping-particle":"","parse-names":false,"suffix":""},{"dropping-particle":"","family":"Kim","given":"Jin Hoi","non-dropping-particle":"","parse-names":false,"suffix":""},{"dropping-particle":"","family":"Park","given":"Chankyu","non-dropping-particle":"","parse-names":false,"suffix":""}],"container-title":"Scientific Reports","id":"ITEM-3","issue":"1","issued":{"date-parts":[["2019","12","1"]]},"page":"1-12","publisher":"Nature Publishing Group","title":"Protegrin-1 cytotoxicity towards mammalian cells positively correlates with the magnitude of conformational changes of the unfolded form upon cell interaction","type":"article-journal","volume":"9"},"uris":["http://www.mendeley.com/documents/?uuid=1454701e-79a5-31a5-b59d-fa8cd8ac3b15"]},{"id":"ITEM-4","itemData":{"DOI":"10.1021/acsinfecdis.6b00045","ISSN":"23738227","abstract":"Bacteria have acquired extensive resistance mechanisms to protect themselves against antibiotic action. Today the bacterial membrane has become one of the \"final frontiers\" in the search for new compounds acting on novel targets to address the threat of multi-drug resistant (MDR) and XDR bacterial pathogens. β-Hairpin antimicrobial peptides are amphipathic, membrane-binding antibiotics that exhibit a broad range of activities against Gram-positive, Gram-negative, and fungal pathogens. However, most members of the class also possess adverse cytotoxicity and hemolytic activity that preclude their development as candidate antimicrobials. We examined peptide hydrophobicity, amphipathicity, and structure to better dissect and understand the correlation between antimicrobial activity and toxicity, membrane binding, and membrane permeability. The hydrophobicity, pI, net charge at physiological pH, and amphipathic moment for the β-hairpin antimicrobial peptides tachyplesin-1, polyphemusin-1, protegrin-1, gomesin, arenicin-3, and thanatin were determined and correlated with key antimicrobial activity and toxicity data. These included antimicrobial activity against five key bacterial pathogens and two fungi, cytotoxicity against human cell lines, and hemolytic activity in human erythrocytes. Observed antimicrobial activity trends correlated with compound amphipathicity and, to a lesser extent, with overall hydrophobicity. Antimicrobial activity increased with amphipathicity, but unfortunately so did toxicity. Of note, tachyplesin-1 was found to be 8-fold more amphipathic than gomesin. These analyses identify tachyplesin-1 as a promising scaffold for rational design and synthetic optimization toward an antibiotic candidate.","author":[{"dropping-particle":"","family":"Edwards","given":"Ingrid A.","non-dropping-particle":"","parse-names":false,"suffix":""},{"dropping-particle":"","family":"Elliott","given":"Alysha G.","non-dropping-particle":"","parse-names":false,"suffix":""},{"dropping-particle":"","family":"Kavanagh","given":"Angela M.","non-dropping-particle":"","parse-names":false,"suffix":""},{"dropping-particle":"","family":"Zuegg","given":"Johannes","non-dropping-particle":"","parse-names":false,"suffix":""},{"dropping-particle":"","family":"Blaskovich","given":"Mark A.T.","non-dropping-particle":"","parse-names":false,"suffix":""},{"dropping-particle":"","family":"Cooper","given":"Matthew A.","non-dropping-particle":"","parse-names":false,"suffix":""}],"container-title":"ACS Infectious Diseases","id":"ITEM-4","issue":"6","issued":{"date-parts":[["2016","6","10"]]},"page":"442-450","publisher":"American Chemical Society","title":"Contribution of amphipathicity and hydrophobicity to the antimicrobial activity and cytotoxicity of β-hairpin peptides","type":"article-journal","volume":"2"},"uris":["http://www.mendeley.com/documents/?uuid=2294e4b4-e2c2-3037-9ee1-ed5971738708"]}],"mendeley":{"formattedCitation":"&lt;sup&gt;24,26–28&lt;/sup&gt;","plainTextFormattedCitation":"24,26–28","previouslyFormattedCitation":"&lt;sup&gt;24,26–28&lt;/sup&gt;"},"properties":{"noteIndex":0},"schema":"https://github.com/citation-style-language/schema/raw/master/csl-citation.json"}</w:instrText>
      </w:r>
      <w:r w:rsidR="007D32C6">
        <w:rPr>
          <w:rFonts w:eastAsia="Times New Roman"/>
          <w:lang w:eastAsia="en-GB"/>
        </w:rPr>
        <w:fldChar w:fldCharType="separate"/>
      </w:r>
      <w:r w:rsidR="0019024E" w:rsidRPr="0019024E">
        <w:rPr>
          <w:rFonts w:eastAsia="Times New Roman"/>
          <w:noProof/>
          <w:vertAlign w:val="superscript"/>
          <w:lang w:eastAsia="en-GB"/>
        </w:rPr>
        <w:t>24,26–28</w:t>
      </w:r>
      <w:r w:rsidR="007D32C6">
        <w:rPr>
          <w:rFonts w:eastAsia="Times New Roman"/>
          <w:lang w:eastAsia="en-GB"/>
        </w:rPr>
        <w:fldChar w:fldCharType="end"/>
      </w:r>
      <w:r w:rsidRPr="00B6678C">
        <w:rPr>
          <w:rFonts w:eastAsia="Times New Roman"/>
          <w:lang w:eastAsia="en-GB"/>
        </w:rPr>
        <w:t xml:space="preserve">, </w:t>
      </w:r>
      <w:r w:rsidR="00107604">
        <w:rPr>
          <w:rFonts w:eastAsia="Times New Roman"/>
          <w:lang w:eastAsia="en-GB"/>
        </w:rPr>
        <w:t>suggesting that</w:t>
      </w:r>
      <w:r w:rsidRPr="00B6678C">
        <w:rPr>
          <w:rFonts w:eastAsia="Times New Roman"/>
          <w:lang w:eastAsia="en-GB"/>
        </w:rPr>
        <w:t xml:space="preserve"> it is important to model and experimentally determine the interactions of AMPs with mammalian cells</w:t>
      </w:r>
      <w:r w:rsidR="007D32C6">
        <w:rPr>
          <w:rFonts w:eastAsia="Times New Roman"/>
          <w:lang w:eastAsia="en-GB"/>
        </w:rPr>
        <w:t xml:space="preserve"> as well as with bacterial ones </w:t>
      </w:r>
      <w:r w:rsidRPr="00B6678C">
        <w:rPr>
          <w:rFonts w:eastAsia="Times New Roman"/>
          <w:lang w:eastAsia="en-GB"/>
        </w:rPr>
        <w:t xml:space="preserve">in order to develop them into attractive drug candidates. </w:t>
      </w:r>
    </w:p>
    <w:p w14:paraId="3F85D898" w14:textId="77777777" w:rsidR="001403A4" w:rsidRDefault="001403A4">
      <w:pPr>
        <w:pStyle w:val="LO-normal"/>
        <w:jc w:val="both"/>
      </w:pPr>
    </w:p>
    <w:p w14:paraId="4EA1B5B4" w14:textId="63978CC5" w:rsidR="001529CF" w:rsidRDefault="00492337">
      <w:pPr>
        <w:pStyle w:val="LO-normal"/>
        <w:jc w:val="both"/>
      </w:pPr>
      <w:r>
        <w:t>AMPs have already been the subject of extensive research, and a few dozen have been tested in clinical trials including daptomycin and colistin which are FDA (Food and Drug Administration) approved drugs</w:t>
      </w:r>
      <w:r>
        <w:fldChar w:fldCharType="begin" w:fldLock="1"/>
      </w:r>
      <w:r w:rsidR="00D217EC">
        <w:instrText>ADDIN CSL_CITATION {"citationItems":[{"id":"ITEM-1","itemData":{"DOI":"10.1002/pep2.24122","ISSN":"2475-8817","abstract":"Overuse of conventional antibiotics as well as the slow pace of new antibiotic drug development leads to antimicrobial resistance (AMR). Because infections with multi-drug resistant (MDR) pathogens have become a public health issue, the need for a novel class of antibiotics is urgent. Recently, antimicrobial peptides (AMPs) have emerged as a promising platform to fight against MDR bacteria ensuring broad-spectrum antimicrobial activity and relatively low resistance emergence. Currently, a number of AMPs are undergoing clinical and preclinical trials against various infectious diseases. This review lists the 36 AMPs (27 clinical and 9 preclinical) with brief information about their origin, structure, mechanism, and development status. From the examples of AMPs under clinical investigation, we categorized several improvement strategies and highlighted directions for the future design of AMPs.","author":[{"dropping-particle":"","family":"Koo","given":"Hye Been","non-dropping-particle":"","parse-names":false,"suffix":""},{"dropping-particle":"","family":"Seo","given":"Jiwon","non-dropping-particle":"","parse-names":false,"suffix":""}],"container-title":"Peptide Science","id":"ITEM-1","issue":"5","issued":{"date-parts":[["2019","9","3"]]},"page":"e24122","publisher":"John Wiley and Sons Inc.","title":"Antimicrobial peptides under clinical investigation","type":"article-journal","volume":"111"},"uris":["http://www.mendeley.com/documents/?uuid=8d658870-48ca-3d73-81b1-9fcaa00f68b4"]}],"mendeley":{"formattedCitation":"&lt;sup&gt;29&lt;/sup&gt;","plainTextFormattedCitation":"29","previouslyFormattedCitation":"&lt;sup&gt;29&lt;/sup&gt;"},"properties":{"noteIndex":0},"schema":"https://github.com/citation-style-language/schema/raw/master/csl-citation.json"}</w:instrText>
      </w:r>
      <w:r>
        <w:fldChar w:fldCharType="separate"/>
      </w:r>
      <w:r w:rsidR="0019024E" w:rsidRPr="0019024E">
        <w:rPr>
          <w:noProof/>
          <w:vertAlign w:val="superscript"/>
        </w:rPr>
        <w:t>29</w:t>
      </w:r>
      <w:r>
        <w:fldChar w:fldCharType="end"/>
      </w:r>
      <w:r>
        <w:t>. While peptide therapeutics have traditionally been employed against metabolic disorders and cancers</w:t>
      </w:r>
      <w:r>
        <w:fldChar w:fldCharType="begin" w:fldLock="1"/>
      </w:r>
      <w:r w:rsidR="007012DA">
        <w:instrText>ADDIN CSL_CITATION {"citationItems":[{"id":"ITEM-1","itemData":{"DOI":"10.1016/j.drudis.2014.10.003","ISSN":"18785832","PMID":"25450771","abstract":"Peptides are recognized for being highly selective and efficacious and, at the same time, relatively safe and well tolerated. Consequently, there is an increased interest in peptides in pharmaceutical research and development (R&amp;D), and approximately 140 peptide therapeutics are currently being evaluated in clinical trials. Given that the low-hanging fruits in the form of obvious peptide targets have already been picked, it has now become necessary to explore new routes beyond traditional peptide design. Examples of such approaches are multifunctional and cell penetrating peptides, as well as peptide drug conjugates. Here, we discuss the current status, strengths, and weaknesses of peptides as medicines and the emerging new opportunities in peptide drug design and development.","author":[{"dropping-particle":"","family":"Fosgerau","given":"Keld","non-dropping-particle":"","parse-names":false,"suffix":""},{"dropping-particle":"","family":"Hoffmann","given":"Torsten","non-dropping-particle":"","parse-names":false,"suffix":""}],"container-title":"Drug Discovery Today","id":"ITEM-1","issue":"1","issued":{"date-parts":[["2015","1","1"]]},"page":"122-128","publisher":"Elsevier Ltd","title":"Peptide therapeutics: Current status and future directions","type":"article-journal","volume":"20"},"uris":["http://www.mendeley.com/documents/?uuid=9c810af2-6f62-35ea-8d10-a26d642d13c1"]}],"mendeley":{"formattedCitation":"&lt;sup&gt;30&lt;/sup&gt;","plainTextFormattedCitation":"30","previouslyFormattedCitation":"&lt;sup&gt;30&lt;/sup&gt;"},"properties":{"noteIndex":0},"schema":"https://github.com/citation-style-language/schema/raw/master/csl-citation.json"}</w:instrText>
      </w:r>
      <w:r>
        <w:fldChar w:fldCharType="separate"/>
      </w:r>
      <w:r w:rsidR="0019024E" w:rsidRPr="0019024E">
        <w:rPr>
          <w:noProof/>
          <w:vertAlign w:val="superscript"/>
        </w:rPr>
        <w:t>30</w:t>
      </w:r>
      <w:r>
        <w:fldChar w:fldCharType="end"/>
      </w:r>
      <w:r>
        <w:t>, AMPs find use against infectious diseases. However, experimental approaches to explore AMP activity</w:t>
      </w:r>
      <w:r>
        <w:fldChar w:fldCharType="begin" w:fldLock="1"/>
      </w:r>
      <w:r w:rsidR="00D217EC">
        <w:instrText>ADDIN CSL_CITATION {"citationItems":[{"id":"ITEM-1","itemData":{"DOI":"10.1016/j.bpj.2015.12.006","ISSN":"15420086","PMID":"26789765","abstract":"Lactophoricin (LPcin), a component of proteose peptone (113-135) isolated from bovine milk, is a cationic amphipathic antimicrobial peptide consisting of 23 amino acids. We designed a series of N- or C-terminal truncated variants, mutated analogs, and truncated mutated analogs using peptide-engineering techniques. Then, we selected three LPcin analogs of LPcin-C8 (LPcin-YK1), LPcin-T2WT6W (LPcin-YK2), and LPcin-T2WT6W-C8 (LPcin-YK3), which may have better antimicrobial activities than LPcin, and successfully expressed them in E. coli with high yield. We elucidated the 3D structures and topologies of the three LPcin analogs in membrane environments by conducting NMR structural studies. We investigated the purity of the LPcin analogs and the α-helical secondary structures by performing 1H-15N 2D HSQC and HMQC-NOESY liquid-state NMR spectroscopy using protein-containing micelle samples. We measured the 3D structures and tilt angles in membranes by conducting 15N 1D and 2D 1H-15N SAMMY type solid-state NMR spectroscopy with an 800 MHz in-house-built 1H-15N double-resonance solid-state NMR probe with a strip-shield coil, using protein-containing large bicelle samples aligned and confirmed by molecular-dynamics simulations. The three LPcin analogs were found to be curved α-helical structures, with tilt angles of 55-75° for normal membrane bilayers, and their enhanced activities may be correlated with these topologies.","author":[{"dropping-particle":"","family":"Jeong","given":"Ji Ho","non-dropping-particle":"","parse-names":false,"suffix":""},{"dropping-particle":"","family":"Kim","given":"Ji Sun","non-dropping-particle":"","parse-names":false,"suffix":""},{"dropping-particle":"","family":"Choi","given":"Sung Sub","non-dropping-particle":"","parse-names":false,"suffix":""},{"dropping-particle":"","family":"Kim","given":"Yongae","non-dropping-particle":"","parse-names":false,"suffix":""}],"container-title":"Biophysical Journal","id":"ITEM-1","issue":"2","issued":{"date-parts":[["2016","1","19"]]},"page":"423-430","publisher":"Biophysical Society","title":"NMR Structural Studies of Antimicrobial Peptides: LPcin Analogs","type":"article-journal","volume":"110"},"uris":["http://www.mendeley.com/documents/?uuid=6f8df41c-fe27-36cc-913a-5f128ec2ab5e"]},{"id":"ITEM-2","itemData":{"DOI":"10.3390/ijms151018040","ISSN":"1422-0067","abstract":"Peptides in general hold much promise as a major ingredient in novel supramolecular assemblies. They may become essential in vaccine design, antimicrobial chemotherapy, cancer immunotherapy, food preservation, organs transplants, design of novel materials for dentistry, formulations against diabetes and other important strategical applications. This review discusses how novel formulations may improve the therapeutic index of antimicrobial peptides by protecting their activity and improving their bioavailability. The diversity of novel formulations using lipids, liposomes, nanoparticles, polymers, micelles, etc., within the limits of nanotechnology may also provide novel applications going beyond antimicrobial chemotherapy.","author":[{"dropping-particle":"","family":"Carmona-Ribeiro","given":"Ana","non-dropping-particle":"","parse-names":false,"suffix":""},{"dropping-particle":"","family":"Melo Carrasco","given":"Letícia","non-dropping-particle":"de","parse-names":false,"suffix":""}],"container-title":"International Journal of Molecular Sciences","id":"ITEM-2","issue":"10","issued":{"date-parts":[["2014","10","9"]]},"page":"18040-18083","publisher":"MDPI AG","title":"Novel Formulations for Antimicrobial Peptides","type":"article-journal","volume":"15"},"uris":["http://www.mendeley.com/documents/?uuid=a14b3412-0e10-3917-8b62-fa8598607f1c"]}],"mendeley":{"formattedCitation":"&lt;sup&gt;31,32&lt;/sup&gt;","plainTextFormattedCitation":"31,32","previouslyFormattedCitation":"&lt;sup&gt;31,32&lt;/sup&gt;"},"properties":{"noteIndex":0},"schema":"https://github.com/citation-style-language/schema/raw/master/csl-citation.json"}</w:instrText>
      </w:r>
      <w:r>
        <w:fldChar w:fldCharType="separate"/>
      </w:r>
      <w:r w:rsidR="0019024E" w:rsidRPr="0019024E">
        <w:rPr>
          <w:noProof/>
          <w:vertAlign w:val="superscript"/>
        </w:rPr>
        <w:t>31,32</w:t>
      </w:r>
      <w:r>
        <w:fldChar w:fldCharType="end"/>
      </w:r>
      <w:r>
        <w:t xml:space="preserve"> are traditionally low throughput, and have benefited from  computational studies</w:t>
      </w:r>
      <w:r>
        <w:fldChar w:fldCharType="begin" w:fldLock="1"/>
      </w:r>
      <w:r w:rsidR="00D217EC">
        <w:instrText>ADDIN CSL_CITATION {"citationItems":[{"id":"ITEM-1","itemData":{"DOI":"10.1016/j.bpj.2010.08.073","ISSN":"15420086","abstract":"The antimicrobial peptide microcin J25 (MccJ25) is posttranslationally matured from a linear preprotein into its native lasso conformation by two enzymes. One of these enzymes cleaves the preprotein and the second enzyme installs the requisite isopeptide bond to establish the lasso structure. Analysis of a mimic of MccJ25 that can be cyclized without the influence of the maturation enzymes suggests that MccJ25 does not spontaneously adopt a near-lasso structure. In addition, we conducted atomistically detailed replica-exchange molecular dynamics simulations of pro-microcin J25 (pro-MccJ25), the 21-residue uncyclized analog of MccJ25, to determine the conformational ensemble explored in the absence of the leader sequence or maturation enzymes. We applied a nonlinear dimensionality reduction technique known as the diffusion map to the simulation trajectories to extract two global order parameters describing the fundamental dynamical motions of the system, and identify three distinct pathways. One path corresponds to the spontaneous adoption of a left-handed lasso, in which the N-terminus wraps around the C-terminus in the opposite sense to the right-handed topology of native MccJ25. Our computational and experimental results suggest a role for the MccJ25 leader sequence and/or its maturation enzymes in facilitating the adoption of the right-handed topology. © 2010 by the Biophysical Society.","author":[{"dropping-particle":"","family":"Ferguson","given":"Andrew L.","non-dropping-particle":"","parse-names":false,"suffix":""},{"dropping-particle":"","family":"Zhang","given":"Siyan","non-dropping-particle":"","parse-names":false,"suffix":""},{"dropping-particle":"","family":"Dikiy","given":"Igor","non-dropping-particle":"","parse-names":false,"suffix":""},{"dropping-particle":"","family":"Panagiotopoulos","given":"Athanassios Z.","non-dropping-particle":"","parse-names":false,"suffix":""},{"dropping-particle":"","family":"Debenedetti","given":"Pablo G.","non-dropping-particle":"","parse-names":false,"suffix":""},{"dropping-particle":"","family":"Link","given":"A. James","non-dropping-particle":"","parse-names":false,"suffix":""}],"container-title":"Biophysical Journal","id":"ITEM-1","issue":"9","issued":{"date-parts":[["2010","11","3"]]},"page":"3056-3065","publisher":"Biophysical Society","title":"An experimental and computational investigation of spontaneous lasso formation in microcin J25","type":"article-journal","volume":"99"},"uris":["http://www.mendeley.com/documents/?uuid=6a064b4e-7646-3426-a540-68e0aebdeee0"]},{"id":"ITEM-2","itemData":{"DOI":"10.1039/c9cp00471h","ISSN":"14639076","PMID":"31080973","abstract":"Dynamic increase of resistant bacterial infectious diseases continuously requires development of novel compounds against them. The molecular level understanding of the mechanism and interactions of natural host-defense peptides or antimicrobial peptides (AMPs) is an important step towards rational design and development of compounds inspired by their function. A particular set of these peptides have disordered structure, the ordering of which may modify their antimicrobial properties. Recent experiments demonstrate that such conformational transitions of AMPs could be mediated by the presence of small organic compounds, such as approved drug molecules. However, the molecular mechanisms underlying these structural changes are unclear. In this study, we apply molecular docking and molecular dynamics-based approaches to rigorously analyze the interactions between the drug suramin and the AMP CM15, a synthetic unstructured hybrid peptide. We characterize the energetic properties of putative CM15-suramin complexes revealing particular impacts of CM15 residues as well as the parts of suramin on these interactions. We find that α-helical content of the peptide is increased in the presence of suramin, which is in agreement with the experimental data. Kinetics analysis from canonical molecular dynamics and metadynamics simulations suggest that the effect of suramin does not promote the formation of α-helix but rather results from its ability to stabilize the α-helical population in the conformational pool of the peptide. Potentially, understanding the physico-chemical basis underlying the interactions between drug molecules and disordered AMPs will prove useful in strategies for antimicrobial compound development. Further on, the given computational protocol for the analysis of such flexible systems provide a basis for future theoretical investigation of similar biomolecular complexes.","author":[{"dropping-particle":"","family":"Kohut","given":"Gergely","non-dropping-particle":"","parse-names":false,"suffix":""},{"dropping-particle":"","family":"Sieradzan","given":"Adam","non-dropping-particle":"","parse-names":false,"suffix":""},{"dropping-particle":"","family":"Zsila","given":"Ferenc","non-dropping-particle":"","parse-names":false,"suffix":""},{"dropping-particle":"","family":"Juhász","given":"Tünde","non-dropping-particle":"","parse-names":false,"suffix":""},{"dropping-particle":"","family":"Bsze","given":"Szilvia","non-dropping-particle":"","parse-names":false,"suffix":""},{"dropping-particle":"","family":"Liwo","given":"Adam","non-dropping-particle":"","parse-names":false,"suffix":""},{"dropping-particle":"","family":"Samsonov","given":"Sergey A.","non-dropping-particle":"","parse-names":false,"suffix":""},{"dropping-particle":"","family":"Beke-Somfai","given":"Tamás","non-dropping-particle":"","parse-names":false,"suffix":""}],"container-title":"Physical Chemistry Chemical Physics","id":"ITEM-2","issue":"20","issued":{"date-parts":[["2019","5","22"]]},"page":"10644-10659","publisher":"Royal Society of Chemistry","title":"The molecular mechanism of structural changes in the antimicrobial peptide CM15 upon complex formation with drug molecule suramin: A computational analysis","type":"article-journal","volume":"21"},"uris":["http://www.mendeley.com/documents/?uuid=14d14b61-3e2e-3b2f-94e3-b100abe1e4a8"]},{"id":"ITEM-3","itemData":{"DOI":"10.1007/s11483-016-9445-4","ISSN":"15571866","abstract":"Cecropin XJ, as a heat stable antimicrobial peptide (AMP), displayed broad bacteriostatic activities, effectively inhibited proliferation of cancer cells and induced cell apoptosis in vitro. However, it exhibited little hemolytic activity and very low cytotoxicity to erythrocytes and normal cells. Although exerts multiple remarkable bioactivities, the refined molecular conformation of native Cecropin XJ remains unsolved. The aim of the present study is to comprehensively investigate the physicochemical characteristics and structure-function relationship of this antimicrobial peptide by using a series of bioinformatics and experimental approaches. In this study, we revealed that the mature Cecropin XJ consists of 41 amino acids, containing two α-helical structures from Lys7 to Lys25 and from Ala29 to Ile39. The phylogenetic tree indicated that Cecropin XJ belongs to the Class I AMPs of cecropin family. Hydrophobic analysis showed Cecropin XJ is a typical amphiphilic molecule. The surface of Cecropin XJ was found to have a much wide range of electrostatic potential from −83.243 to +83.243. The amphipathicity and surface potential of Cecropin XJ partially supported the AMP pore-forming hypothesis. Scanning electron microscopy experimentally confirmed the damages of Cecropin XJ to microbial membrane. Four predicted docking sites respectively for magnesium ion (Mg2+), adenosine diphosphate (ADP), bacteriopheophytin (BPH), and guanosine triphosphate (GTP) were found on the surface of Cecropin XJ. Thereinto, Mg2+ was experimentally proved to suppress the antibacterial activity of Cecropin XJ; both GTP and ADP enhanced the bactericidal activities to varying degrees. The present study provides a foundation for further investigation of molecular evolution, structural modification, and functional mechanisms of Cecropin XJ.","author":[{"dropping-particle":"","family":"Liu","given":"Dongliang","non-dropping-particle":"","parse-names":false,"suffix":""},{"dropping-particle":"","family":"Liu","given":"Jun","non-dropping-particle":"","parse-names":false,"suffix":""},{"dropping-particle":"","family":"Wang","given":"Weilan","non-dropping-particle":"","parse-names":false,"suffix":""},{"dropping-particle":"","family":"Xia","given":"Lijie","non-dropping-particle":"","parse-names":false,"suffix":""},{"dropping-particle":"","family":"Yang","given":"Jianhua","non-dropping-particle":"","parse-names":false,"suffix":""},{"dropping-particle":"","family":"Sun","given":"Surong","non-dropping-particle":"","parse-names":false,"suffix":""},{"dropping-particle":"","family":"Zhang","given":"Fuchun","non-dropping-particle":"","parse-names":false,"suffix":""}],"container-title":"Food Biophysics","id":"ITEM-3","issue":"4","issued":{"date-parts":[["2016","12","1"]]},"page":"319-331","publisher":"Springer New York LLC","title":"Computational and Experimental Investigation of the Antimicrobial Peptide Cecropin XJ and its Ligands as the Impact Factors of Antibacterial Activity","type":"article-journal","volume":"11"},"uris":["http://www.mendeley.com/documents/?uuid=d39a008f-87b8-3ce1-aaf8-3a86f80ce1a2"]},{"id":"ITEM-4","itemData":{"DOI":"10.1038/nature05233","ISSN":"14764687","PMID":"17051220","abstract":"Antimicrobial peptides (AmPs) are small proteins that are used by the innate immune system to combat bacterial infection in multicellular eukaryotes. There is mounting evidence that these peptides are less susceptible to bacterial resistance than traditional antibiotics and could form the basis for a new class of therapeutic agents. Here we report the rational design of new AmPs that show limited homology to naturally occurring proteins but have strong bacteriostatic activity against several species of bacteria, including Staphylococcus aureus and Bacillus anthracis. These peptides were designed using a linguistic model of natural AmPs: we treated the amino-acid sequences of natural AmPs as a formal language and built a set of regular grammars to describe this language. We used this set of grammars to create new, unnatural AmP sequences. Our peptides conform to the formal syntax of natural antimicrobial peptides but populate a previously unexplored region of protein sequence space. ©2006 Nature Publishing Group.","author":[{"dropping-particle":"","family":"Loose","given":"Christopher","non-dropping-particle":"","parse-names":false,"suffix":""},{"dropping-particle":"","family":"Jensen","given":"Kyle","non-dropping-particle":"","parse-names":false,"suffix":""},{"dropping-particle":"","family":"Rigoutsos","given":"Isidore","non-dropping-particle":"","parse-names":false,"suffix":""},{"dropping-particle":"","family":"Stephanopoulos","given":"Gregory","non-dropping-particle":"","parse-names":false,"suffix":""}],"container-title":"Nature","id":"ITEM-4","issue":"7113","issued":{"date-parts":[["2006","10","19"]]},"page":"867-869","publisher":"Nature Publishing Group","title":"A linguistic model for the rational design of antimicrobial peptides","type":"article-journal","volume":"443"},"uris":["http://www.mendeley.com/documents/?uuid=cc472e55-3623-3aa5-b107-3f271bf00181"]},{"id":"ITEM-5","itemData":{"DOI":"10.2174/1573409910666140624124807","ISSN":"15734099","abstract":"© 2014 Bentham Science Publishers. One of the most important public health issues is the microbial and bacterial resistance to conventional antibiotics by pathogen microorganisms. In recent years, many researches have been focused on the development of new antibiotics. Among these, antimicrobial peptides (AMPs) have raised as a promising alternative to combat antibioticresistant microorganisms. For this reason, many theoretical efforts have been done in the development of new computational tools for the rational design of both better and effective AMPs. In this review, we present an overview of the rational design of AMPs using machine learning techniques and new research fields.","author":[{"dropping-particle":"","family":"Rondon-Villarreal","given":"Paola","non-dropping-particle":"","parse-names":false,"suffix":""},{"dropping-particle":"","family":"A. Sierra","given":"Daniel","non-dropping-particle":"","parse-names":false,"suffix":""},{"dropping-particle":"","family":"Torres","given":"Rodrigo","non-dropping-particle":"","parse-names":false,"suffix":""}],"container-title":"Current Computer Aided-Drug Design","id":"ITEM-5","issue":"3","issued":{"date-parts":[["2015","3","2"]]},"page":"183-190","publisher":"Bentham Science Publishers Ltd.","title":"Machine Learning in the Rational Design of Antimicrobial Peptides","type":"article-journal","volume":"10"},"uris":["http://www.mendeley.com/documents/?uuid=f5571700-fe23-3c8b-bb94-804c9a9361c7"]}],"mendeley":{"formattedCitation":"&lt;sup&gt;33–37&lt;/sup&gt;","plainTextFormattedCitation":"33–37","previouslyFormattedCitation":"&lt;sup&gt;33–37&lt;/sup&gt;"},"properties":{"noteIndex":0},"schema":"https://github.com/citation-style-language/schema/raw/master/csl-citation.json"}</w:instrText>
      </w:r>
      <w:r>
        <w:fldChar w:fldCharType="separate"/>
      </w:r>
      <w:r w:rsidR="0019024E" w:rsidRPr="0019024E">
        <w:rPr>
          <w:noProof/>
          <w:vertAlign w:val="superscript"/>
        </w:rPr>
        <w:t>33–37</w:t>
      </w:r>
      <w:r>
        <w:fldChar w:fldCharType="end"/>
      </w:r>
      <w:r>
        <w:t>. These studies use statistical pattern recognition methods to mine and interrogate databases of identified AMPs</w:t>
      </w:r>
      <w:r>
        <w:fldChar w:fldCharType="begin" w:fldLock="1"/>
      </w:r>
      <w:r w:rsidR="00D217EC">
        <w:instrText>ADDIN CSL_CITATION {"citationItems":[{"id":"ITEM-1","itemData":{"DOI":"10.6026/97320630013415","ISSN":"09738894","abstract":"The importance to develop effective alternatives to known antibiotics due to increased microbial resistance is gaining momentum in recent years. Therefore, it is of interest to predict, design and computationally model Antimicrobial Peptides (AMPs). AMPs are oligopeptides with varying size (from 5 to over100 residues) having key role in innate immunity. Thus, the potential exploitation of AMPs as novel therapeutic agents is evident. They act by causing cell death either by disrupting the microbial membrane by inhibiting extracellular polymer synthesis or by altering intra cellular polymer functions. AMPs have broad spectrum activity and act as first line of defense against all types of microorganisms including viruses, bacteria, parasites, fungi and as well as cancer (uncontrolled celldivision) progression. Large-scale identification and extraction of AMPs is often non-trivial, expensive and time consuming. Hence, there is a need to develop models to predict AMPs as therapeutics. We document recent trends and advancement in the prediction of AMP.","author":[{"dropping-particle":"","family":"Shah","given":"Yash","non-dropping-particle":"","parse-names":false,"suffix":""},{"dropping-particle":"","family":"Sehgal","given":"Deepak","non-dropping-particle":"","parse-names":false,"suffix":""},{"dropping-particle":"","family":"Valadi","given":"Jayaraman K","non-dropping-particle":"","parse-names":false,"suffix":""}],"container-title":"Bioinformation","id":"ITEM-1","issue":"12","issued":{"date-parts":[["2017","12","31"]]},"page":"415-416","publisher":"Biomedical Informatics","title":"Recent trends in antimicrobial peptide prediction using machine learning techniques","type":"article-journal","volume":"13"},"uris":["http://www.mendeley.com/documents/?uuid=e475849e-7693-3525-8f2a-34f92f219b33"]}],"mendeley":{"formattedCitation":"&lt;sup&gt;38&lt;/sup&gt;","plainTextFormattedCitation":"38","previouslyFormattedCitation":"&lt;sup&gt;38&lt;/sup&gt;"},"properties":{"noteIndex":0},"schema":"https://github.com/citation-style-language/schema/raw/master/csl-citation.json"}</w:instrText>
      </w:r>
      <w:r>
        <w:fldChar w:fldCharType="separate"/>
      </w:r>
      <w:r w:rsidR="0019024E" w:rsidRPr="0019024E">
        <w:rPr>
          <w:noProof/>
          <w:vertAlign w:val="superscript"/>
        </w:rPr>
        <w:t>38</w:t>
      </w:r>
      <w:r>
        <w:fldChar w:fldCharType="end"/>
      </w:r>
      <w:r>
        <w:t xml:space="preserve"> and/or mechanistic methods, in order to understand the mechanisms of action of known AMPs: this can inform the rational design of novel AMPs.</w:t>
      </w:r>
    </w:p>
    <w:p w14:paraId="2CC487B8" w14:textId="77777777" w:rsidR="001529CF" w:rsidRDefault="001529CF">
      <w:pPr>
        <w:pStyle w:val="LO-normal"/>
        <w:jc w:val="both"/>
      </w:pPr>
    </w:p>
    <w:p w14:paraId="0A9762B5" w14:textId="3CAB87A2" w:rsidR="001529CF" w:rsidRDefault="00492337">
      <w:pPr>
        <w:pStyle w:val="LO-normal"/>
        <w:jc w:val="both"/>
      </w:pPr>
      <w:r>
        <w:lastRenderedPageBreak/>
        <w:t>Computational tools can give specific mechanistic insight and can process large amounts of sequences, yet are still fraught with unique challenges. For example, one issue with using machine learning approaches to predict AMP activity is that they require well-tested, rigorous mathematical models that rely on diverse and normalized datasets for training, and these are hard to acquire and assemble. Similarly, mechanistic studies of AMPs interacting with a membrane usually are able to only represent very small numbers of AMPs and small and simplified models of the membranes; these are limited by both lack of detailed knowledge as well as limitations in computational resources and the underlying methods.</w:t>
      </w:r>
      <w:r w:rsidR="00686AFA">
        <w:t xml:space="preserve"> We have collected the peptides mentioned in this review in table 1 for easy reference.</w:t>
      </w:r>
    </w:p>
    <w:p w14:paraId="2182B354" w14:textId="77777777" w:rsidR="00686AFA" w:rsidRDefault="00686AFA" w:rsidP="00686AFA">
      <w:pPr>
        <w:pStyle w:val="LO-normal"/>
        <w:rPr>
          <w:b/>
        </w:rPr>
      </w:pPr>
    </w:p>
    <w:p w14:paraId="2E265484" w14:textId="39BD5326" w:rsidR="00686AFA" w:rsidRDefault="00686AFA" w:rsidP="00686AFA">
      <w:pPr>
        <w:pStyle w:val="LO-normal"/>
      </w:pPr>
      <w:r>
        <w:t>Table 1: AMPs discussed throughout this review, amino acid sequences, charges, secondary structures in the membrane (if known) and associated references.</w:t>
      </w:r>
    </w:p>
    <w:p w14:paraId="0F850BDF" w14:textId="77777777" w:rsidR="00686AFA" w:rsidRDefault="00686AFA" w:rsidP="00686AFA">
      <w:pPr>
        <w:pStyle w:val="LO-normal"/>
        <w:rPr>
          <w:b/>
        </w:rPr>
      </w:pPr>
    </w:p>
    <w:tbl>
      <w:tblPr>
        <w:tblW w:w="10376" w:type="dxa"/>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80" w:type="dxa"/>
          <w:bottom w:w="100" w:type="dxa"/>
          <w:right w:w="100" w:type="dxa"/>
        </w:tblCellMar>
        <w:tblLook w:val="04A0" w:firstRow="1" w:lastRow="0" w:firstColumn="1" w:lastColumn="0" w:noHBand="0" w:noVBand="1"/>
      </w:tblPr>
      <w:tblGrid>
        <w:gridCol w:w="1559"/>
        <w:gridCol w:w="3828"/>
        <w:gridCol w:w="1020"/>
        <w:gridCol w:w="1815"/>
        <w:gridCol w:w="1134"/>
        <w:gridCol w:w="1020"/>
      </w:tblGrid>
      <w:tr w:rsidR="00686AFA" w14:paraId="35C35C3D" w14:textId="77777777" w:rsidTr="00016F6B">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7E251B29" w14:textId="77777777" w:rsidR="00686AFA" w:rsidRDefault="00686AFA" w:rsidP="00016F6B">
            <w:pPr>
              <w:pStyle w:val="LO-normal"/>
              <w:widowControl w:val="0"/>
              <w:spacing w:line="240" w:lineRule="auto"/>
              <w:rPr>
                <w:b/>
              </w:rPr>
            </w:pPr>
            <w:r>
              <w:rPr>
                <w:b/>
              </w:rPr>
              <w:t>Name</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14:paraId="708FFA17" w14:textId="77777777" w:rsidR="00686AFA" w:rsidRDefault="00686AFA" w:rsidP="00016F6B">
            <w:pPr>
              <w:pStyle w:val="LO-normal"/>
              <w:widowControl w:val="0"/>
              <w:spacing w:line="240" w:lineRule="auto"/>
              <w:rPr>
                <w:b/>
              </w:rPr>
            </w:pPr>
            <w:r>
              <w:rPr>
                <w:b/>
              </w:rPr>
              <w:t>Sequence</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5E7A2A7B" w14:textId="77777777" w:rsidR="00686AFA" w:rsidRDefault="00686AFA" w:rsidP="00016F6B">
            <w:pPr>
              <w:pStyle w:val="LO-normal"/>
              <w:widowControl w:val="0"/>
              <w:spacing w:line="240" w:lineRule="auto"/>
              <w:rPr>
                <w:b/>
              </w:rPr>
            </w:pPr>
            <w:r>
              <w:rPr>
                <w:b/>
              </w:rPr>
              <w:t>Net Charge</w:t>
            </w:r>
          </w:p>
        </w:tc>
        <w:tc>
          <w:tcPr>
            <w:tcW w:w="1815" w:type="dxa"/>
            <w:tcBorders>
              <w:top w:val="single" w:sz="8" w:space="0" w:color="000000"/>
              <w:left w:val="single" w:sz="8" w:space="0" w:color="000000"/>
              <w:bottom w:val="single" w:sz="8" w:space="0" w:color="000000"/>
              <w:right w:val="single" w:sz="8" w:space="0" w:color="000000"/>
            </w:tcBorders>
            <w:shd w:val="clear" w:color="auto" w:fill="auto"/>
          </w:tcPr>
          <w:p w14:paraId="0FBCA0B4" w14:textId="77777777" w:rsidR="00686AFA" w:rsidRDefault="00686AFA" w:rsidP="00016F6B">
            <w:pPr>
              <w:pStyle w:val="LO-normal"/>
              <w:widowControl w:val="0"/>
              <w:spacing w:line="240" w:lineRule="auto"/>
              <w:rPr>
                <w:b/>
              </w:rPr>
            </w:pPr>
            <w:r>
              <w:rPr>
                <w:b/>
              </w:rPr>
              <w:t>Secondary Structure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526DE212" w14:textId="77777777" w:rsidR="00686AFA" w:rsidRDefault="00686AFA" w:rsidP="00016F6B">
            <w:pPr>
              <w:pStyle w:val="LO-normal"/>
              <w:widowControl w:val="0"/>
              <w:spacing w:line="240" w:lineRule="auto"/>
              <w:rPr>
                <w:b/>
              </w:rPr>
            </w:pPr>
            <w:r>
              <w:rPr>
                <w:b/>
              </w:rPr>
              <w:t>PDB Entries</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5C86ADB8" w14:textId="77777777" w:rsidR="00686AFA" w:rsidRDefault="00686AFA" w:rsidP="00016F6B">
            <w:pPr>
              <w:pStyle w:val="LO-normal"/>
              <w:widowControl w:val="0"/>
              <w:spacing w:line="240" w:lineRule="auto"/>
              <w:rPr>
                <w:b/>
              </w:rPr>
            </w:pPr>
            <w:r>
              <w:rPr>
                <w:b/>
              </w:rPr>
              <w:t>Refs.</w:t>
            </w:r>
          </w:p>
        </w:tc>
      </w:tr>
      <w:tr w:rsidR="00686AFA" w14:paraId="256437C4" w14:textId="77777777" w:rsidTr="00016F6B">
        <w:trPr>
          <w:trHeight w:val="465"/>
        </w:trPr>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22B65552" w14:textId="77777777" w:rsidR="00686AFA" w:rsidRDefault="00686AFA" w:rsidP="00016F6B">
            <w:pPr>
              <w:pStyle w:val="LO-normal"/>
              <w:widowControl w:val="0"/>
              <w:spacing w:line="240" w:lineRule="auto"/>
            </w:pPr>
            <w:r>
              <w:t>Gramicidin S</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14:paraId="47F3F75E" w14:textId="77777777" w:rsidR="00686AFA" w:rsidRDefault="00686AFA" w:rsidP="00016F6B">
            <w:pPr>
              <w:pStyle w:val="LO-normal"/>
              <w:widowControl w:val="0"/>
              <w:spacing w:line="240" w:lineRule="auto"/>
            </w:pPr>
            <w:r>
              <w:t>(dF)PVOL(dF)PVOL(cyclic)</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75659D0C" w14:textId="77777777" w:rsidR="00686AFA" w:rsidRDefault="00686AFA" w:rsidP="00016F6B">
            <w:pPr>
              <w:pStyle w:val="LO-normal"/>
              <w:widowControl w:val="0"/>
              <w:spacing w:line="240" w:lineRule="auto"/>
            </w:pPr>
            <w:r>
              <w:t>+2</w:t>
            </w:r>
          </w:p>
        </w:tc>
        <w:tc>
          <w:tcPr>
            <w:tcW w:w="1815" w:type="dxa"/>
            <w:tcBorders>
              <w:top w:val="single" w:sz="8" w:space="0" w:color="000000"/>
              <w:left w:val="single" w:sz="8" w:space="0" w:color="000000"/>
              <w:bottom w:val="single" w:sz="8" w:space="0" w:color="000000"/>
              <w:right w:val="single" w:sz="8" w:space="0" w:color="000000"/>
            </w:tcBorders>
            <w:shd w:val="clear" w:color="auto" w:fill="auto"/>
          </w:tcPr>
          <w:p w14:paraId="5646D5A3" w14:textId="77777777" w:rsidR="00686AFA" w:rsidRDefault="00686AFA" w:rsidP="00016F6B">
            <w:pPr>
              <w:pStyle w:val="LO-normal"/>
              <w:widowControl w:val="0"/>
              <w:spacing w:line="240" w:lineRule="auto"/>
            </w:pPr>
            <w:r>
              <w:t xml:space="preserve">Cyclic β-sheet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767EA6DA" w14:textId="77777777" w:rsidR="00686AFA" w:rsidRDefault="00686AFA" w:rsidP="00016F6B">
            <w:pPr>
              <w:pStyle w:val="LO-normal"/>
              <w:widowControl w:val="0"/>
              <w:spacing w:line="240" w:lineRule="auto"/>
            </w:pP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73D3F4D3" w14:textId="58155D57" w:rsidR="00686AFA" w:rsidRDefault="00686AFA" w:rsidP="00016F6B">
            <w:pPr>
              <w:pStyle w:val="LO-normal"/>
              <w:widowControl w:val="0"/>
              <w:spacing w:line="240" w:lineRule="auto"/>
            </w:pPr>
            <w:r>
              <w:fldChar w:fldCharType="begin" w:fldLock="1"/>
            </w:r>
            <w:r w:rsidR="007012DA">
              <w:instrText>ADDIN CSL_CITATION {"citationItems":[{"id":"ITEM-1","itemData":{"DOI":"10.1038/154703a0","ISSN":"00280836","abstract":"ANTISEPTICS of biological origin are now well known since the pioneer investigations of Fleming on penicillin and Dubos on tyrothricin. In our laboratory early in 1942 an attempt was made to isolate the strains of Bacillus brevis from Russian soils in order to prepare tyrothricin similar to that of Dubos. In the course of this work we isolated from soil a new strain of aerobic sporulating bacillus possessing some unique characteristics. It is well known that alcoholic extract of the acid precipitate of the culture of B. brevis contains an amorphous body, designated by Dubos and Hotchkiss (1941) as tyrothricin, which can be afterwards fractionated by special procedures into two individual crystalline substances, gramicidin and tyrocidine hydrochloride. In distinction from this, alcoholic extract of the acid precipitate from our strain consists almost entirely of the antibacterial substance, which is not amorphous but is directly crystallizable from the alcoholic solution. This crystalline substance can be further purified and obtained in the form of colourless needles with the melting point 267–268°. Hence it is different from gramicidin (m.p. 228–230°) and tyrocidine hydrochloride (m.p. about 240°). The bacteria producing this substance were designated as the strain of Gause-Brazhnikova, and the substance itself as gramicidin S (Soviet gramicidin).","author":[{"dropping-particle":"","family":"Gause","given":"G. F.","non-dropping-particle":"","parse-names":false,"suffix":""},{"dropping-particle":"","family":"Brazhnikova","given":"M. G.","non-dropping-particle":"","parse-names":false,"suffix":""}],"container-title":"Nature","id":"ITEM-1","issue":"3918","issued":{"date-parts":[["1944"]]},"page":"703","publisher":"Nature Publishing Group","title":"Gramicidin S and its use in the treatment of infected wounds","type":"article-journal","volume":"154"},"uris":["http://www.mendeley.com/documents/?uuid=9a09815e-bfa4-3e8f-ad75-3f29b182a68f"]},{"id":"ITEM-2","itemData":{"DOI":"10.1128/mBio.00802-18","ISSN":"21507511","PMID":"30301848","abstract":"Cyclic β-sheet decapeptides from the tyrocidine group and the homologous gramicidin S were the first commercially used antibiotics, yet it remains unclear exactly how they kill bacteria. We investigated their mode of action using a bacterial cytological profiling approach. Tyrocidines form defined ion-conducting pores, induce lipid phase separation, and strongly reduce membrane fluidity, resulting in delocalization of a broad range of peripheral and integral membrane proteins. Interestingly, they also cause DNA damage and interfere with DNA-binding proteins. Despite sharing 50% sequence identity with tyrocidines, gramicidin S causes only mild lipid demixing with minor effects on membrane fluidity and permeability. Gramicidin S delocalizes peripheral membrane proteins involved in cell division and cell envelope synthesis but does not affect integral membrane proteins or DNA. Our results shed a new light on the multifaceted antibacterial mechanisms of these antibiotics and explain why resistance to them is virtually nonexistent. IMPORTANCE Cyclic β-sheet decapeptides, such as tyrocidines and gramicidin S, were among the first antibiotics in clinical application. Although they have been used for such a long time, there is virtually no resistance to them, which has led to a renewed interest in this peptide class. Both tyrocidines and gramicidin S are thought to disrupt the bacterial membrane. However, this knowledge is mainly derived from in vitro studies, and there is surprisingly little knowledge about how these long-established antibiotics kill bacteria. Our results shed new light on the antibacterial mechanism of β-sheet peptide antibiotics and explain why they are still so effective and why there is so little resistance to them.","author":[{"dropping-particle":"","family":"Wenzel","given":"Michaela","non-dropping-particle":"","parse-names":false,"suffix":""},{"dropping-particle":"","family":"Rautenbach","given":"Marina","non-dropping-particle":"","parse-names":false,"suffix":""},{"dropping-particle":"","family":"Vosloo","given":"J. Arnold","non-dropping-particle":"","parse-names":false,"suffix":""},{"dropping-particle":"","family":"Siersma","given":"Tjalling","non-dropping-particle":"","parse-names":false,"suffix":""},{"dropping-particle":"","family":"Aisenbrey","given":"Christopher H.M.","non-dropping-particle":"","parse-names":false,"suffix":""},{"dropping-particle":"","family":"Zaitseva","given":"Ekaterina","non-dropping-particle":"","parse-names":false,"suffix":""},{"dropping-particle":"","family":"Laubscher","given":"Wikus E.","non-dropping-particle":"","parse-names":false,"suffix":""},{"dropping-particle":"","family":"Rensburg","given":"Wilma","non-dropping-particle":"van","parse-names":false,"suffix":""},{"dropping-particle":"","family":"Behrends","given":"Jan C.","non-dropping-particle":"","parse-names":false,"suffix":""},{"dropping-particle":"","family":"Bechinger","given":"Burkhard","non-dropping-particle":"","parse-names":false,"suffix":""},{"dropping-particle":"","family":"Hamoen","given":"Leendert W.","non-dropping-particle":"","parse-names":false,"suffix":""}],"container-title":"mBio","id":"ITEM-2","issue":"5","issued":{"date-parts":[["2018","9","1"]]},"page":"e00802-18","publisher":"American Society for Microbiology","title":"The multifaceted antibacterial mechanisms of the pioneering peptide antibiotics tyrocidine and gramicidin S","type":"article-journal","volume":"9"},"uris":["http://www.mendeley.com/documents/?uuid=d5e3737e-0e30-3c2d-b8a2-65467a575065"]}],"mendeley":{"formattedCitation":"&lt;sup&gt;10,11&lt;/sup&gt;","plainTextFormattedCitation":"10,11","previouslyFormattedCitation":"&lt;sup&gt;10,11&lt;/sup&gt;"},"properties":{"noteIndex":0},"schema":"https://github.com/citation-style-language/schema/raw/master/csl-citation.json"}</w:instrText>
            </w:r>
            <w:r>
              <w:fldChar w:fldCharType="separate"/>
            </w:r>
            <w:r w:rsidRPr="00F96EA0">
              <w:rPr>
                <w:noProof/>
                <w:vertAlign w:val="superscript"/>
              </w:rPr>
              <w:t>10,11</w:t>
            </w:r>
            <w:r>
              <w:fldChar w:fldCharType="end"/>
            </w:r>
          </w:p>
        </w:tc>
      </w:tr>
      <w:tr w:rsidR="00686AFA" w14:paraId="7252E5C6" w14:textId="77777777" w:rsidTr="00016F6B">
        <w:trPr>
          <w:trHeight w:val="465"/>
        </w:trPr>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10BC3073" w14:textId="77777777" w:rsidR="00686AFA" w:rsidRDefault="00686AFA" w:rsidP="00016F6B">
            <w:pPr>
              <w:pStyle w:val="LO-normal"/>
              <w:jc w:val="both"/>
            </w:pPr>
            <w:r>
              <w:t>Dermcidin-1L (DCD-1L)</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14:paraId="1E9B61E1" w14:textId="77777777" w:rsidR="00686AFA" w:rsidRDefault="00686AFA" w:rsidP="00016F6B">
            <w:pPr>
              <w:pStyle w:val="LO-normal"/>
              <w:widowControl w:val="0"/>
              <w:spacing w:line="240" w:lineRule="auto"/>
            </w:pPr>
            <w:r>
              <w:t>SSLLEKGLDGAKKAVGGLGKLGKDAVEDLESVGKGAVHDVKDVLDSVL</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4A06ADC2" w14:textId="77777777" w:rsidR="00686AFA" w:rsidRDefault="00686AFA" w:rsidP="00016F6B">
            <w:pPr>
              <w:pStyle w:val="LO-normal"/>
              <w:widowControl w:val="0"/>
              <w:spacing w:line="240" w:lineRule="auto"/>
            </w:pPr>
            <w:r>
              <w:t>-2</w:t>
            </w:r>
          </w:p>
        </w:tc>
        <w:tc>
          <w:tcPr>
            <w:tcW w:w="1815" w:type="dxa"/>
            <w:tcBorders>
              <w:top w:val="single" w:sz="8" w:space="0" w:color="000000"/>
              <w:left w:val="single" w:sz="8" w:space="0" w:color="000000"/>
              <w:bottom w:val="single" w:sz="8" w:space="0" w:color="000000"/>
              <w:right w:val="single" w:sz="8" w:space="0" w:color="000000"/>
            </w:tcBorders>
            <w:shd w:val="clear" w:color="auto" w:fill="auto"/>
          </w:tcPr>
          <w:p w14:paraId="7D44CE14" w14:textId="77777777" w:rsidR="00686AFA" w:rsidRDefault="00686AFA" w:rsidP="00016F6B">
            <w:pPr>
              <w:pStyle w:val="LO-normal"/>
              <w:widowControl w:val="0"/>
              <w:spacing w:line="240" w:lineRule="auto"/>
            </w:pPr>
            <w:r>
              <w:t>α-helix</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53A2D6F7" w14:textId="77777777" w:rsidR="00686AFA" w:rsidRDefault="00686AFA" w:rsidP="00016F6B">
            <w:pPr>
              <w:pStyle w:val="LO-normal"/>
              <w:widowControl w:val="0"/>
              <w:spacing w:line="240" w:lineRule="auto"/>
            </w:pPr>
            <w:r>
              <w:t>2NDK</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291DABC1" w14:textId="2C623B01" w:rsidR="00686AFA" w:rsidRDefault="00686AFA" w:rsidP="0019024E">
            <w:pPr>
              <w:pStyle w:val="LO-normal"/>
              <w:widowControl w:val="0"/>
              <w:spacing w:line="240" w:lineRule="auto"/>
            </w:pPr>
            <w:r>
              <w:fldChar w:fldCharType="begin" w:fldLock="1"/>
            </w:r>
            <w:r w:rsidR="00D217EC">
              <w:instrText>ADDIN CSL_CITATION {"citationItems":[{"id":"ITEM-1","itemData":{"DOI":"10.1038/ni732","ISSN":"15292908","PMID":"11694882","abstract":"Antimicrobial peptides are an important component of the innate response in many species. Here we describe the isolation of the gene Dermcidin, which encodes an antimicrobial peptide that has a broad spectrum of activity and no homology to other known antimicrobial peptides. This protein was specifically and constitutively expressed in the sweat glands, secreted into the sweat and transported to the epidermal surface. In sweat, a proteolytically processed 47-amino acid peptide was generated that showed antimicrobial activity in response to a variety of pathogenic microorganisms. The activity of the peptide was maintained over a broad pH range and in high salt concentrations that resembled the conditions in human sweat. This indicated that sweat plays a role in the regulation of human skin flora through the presence of an antimicrobial peptide. This peptide may help limit infection by potential pathogens in the first few hours following bacterial colonization.","author":[{"dropping-particle":"","family":"Schittek","given":"Birgit","non-dropping-particle":"","parse-names":false,"suffix":""},{"dropping-particle":"","family":"Hipfel","given":"Rainer","non-dropping-particle":"","parse-names":false,"suffix":""},{"dropping-particle":"","family":"Sauer","given":"Birgit","non-dropping-particle":"","parse-names":false,"suffix":""},{"dropping-particle":"","family":"Bauer","given":"Jürgen","non-dropping-particle":"","parse-names":false,"suffix":""},{"dropping-particle":"","family":"Kalbacher","given":"Hubert","non-dropping-particle":"","parse-names":false,"suffix":""},{"dropping-particle":"","family":"Stevanovic","given":"Stefan","non-dropping-particle":"","parse-names":false,"suffix":""},{"dropping-particle":"","family":"Schirle","given":"Markus","non-dropping-particle":"","parse-names":false,"suffix":""},{"dropping-particle":"","family":"Schroeder","given":"Kristina","non-dropping-particle":"","parse-names":false,"suffix":""},{"dropping-particle":"","family":"Blin","given":"Nikolaus","non-dropping-particle":"","parse-names":false,"suffix":""},{"dropping-particle":"","family":"Meier","given":"Friedegund","non-dropping-particle":"","parse-names":false,"suffix":""},{"dropping-particle":"","family":"Rassner","given":"Gernot","non-dropping-particle":"","parse-names":false,"suffix":""},{"dropping-particle":"","family":"Garbe","given":"Claus","non-dropping-particle":"","parse-names":false,"suffix":""}],"container-title":"Nature Immunology","id":"ITEM-1","issue":"12","issued":{"date-parts":[["2001","11","5"]]},"page":"1133-1137","publisher":"Nature Publishing Group","title":"Dermcidin: A novel human antibiotic peptide secreted by sweat glands","type":"article-journal","volume":"2"},"uris":["http://www.mendeley.com/documents/?uuid=4a48e11b-de45-3db5-be57-8330643cbe10"]},{"id":"ITEM-2","itemData":{"DOI":"10.1074/jbc.M111.332270","ISSN":"00219258","PMID":"22262861","abstract":"Dermcidin encodes the anionic amphiphilic peptide DCD-1L, which displays a broad spectrum of antimicrobial activity under conditions resembling those in human sweat. Here, we have investigated its mode of antimicrobial activity. We found that DCD-1L interacts preferentially with negatively charged bacterial phospholipids with a helix axis that is aligned flat on a lipid bilayer surface. Upon interaction with lipid bilayers DCD-1L forms oligomeric complexes that are stabilized by Zn 2+. DCD-1L is able to form ion channels in the bacterial membrane, and we propose that Zn 2+-induced self-assembly of DCD-1L upon interaction with bacterial lipid bilayers is a prerequisite for ion channel formation. These data allow us for the first time to propose a molecular model for the antimicrobial mechanism of a naturally processed human anionic peptide that is active under the harsh conditions present in human sweat. © 2012 by The American Society for Biochemistry and Molecular Biology, Inc.","author":[{"dropping-particle":"","family":"Paulmann","given":"Maren","non-dropping-particle":"","parse-names":false,"suffix":""},{"dropping-particle":"","family":"Arnold","given":"Thomas","non-dropping-particle":"","parse-names":false,"suffix":""},{"dropping-particle":"","family":"Linke","given":"Dirk","non-dropping-particle":"","parse-names":false,"suffix":""},{"dropping-particle":"","family":"Özdirekcan","given":"Suat","non-dropping-particle":"","parse-names":false,"suffix":""},{"dropping-particle":"","family":"Kopp","given":"Annika","non-dropping-particle":"","parse-names":false,"suffix":""},{"dropping-particle":"","family":"Gutsmann","given":"Thomas","non-dropping-particle":"","parse-names":false,"suffix":""},{"dropping-particle":"","family":"Kalbacher","given":"Hubert","non-dropping-particle":"","parse-names":false,"suffix":""},{"dropping-particle":"","family":"Wanke","given":"Ines","non-dropping-particle":"","parse-names":false,"suffix":""},{"dropping-particle":"","family":"Schuenemann","given":"Verena J.","non-dropping-particle":"","parse-names":false,"suffix":""},{"dropping-particle":"","family":"Habeck","given":"Michael","non-dropping-particle":"","parse-names":false,"suffix":""},{"dropping-particle":"","family":"Bürck","given":"Jochen","non-dropping-particle":"","parse-names":false,"suffix":""},{"dropping-particle":"","family":"Ulrich","given":"Anne S.","non-dropping-particle":"","parse-names":false,"suffix":""},{"dropping-particle":"","family":"Schittek","given":"Birgit","non-dropping-particle":"","parse-names":false,"suffix":""}],"container-title":"Journal of Biological Chemistry","id":"ITEM-2","issue":"11","issued":{"date-parts":[["2012","3","9"]]},"page":"8434-8443","publisher":"J Biol Chem","title":"Structure-activity analysis of the dermcidin-derived peptide DCD-1L, an anionic antimicrobial peptide present in human sweat","type":"article-journal","volume":"287"},"uris":["http://www.mendeley.com/documents/?uuid=720612fe-6ccf-3685-b6a5-c60f53717f95"]},{"id":"ITEM-3","itemData":{"DOI":"10.1038/s41598-017-13600-z","ISSN":"20452322","PMID":"29066724","abstract":"Human dermcidin (DCD) is an antimicrobial peptide secreted constitutively by sweat glands. The anionic derivative, DCD-1L, comprises of the N-terminal 47 residues of DCD and one additional leucine residue. A previous NMR structure of DCD-1L in 50% TFE showed a partial helical conformation, and its crystal structure in the presence of Zn2+ outlined a hexameric linear α-helical bundle. Three different models to describe membrane insertion were proposed but no conclusion was drawn. In the current study, the NMR structure of DCD-1L in SDS micelles showed an \"L-shaped\" molecule with three fully formed α-helices connected by flexible turns. Formation of these helices in DCD-1L in the presence of POPG vesicles suggests that the acidic C-terminal region of DCD-1L can suppress the binding of DCD-1L to POPG vesicles at basic but not acidic pH. Mutation of charged residues on the N-terminal and C-terminal regions of DCD-1L cause differences in POPG binding, suggesting distinct functional roles for these two regions. Charged residues from these two regions are also found to differentially affect Zn2+ coordination and aggregation of DCD-1L in the absence or presence of SDS, as monitored by 1D NMR. Our data agrees with one of the three models proposed.","author":[{"dropping-particle":"","family":"Nguyen","given":"Van Sang","non-dropping-particle":"","parse-names":false,"suffix":""},{"dropping-particle":"","family":"Tan","given":"Kang Wei","non-dropping-particle":"","parse-names":false,"suffix":""},{"dropping-particle":"","family":"Ramesh","given":"Karthik","non-dropping-particle":"","parse-names":false,"suffix":""},{"dropping-particle":"","family":"Chew","given":"Fook Tim","non-dropping-particle":"","parse-names":false,"suffix":""},{"dropping-particle":"","family":"Mok","given":"Yu Keung","non-dropping-particle":"","parse-names":false,"suffix":""}],"container-title":"Scientific Reports","id":"ITEM-3","issue":"1","issued":{"date-parts":[["2017","12","1"]]},"page":"1-11","publisher":"Nature Publishing Group","title":"Structural basis for the bacterial membrane insertion of dermcidin peptide, DCD-1L","type":"article-journal","volume":"7"},"uris":["http://www.mendeley.com/documents/?uuid=521bf7d6-f4f5-3279-a9d0-9e98063aa126"]}],"mendeley":{"formattedCitation":"&lt;sup&gt;39–41&lt;/sup&gt;","plainTextFormattedCitation":"39–41","previouslyFormattedCitation":"&lt;sup&gt;39–41&lt;/sup&gt;"},"properties":{"noteIndex":0},"schema":"https://github.com/citation-style-language/schema/raw/master/csl-citation.json"}</w:instrText>
            </w:r>
            <w:r>
              <w:fldChar w:fldCharType="separate"/>
            </w:r>
            <w:r w:rsidR="0019024E" w:rsidRPr="0019024E">
              <w:rPr>
                <w:noProof/>
                <w:vertAlign w:val="superscript"/>
              </w:rPr>
              <w:t>39–41</w:t>
            </w:r>
            <w:r>
              <w:fldChar w:fldCharType="end"/>
            </w:r>
          </w:p>
        </w:tc>
      </w:tr>
      <w:tr w:rsidR="00686AFA" w14:paraId="661AA9B8" w14:textId="77777777" w:rsidTr="00016F6B">
        <w:trPr>
          <w:trHeight w:val="465"/>
        </w:trPr>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7145D4E3" w14:textId="77777777" w:rsidR="00686AFA" w:rsidRDefault="00686AFA" w:rsidP="00016F6B">
            <w:pPr>
              <w:pStyle w:val="LO-normal"/>
              <w:widowControl w:val="0"/>
            </w:pPr>
            <w:r>
              <w:t>Gloverin</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14:paraId="1F050154" w14:textId="77777777" w:rsidR="00686AFA" w:rsidRDefault="00686AFA" w:rsidP="00016F6B">
            <w:pPr>
              <w:pStyle w:val="LO-normal"/>
              <w:widowControl w:val="0"/>
              <w:spacing w:line="240" w:lineRule="auto"/>
            </w:pPr>
            <w:r>
              <w:t>DVTWDKNIGNGKVFGTLGQNDDGLFGKAGFKQQFFNDDRGKFEGQAYGTRVLGPAGGTTNFGGRLDWSDKNANAALDISKQIGGRPNLSASGAGVWDFDKNTRLSAGGSLSTMGRGKPDVGVHAQFQHDF</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1E10A68B" w14:textId="77777777" w:rsidR="00686AFA" w:rsidRDefault="00686AFA" w:rsidP="00016F6B">
            <w:pPr>
              <w:pStyle w:val="LO-normal"/>
              <w:widowControl w:val="0"/>
              <w:spacing w:line="240" w:lineRule="auto"/>
            </w:pPr>
            <w:r>
              <w:t>+3</w:t>
            </w:r>
          </w:p>
        </w:tc>
        <w:tc>
          <w:tcPr>
            <w:tcW w:w="1815" w:type="dxa"/>
            <w:tcBorders>
              <w:top w:val="single" w:sz="8" w:space="0" w:color="000000"/>
              <w:left w:val="single" w:sz="8" w:space="0" w:color="000000"/>
              <w:bottom w:val="single" w:sz="8" w:space="0" w:color="000000"/>
              <w:right w:val="single" w:sz="8" w:space="0" w:color="000000"/>
            </w:tcBorders>
            <w:shd w:val="clear" w:color="auto" w:fill="auto"/>
          </w:tcPr>
          <w:p w14:paraId="7FD1F0B8" w14:textId="77777777" w:rsidR="00686AFA" w:rsidRDefault="00686AFA" w:rsidP="00016F6B">
            <w:pPr>
              <w:pStyle w:val="LO-normal"/>
              <w:widowControl w:val="0"/>
              <w:spacing w:line="240" w:lineRule="auto"/>
            </w:pPr>
            <w:r>
              <w:t>α-helix</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340CB4F6" w14:textId="77777777" w:rsidR="00686AFA" w:rsidRDefault="00686AFA" w:rsidP="00016F6B">
            <w:pPr>
              <w:pStyle w:val="LO-normal"/>
              <w:widowControl w:val="0"/>
              <w:spacing w:line="240" w:lineRule="auto"/>
            </w:pP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66870D6B" w14:textId="759F103E" w:rsidR="00686AFA" w:rsidRDefault="00686AFA" w:rsidP="0019024E">
            <w:pPr>
              <w:pStyle w:val="LO-normal"/>
              <w:widowControl w:val="0"/>
              <w:spacing w:line="240" w:lineRule="auto"/>
            </w:pPr>
            <w:r>
              <w:fldChar w:fldCharType="begin" w:fldLock="1"/>
            </w:r>
            <w:r w:rsidR="00D217EC">
              <w:instrText>ADDIN CSL_CITATION {"citationItems":[{"id":"ITEM-1","itemData":{"DOI":"10.1111/j.1432-1033.1997.00614.x","ISSN":"0014-2956","abstract":"Gloverin is an inducible antibacterial insect protein isolated from pupae of the giant silk moth Hyalophora. It is a basic (pI 8.5) protein with a molecular mass of 13.8 kDa, containing a large number of glycine residues (18.5%) but no cysteine, and has an amino acid sequence that reveals no strong degree of identity with any known proteins. Gloverin inhibits the growth of Escherichia coli at a minimal concentration of 1-3 μM, i.e. less than 5% of the concentration of gloverin in the hemolymph of infected pupae. The prime effect of gloverin, following its interaction with lipopolysaccharide (LPS) in the bacterial envelope, is a specific inhibition of the synthesis of vital outer membrane proteins, leading to an increased permeability of the outer membrane. The activity of gloverin is not affected by heating (100°C, 10 min) but is inhibited by Mg2+ and by free LPS. The gloverin molecule will undergo conformational transitions from a monomeric random coil to an α-helix upon transfer from an aqueous to a hydrophobic environment, a property likely to be of importance for its interaction with cell-bound LPS. The activity of gloverin is in many respects similar to that of attacin, another antibacterial protein, originally found in Hyalophora. [for a review see Boman, H. G., Faye, I., Gudmundsson, G. H., Lee, J.-Y. and Lindholm, D. A (1991) Eur: J. Biochem. 201, 23-31].","author":[{"dropping-particle":"","family":"Axen","given":"Andreas","non-dropping-particle":"","parse-names":false,"suffix":""},{"dropping-particle":"","family":"Carlsson","given":"Anette","non-dropping-particle":"","parse-names":false,"suffix":""},{"dropping-particle":"","family":"Engstrom","given":"Ake","non-dropping-particle":"","parse-names":false,"suffix":""},{"dropping-particle":"","family":"Bennich","given":"Hans","non-dropping-particle":"","parse-names":false,"suffix":""}],"container-title":"European Journal of Biochemistry","id":"ITEM-1","issue":"2","issued":{"date-parts":[["1997","7","15"]]},"page":"614-619","publisher":"Blackwell Publishing Ltd","title":"Gloverin, an Antibacterial Protein from the Immune Hemolymph of Hyalophora Pupae","type":"article-journal","volume":"247"},"uris":["http://www.mendeley.com/documents/?uuid=bd8b3193-3a84-37e6-bd38-1a05d00a8fb4"]},{"id":"ITEM-2","itemData":{"DOI":"10.1016/j.jip.2012.02.007","ISSN":"00222011","PMID":"22401766","abstract":"Antimicrobial peptides are generated in insects exposed to pathogens for combating infection. Gloverin is a small cationic antibacterial protein whose expression is induced in the hemocytes and fat body cells of . Trichoplusia ni larvae exposed to bacteria. The purpose of this study was to determine the role of gloverin during baculovirus infection. We found that gloverin expression is induced in . T. ni systemically infected with the baculovirus . Autographa californica M nucleopolyhedrovirus (. AcMNPV). Two . gloverin genes were cloned using RNA isolated from the hemocytes of . T. ni larvae that were systemically infected with . AcMNPV budded virus (BV) and C-terminal 6x-His and V5 epitope tags were incorporated to facilitate gloverin isolation, detection and functional studies. The supernatants of . Sf9 cells stably transfected with the two gloverin expression plasmids and affinity purified gloverin proteins reduced the quantity of infectious . AcMNPV BV as measured . in vitro by plaque assay with untransfected . Sf9 cells. Nanomolar concentrations of affinity column purified gloverin protein caused calcein to be rapidly released from unilamellar vesicles comprised of phosphatidylglycerol, but not from vesicles made up of phosphatidylcholine, suggesting that gloverin interaction with membranes is rapid and affected by membrane charge. Both the BV inactivation and calcein release activities of gloverin increased with higher concentrations of gloverin. These results demonstrate that gloverin is an antiviral protein that interacts with vesicle membranes to cause the contents to be released. © 2012.","author":[{"dropping-particle":"","family":"Moreno-Habel","given":"Daniela A.","non-dropping-particle":"","parse-names":false,"suffix":""},{"dropping-particle":"","family":"Biglang-awa","given":"Ivan M.","non-dropping-particle":"","parse-names":false,"suffix":""},{"dropping-particle":"","family":"Dulce","given":"Angelica","non-dropping-particle":"","parse-names":false,"suffix":""},{"dropping-particle":"","family":"Luu","given":"Dee Dee","non-dropping-particle":"","parse-names":false,"suffix":""},{"dropping-particle":"","family":"Garcia","given":"Peter","non-dropping-particle":"","parse-names":false,"suffix":""},{"dropping-particle":"","family":"Weers","given":"Paul M.M.","non-dropping-particle":"","parse-names":false,"suffix":""},{"dropping-particle":"","family":"Haas-Stapleton","given":"Eric J.","non-dropping-particle":"","parse-names":false,"suffix":""}],"container-title":"Journal of Invertebrate Pathology","id":"ITEM-2","issue":"1","issued":{"date-parts":[["2012","5"]]},"page":"92-101","publisher":"J Invertebr Pathol","title":"Inactivation of the budded virus of Autographa californica M nucleopolyhedrovirus by gloverin","type":"article-journal","volume":"110"},"uris":["http://www.mendeley.com/documents/?uuid=b70042b6-4f2b-3bcf-b702-45e226ba8cef"]}],"mendeley":{"formattedCitation":"&lt;sup&gt;21,42&lt;/sup&gt;","plainTextFormattedCitation":"21,42","previouslyFormattedCitation":"&lt;sup&gt;21,42&lt;/sup&gt;"},"properties":{"noteIndex":0},"schema":"https://github.com/citation-style-language/schema/raw/master/csl-citation.json"}</w:instrText>
            </w:r>
            <w:r>
              <w:fldChar w:fldCharType="separate"/>
            </w:r>
            <w:r w:rsidR="0019024E" w:rsidRPr="0019024E">
              <w:rPr>
                <w:noProof/>
                <w:vertAlign w:val="superscript"/>
              </w:rPr>
              <w:t>21,42</w:t>
            </w:r>
            <w:r>
              <w:fldChar w:fldCharType="end"/>
            </w:r>
          </w:p>
        </w:tc>
      </w:tr>
      <w:tr w:rsidR="00686AFA" w14:paraId="7A9B49E8" w14:textId="77777777" w:rsidTr="00016F6B">
        <w:trPr>
          <w:trHeight w:val="465"/>
        </w:trPr>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27EDEE9B" w14:textId="77777777" w:rsidR="00686AFA" w:rsidRDefault="00686AFA" w:rsidP="00016F6B">
            <w:pPr>
              <w:pStyle w:val="LO-normal"/>
              <w:widowControl w:val="0"/>
              <w:spacing w:line="240" w:lineRule="auto"/>
            </w:pPr>
            <w:r>
              <w:t>Melittin</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14:paraId="6DE78653" w14:textId="77777777" w:rsidR="00686AFA" w:rsidRDefault="00686AFA" w:rsidP="00016F6B">
            <w:pPr>
              <w:pStyle w:val="LO-normal"/>
              <w:widowControl w:val="0"/>
              <w:spacing w:line="240" w:lineRule="auto"/>
            </w:pPr>
            <w:r>
              <w:t>GIGAVLKVLTTGLPALISWIKRKRQQ-NH</w:t>
            </w:r>
            <w:r>
              <w:rPr>
                <w:vertAlign w:val="subscript"/>
              </w:rPr>
              <w:t>2</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66190C12" w14:textId="77777777" w:rsidR="00686AFA" w:rsidRDefault="00686AFA" w:rsidP="00016F6B">
            <w:pPr>
              <w:pStyle w:val="LO-normal"/>
              <w:widowControl w:val="0"/>
              <w:spacing w:line="240" w:lineRule="auto"/>
            </w:pPr>
            <w:r>
              <w:t>+6</w:t>
            </w:r>
          </w:p>
        </w:tc>
        <w:tc>
          <w:tcPr>
            <w:tcW w:w="1815" w:type="dxa"/>
            <w:tcBorders>
              <w:top w:val="single" w:sz="8" w:space="0" w:color="000000"/>
              <w:left w:val="single" w:sz="8" w:space="0" w:color="000000"/>
              <w:bottom w:val="single" w:sz="8" w:space="0" w:color="000000"/>
              <w:right w:val="single" w:sz="8" w:space="0" w:color="000000"/>
            </w:tcBorders>
            <w:shd w:val="clear" w:color="auto" w:fill="auto"/>
          </w:tcPr>
          <w:p w14:paraId="69F0FA5C" w14:textId="77777777" w:rsidR="00686AFA" w:rsidRDefault="00686AFA" w:rsidP="00016F6B">
            <w:pPr>
              <w:pStyle w:val="LO-normal"/>
              <w:widowControl w:val="0"/>
              <w:spacing w:line="240" w:lineRule="auto"/>
            </w:pPr>
            <w:r>
              <w:t>Α-helix with central kink</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5CC183DF" w14:textId="77777777" w:rsidR="00686AFA" w:rsidRDefault="00686AFA" w:rsidP="00016F6B">
            <w:pPr>
              <w:pStyle w:val="LO-normal"/>
              <w:widowControl w:val="0"/>
              <w:spacing w:line="240" w:lineRule="auto"/>
            </w:pPr>
            <w:r>
              <w:t>2MLT</w:t>
            </w:r>
          </w:p>
          <w:p w14:paraId="06ECE3CC" w14:textId="77777777" w:rsidR="00686AFA" w:rsidRDefault="00686AFA" w:rsidP="00016F6B">
            <w:pPr>
              <w:pStyle w:val="LO-normal"/>
              <w:widowControl w:val="0"/>
              <w:spacing w:line="240" w:lineRule="auto"/>
            </w:pPr>
            <w:r>
              <w:t>6DST</w:t>
            </w:r>
          </w:p>
          <w:p w14:paraId="48EBBE29" w14:textId="77777777" w:rsidR="00686AFA" w:rsidRDefault="00686AFA" w:rsidP="00016F6B">
            <w:pPr>
              <w:pStyle w:val="LO-normal"/>
              <w:widowControl w:val="0"/>
              <w:spacing w:line="240" w:lineRule="auto"/>
            </w:pPr>
            <w:r>
              <w:t>6O4M</w:t>
            </w:r>
          </w:p>
          <w:p w14:paraId="16EAF573" w14:textId="77777777" w:rsidR="00686AFA" w:rsidRDefault="00686AFA" w:rsidP="00016F6B">
            <w:pPr>
              <w:pStyle w:val="LO-normal"/>
              <w:widowControl w:val="0"/>
              <w:spacing w:line="240" w:lineRule="auto"/>
            </w:pPr>
            <w:r>
              <w:t>1BH1</w:t>
            </w:r>
          </w:p>
          <w:p w14:paraId="4ED70C5A" w14:textId="77777777" w:rsidR="00686AFA" w:rsidRDefault="00686AFA" w:rsidP="00016F6B">
            <w:pPr>
              <w:pStyle w:val="LO-normal"/>
              <w:widowControl w:val="0"/>
              <w:spacing w:line="240" w:lineRule="auto"/>
            </w:pPr>
            <w:r>
              <w:t>2MW6</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2B01AECA" w14:textId="5FAA9CD1" w:rsidR="00686AFA" w:rsidRDefault="00686AFA" w:rsidP="0019024E">
            <w:pPr>
              <w:pStyle w:val="LO-normal"/>
              <w:widowControl w:val="0"/>
              <w:spacing w:line="240" w:lineRule="auto"/>
            </w:pPr>
            <w:r>
              <w:fldChar w:fldCharType="begin" w:fldLock="1"/>
            </w:r>
            <w:r w:rsidR="007012DA">
              <w:instrText>ADDIN CSL_CITATION {"citationItems":[{"id":"ITEM-1","itemData":{"DOI":"10.1007/s10540-006-9030-z","ISSN":"01448463","PMID":"17139559","abstract":"Melittin is the principal toxic component in the venom of the European honey bee Apis mellifera and is a cationic, hemolytic peptide. It is a small linear peptide composed of 26 amino acid residues in which the amino-terminal region is predominantly hydrophobic whereas the carboxy-terminal region is hydrophilic due to the presence of a stretch of positively charged amino acids. This amphiphilic property of melittin has resulted in melittin being used as a suitable model peptide for monitoring lipid-protein interactions in membranes. In this review, the solution and membrane properties of melittin are highlighted, with an emphasis on melittin-membrane interaction using biophysical approaches. The recent applications of melittin in various cellular processes are discussed. © 2006 Springer Science+Business Media, LLC.","author":[{"dropping-particle":"","family":"Raghuraman","given":"H.","non-dropping-particle":"","parse-names":false,"suffix":""},{"dropping-particle":"","family":"Chattopadhyay","given":"Amitabha","non-dropping-particle":"","parse-names":false,"suffix":""}],"container-title":"Bioscience Reports","id":"ITEM-1","issue":"4-5","issued":{"date-parts":[["2007","10"]]},"page":"189-223","publisher":"Biosci Rep","title":"Melittin: A membrane-active peptide with diverse functions","type":"article-journal","volume":"27"},"uris":["http://www.mendeley.com/documents/?uuid=9691c18e-5e55-3ad5-ba18-d2737c7397ea"]},{"id":"ITEM-2","itemData":{"DOI":"10.1021/acs.jpcb.8b08424","ISSN":"15205207","PMID":"30570258","abstract":"Melittin is an extensively studied, 26-residue toxic peptide from honey bee venom. Because of its versatility in adopting a variety of secondary (helix or coil) and quaternary (monomer or tetramer) structures in various environments, melittin has been the focus of numerous investigations as a model peptide in protein folding studies as well as in studies involving binding to proteins, lipids, and polysaccharides. A significant body of evidence supports the view that melittin binds to these macromolecules in a predominantly helical conformation, but detailed structural knowledge of this conformation is lacking. In this report, we present nuclear magnetic resonance (NMR)-based structural insights into the helix formation of recombinant melittin in the presence of trifluoroethanol (TFE): a known secondary structure inducer in peptides. These studies were performed at neutral pH, with micromolar amounts of the peptide. Using nuclear Overhauser effect (NOE)-derived distance restraints from three-dimensional NMR spectra, we determined the atomic resolution solution NMR structure of recombinant melittin bearing a TFE-stabilized helix. To circumvent the complications with structure determination of small peptides with high conformational flexibility, we developed a workflow for enhancing proton NOEs by increasing the viscosity of the medium. In the TFE-containing medium, recombinant monomeric melittin forms a long, continuous helical structure, which consists of the N- and C-terminal α-helices and the noncanonical 3 10 -helix in the middle. The noncanonical 3 10 -helix is missing in the previously solved X-ray structure of tetrameric melittin and the NMR structure of melittin in methanol. Melittin's structure in TFE-containing medium provides insights into melittin's conformational transitions, which are relevant to the peptide's interactions with its biological targets.","author":[{"dropping-particle":"","family":"Ramirez","given":"Lisa S.","non-dropping-particle":"","parse-names":false,"suffix":""},{"dropping-particle":"","family":"Pande","given":"Jayanti","non-dropping-particle":"","parse-names":false,"suffix":""},{"dropping-particle":"","family":"Shekhtman","given":"Alexander","non-dropping-particle":"","parse-names":false,"suffix":""}],"container-title":"Journal of Physical Chemistry B","id":"ITEM-2","issue":"2","issued":{"date-parts":[["2019","1","17"]]},"page":"356-368","publisher":"American Chemical Society","title":"Helical Structure of Recombinant Melittin","type":"article-journal","volume":"123"},"uris":["http://www.mendeley.com/documents/?uuid=aa2e8184-5c48-3e39-abed-b3f3d9f0f358"]},{"id":"ITEM-3","itemData":{"DOI":"10.1021/jacs.9b02691","ISSN":"15205126","PMID":"31059253","abstract":"Racemic crystallography has been used to elucidate the secondary and tertiary structures of peptides and small proteins that are recalcitrant to conventional crystallization. It is unclear, however, whether racemic crystallography can capture native quaternary structure, which could be disrupted by heterochiral associations. We are exploring the use of racemic crystallography to characterize the self-assembly behavior of membrane-associated peptides, very few of which have been crystallized. We report a racemic crystal structure of the membrane-active peptide melittin; the new structure allows comparison with a previously reported crystal structure of L-melittin. The tetrameric assembly observed in crystalline L-melittin has been proposed to represent the tetrameric state detected in solution for this peptide. This tetrameric assembly is precisely reproduced in the racemic crystal, which strengthens the conclusion that the tetramer is biologically relevant. More broadly, these findings suggest that racemic crystallography can provide insight on native quaternary structure.","author":[{"dropping-particle":"","family":"Kurgan","given":"Kathleen W.","non-dropping-particle":"","parse-names":false,"suffix":""},{"dropping-particle":"","family":"Kleman","given":"Adam F.","non-dropping-particle":"","parse-names":false,"suffix":""},{"dropping-particle":"","family":"Bingman","given":"Craig A.","non-dropping-particle":"","parse-names":false,"suffix":""},{"dropping-particle":"","family":"Kreitler","given":"Dale F.","non-dropping-particle":"","parse-names":false,"suffix":""},{"dropping-particle":"","family":"Weisblum","given":"Bernard","non-dropping-particle":"","parse-names":false,"suffix":""},{"dropping-particle":"","family":"Forest","given":"Katrina T.","non-dropping-particle":"","parse-names":false,"suffix":""},{"dropping-particle":"","family":"Gellman","given":"Samuel H.","non-dropping-particle":"","parse-names":false,"suffix":""}],"container-title":"Journal of the American Chemical Society","id":"ITEM-3","issue":"19","issued":{"date-parts":[["2019","5","15"]]},"page":"7704-7708","publisher":"American Chemical Society","title":"Retention of Native Quaternary Structure in Racemic Melittin Crystals","type":"article-journal","volume":"141"},"uris":["http://www.mendeley.com/documents/?uuid=d8fcf6bd-4289-39e1-87d6-3ff81d4e833b"]},{"id":"ITEM-4","itemData":{"DOI":"10.1023/A:1019741202601","ISSN":"02778033","PMID":"12168695","abstract":"D-Pro14 melittin was synthesized to investigate the effect of increasing the angle of the bend in the hinge region between the helical segments of the molecule. Structural analysis by nuclear magnetic resonance indicated that, in methanol, the molecule consisted of two helices separated at Pro14, as in melittin. However, the two helices in D-Pro14 melittin were laterally displaced relative to each other by approximately 7 Å, and in addition, there was a small rotation of the carboxyl-terminal helix relative to the amino-terminal helix around the long axis of the molecule. The peptide had less than 5% of the cytolytic activity of melittin. Modification of Arg22 with the 2,2,5,7,8-pentamethyl-chroman-6-sulphonyl (pmc) group restored hemolytic activity to close to that of unmodified melittin. Replacement of Arg22 with Phe was less effective in restoring hemolytic activity. Electron-paramagnetic resonance studies suggest that there is a positive correlation between hemolytic activity of the peptides and interaction with phospholipid bilayers.","author":[{"dropping-particle":"","family":"Hewish","given":"D. R.","non-dropping-particle":"","parse-names":false,"suffix":""},{"dropping-particle":"","family":"Barnham","given":"K. J.","non-dropping-particle":"","parse-names":false,"suffix":""},{"dropping-particle":"","family":"Werkmeister","given":"J. A.","non-dropping-particle":"","parse-names":false,"suffix":""},{"dropping-particle":"","family":"Kirkpatrick","given":"A.","non-dropping-particle":"","parse-names":false,"suffix":""},{"dropping-particle":"","family":"Bartone","given":"N.","non-dropping-particle":"","parse-names":false,"suffix":""},{"dropping-particle":"","family":"Liu","given":"S. T.","non-dropping-particle":"","parse-names":false,"suffix":""},{"dropping-particle":"","family":"Norton","given":"R. S.","non-dropping-particle":"","parse-names":false,"suffix":""},{"dropping-particle":"","family":"Curtain","given":"C.","non-dropping-particle":"","parse-names":false,"suffix":""},{"dropping-particle":"","family":"Rivett","given":"D. E.","non-dropping-particle":"","parse-names":false,"suffix":""}],"container-title":"Journal of Protein Chemistry","id":"ITEM-4","issue":"4","issued":{"date-parts":[["2002"]]},"page":"243-253","publisher":"J Protein Chem","title":"Structure and activity of D-Pro14 melittin","type":"article-journal","volume":"21"},"uris":["http://www.mendeley.com/documents/?uuid=8d5e0cb6-bc10-3f59-9751-019f47d16a03"]},{"id":"ITEM-5","itemData":{"DOI":"10.1002/chem.201406510","ISSN":"09476539","abstract":"Melittin is a membrane-active peptide from bee venom with promising antimicrobial and anticancer activity. Herein we report on a simple and selective method for labeling of the tryptophan residue in melittin by the organometallic fragment [(C5H5)Ru]+ in aqueous solution and in air. Ruthenium coordination does not disturb the secondary structure of the peptide (as verified by 2D NMR spectroscopy), but changes the pattern of its intermolecular interactions resulting in an 11-fold decrease of hemolytic activity. The high stability of the organometallic conjugate allowed the establishment of the biodistribution of the labeled melittin in mice by inductively coupled plasma MS analysis of ruthenium.","author":[{"dropping-particle":"","family":"Perekalin","given":"Dmitry S.","non-dropping-particle":"","parse-names":false,"suffix":""},{"dropping-particle":"V.","family":"Novikov","given":"Valentin","non-dropping-particle":"","parse-names":false,"suffix":""},{"dropping-particle":"","family":"Pavlov","given":"Alexander A.","non-dropping-particle":"","parse-names":false,"suffix":""},{"dropping-particle":"","family":"Ivanov","given":"Igor A.","non-dropping-particle":"","parse-names":false,"suffix":""},{"dropping-particle":"","family":"Anisimova","given":"Natalia Yu.","non-dropping-particle":"","parse-names":false,"suffix":""},{"dropping-particle":"","family":"Kopylov","given":"Alexey N.","non-dropping-particle":"","parse-names":false,"suffix":""},{"dropping-particle":"","family":"Volkov","given":"Dmitry S.","non-dropping-particle":"","parse-names":false,"suffix":""},{"dropping-particle":"","family":"Seregina","given":"Irina F.","non-dropping-particle":"","parse-names":false,"suffix":""},{"dropping-particle":"","family":"Bolshov","given":"Michail A.","non-dropping-particle":"","parse-names":false,"suffix":""},{"dropping-particle":"","family":"Kudinov","given":"Alexander R.","non-dropping-particle":"","parse-names":false,"suffix":""}],"container-title":"Chemistry - A European Journal","id":"ITEM-5","issue":"13","issued":{"date-parts":[["2015","3","23"]]},"page":"4923-4925","publisher":"Wiley-VCH Verlag","title":"Selective Ruthenium Labeling of the Tryptophan Residue in the Bee Venom Peptide Melittin","type":"article-journal","volume":"21"},"uris":["http://www.mendeley.com/documents/?uuid=9ef62e4b-95c3-3a51-b241-9e5de52e705b"]}],"mendeley":{"formattedCitation":"&lt;sup&gt;43–47&lt;/sup&gt;","plainTextFormattedCitation":"43–47","previouslyFormattedCitation":"&lt;sup&gt;43–47&lt;/sup&gt;"},"properties":{"noteIndex":0},"schema":"https://github.com/citation-style-language/schema/raw/master/csl-citation.json"}</w:instrText>
            </w:r>
            <w:r>
              <w:fldChar w:fldCharType="separate"/>
            </w:r>
            <w:r w:rsidR="0019024E" w:rsidRPr="0019024E">
              <w:rPr>
                <w:noProof/>
                <w:vertAlign w:val="superscript"/>
              </w:rPr>
              <w:t>43–47</w:t>
            </w:r>
            <w:r>
              <w:fldChar w:fldCharType="end"/>
            </w:r>
          </w:p>
        </w:tc>
      </w:tr>
      <w:tr w:rsidR="00686AFA" w14:paraId="40FA6075" w14:textId="77777777" w:rsidTr="00016F6B">
        <w:trPr>
          <w:trHeight w:val="465"/>
        </w:trPr>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326F30E9" w14:textId="77777777" w:rsidR="00686AFA" w:rsidRDefault="00686AFA" w:rsidP="00016F6B">
            <w:pPr>
              <w:pStyle w:val="LO-normal"/>
              <w:widowControl w:val="0"/>
              <w:spacing w:line="240" w:lineRule="auto"/>
            </w:pPr>
            <w:r>
              <w:t>SB1/ HB146</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14:paraId="6EB41636" w14:textId="77777777" w:rsidR="00686AFA" w:rsidRDefault="00686AFA" w:rsidP="00016F6B">
            <w:pPr>
              <w:pStyle w:val="LO-normal"/>
              <w:widowControl w:val="0"/>
              <w:spacing w:line="240" w:lineRule="auto"/>
            </w:pPr>
            <w:r>
              <w:t>KYKKALKKLAKLL-NH</w:t>
            </w:r>
            <w:r>
              <w:rPr>
                <w:vertAlign w:val="subscript"/>
              </w:rPr>
              <w:t>2</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0DC4FEF8" w14:textId="77777777" w:rsidR="00686AFA" w:rsidRDefault="00686AFA" w:rsidP="00016F6B">
            <w:pPr>
              <w:pStyle w:val="LO-normal"/>
              <w:widowControl w:val="0"/>
              <w:spacing w:line="240" w:lineRule="auto"/>
            </w:pPr>
            <w:r>
              <w:t>+7</w:t>
            </w:r>
          </w:p>
        </w:tc>
        <w:tc>
          <w:tcPr>
            <w:tcW w:w="1815" w:type="dxa"/>
            <w:tcBorders>
              <w:top w:val="single" w:sz="8" w:space="0" w:color="000000"/>
              <w:left w:val="single" w:sz="8" w:space="0" w:color="000000"/>
              <w:bottom w:val="single" w:sz="8" w:space="0" w:color="000000"/>
              <w:right w:val="single" w:sz="8" w:space="0" w:color="000000"/>
            </w:tcBorders>
            <w:shd w:val="clear" w:color="auto" w:fill="auto"/>
          </w:tcPr>
          <w:p w14:paraId="5976328E" w14:textId="77777777" w:rsidR="00686AFA" w:rsidRDefault="00686AFA" w:rsidP="00016F6B">
            <w:pPr>
              <w:pStyle w:val="LO-normal"/>
              <w:widowControl w:val="0"/>
              <w:spacing w:line="240" w:lineRule="auto"/>
            </w:pPr>
            <w:r>
              <w:t>α-helix</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267E4FD9" w14:textId="77777777" w:rsidR="00686AFA" w:rsidRDefault="00686AFA" w:rsidP="00016F6B">
            <w:pPr>
              <w:pStyle w:val="LO-normal"/>
              <w:widowControl w:val="0"/>
              <w:spacing w:line="240" w:lineRule="auto"/>
            </w:pPr>
            <w:r>
              <w:t xml:space="preserve">6Q86 </w:t>
            </w:r>
          </w:p>
          <w:p w14:paraId="56C9FEA3" w14:textId="77777777" w:rsidR="00686AFA" w:rsidRDefault="00686AFA" w:rsidP="00016F6B">
            <w:pPr>
              <w:pStyle w:val="LO-normal"/>
              <w:widowControl w:val="0"/>
              <w:spacing w:line="240" w:lineRule="auto"/>
            </w:pPr>
            <w:r>
              <w:t>6Q79</w:t>
            </w:r>
          </w:p>
          <w:p w14:paraId="1E3AA602" w14:textId="77777777" w:rsidR="00686AFA" w:rsidRDefault="00686AFA" w:rsidP="00016F6B">
            <w:pPr>
              <w:pStyle w:val="LO-normal"/>
              <w:widowControl w:val="0"/>
              <w:spacing w:line="240" w:lineRule="auto"/>
            </w:pPr>
            <w:r>
              <w:t>(C-terminal fucosylated D-analogue)</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4AFF58B1" w14:textId="258B48E4" w:rsidR="00686AFA" w:rsidRDefault="00686AFA" w:rsidP="0019024E">
            <w:pPr>
              <w:pStyle w:val="LO-normal"/>
              <w:widowControl w:val="0"/>
              <w:spacing w:line="240" w:lineRule="auto"/>
            </w:pPr>
            <w:r>
              <w:fldChar w:fldCharType="begin" w:fldLock="1"/>
            </w:r>
            <w:r w:rsidR="00D217EC">
              <w:instrText>ADDIN CSL_CITATION {"citationItems":[{"id":"ITEM-1","itemData":{"DOI":"10.1128/AAC.49.7.2921-2927.2005","ISSN":"00664804","PMID":"15980369","abstract":"Greater than 90% of lung infections in cystic fibrosis (CF) patients are caused by Pseudomonas aeruginosa, and the majority of these patients subsequently die from lung damage. Current therapies are either targeted at reducing obstruction, reducing inflammation, or reducing infection. To identify potential therapeutic agents for the CF lung, 150 antimicrobial peptides consisting of three distinct structural classes were screened against mucoid and multidrug-resistant clinical isolates of P. aeruginosa, Stenotrophomonas maltophilia, Achromobacter xylosoxidans, and Staphylococcus aureus. Five peptides that retained potent antimicrobial activities in physiological salt and divalent cation environment were further characterized in vivo using a rat chronic lung infection model. All animals were inoculated intratracheally with 104 P. aeruginosa mucoid PAO1 cells in agar beads. Three days following inoculation treatment was initiated. Animals were treated daily for 3 days with 100 μl of peptide solution (1 mg/ml) in 10 mM sodium citrate, which was deposited via either intratracheal instillation or aerosolization. Control animals received daily exposure to vehicle alone. At the end of the treatment the lungs of the animals were removed for quantitative culture. Four peptides, HBCM2, HBCM3, HBCPα-2, and HB71, demonstrated significant reduction in Pseudomonas bioburden in the lung of rats. Further in vivo studies provided direct evidence that anti-inflammatory activity was associated with three of these peptides. Therefore, small bioactive peptides have the potential to attack two of the components responsible for the progression of lung damage in the CF disease: infection and inflammation. Copyright © 2005, American Society for Microbiology. All Rights Reserved.","author":[{"dropping-particle":"","family":"Zhang","given":"Lijuan","non-dropping-particle":"","parse-names":false,"suffix":""},{"dropping-particle":"","family":"Parente","given":"Jody","non-dropping-particle":"","parse-names":false,"suffix":""},{"dropping-particle":"","family":"Harris","given":"Scott M.","non-dropping-particle":"","parse-names":false,"suffix":""},{"dropping-particle":"","family":"Woods","given":"Donald E.","non-dropping-particle":"","parse-names":false,"suffix":""},{"dropping-particle":"","family":"Hancock","given":"Robert E.W.","non-dropping-particle":"","parse-names":false,"suffix":""},{"dropping-particle":"","family":"Falla","given":"Timothy J.","non-dropping-particle":"","parse-names":false,"suffix":""}],"container-title":"Antimicrobial Agents and Chemotherapy","id":"ITEM-1","issue":"7","issued":{"date-parts":[["2005","7"]]},"page":"2921-2927","publisher":"Antimicrob Agents Chemother","title":"Antimicrobial peptide therapeutics for cystic fibrosis","type":"article-journal","volume":"49"},"uris":["http://www.mendeley.com/documents/?uuid=88cb4edf-e3d7-32bf-a294-d67b955bd699"]},{"id":"ITEM-2","itemData":{"DOI":"10.1021/acschembio.9b00047","ISSN":"15548937","PMID":"30830745","abstract":"Herein, we report X-ray crystal structures of 11-13 residue antimicrobial peptides (AMPs) active against Pseudomonas aeruginosa as complexes of fucosylated d-enantiomeric sequences with the P. aeruginosa lectin LecB. These represent the first crystal structures of short AMPs. In 24 individual structures of eight different peptides, we found mostly α-helices assembled as two-helix or four-helix bundles with a hydrophobic core and cationic residues pointing outside. Two of the analogs formed an extended structure engaging in multiple contacts with the lectin. Molecular dynamics (MD) simulations showed that α-helices are stabilized by bundle formation and suggested that the N-terminal acyl group present in the linker to the fucosyl group can extend the helix by one additional H-bond and increase α-helix amphiphilicity. Investigating N-terminal acylation led to AMPs with equivalent and partly stronger antibacterial effects compared to the free peptide.","author":[{"dropping-particle":"","family":"Baeriswyl","given":"Stéphane","non-dropping-particle":"","parse-names":false,"suffix":""},{"dropping-particle":"","family":"Gan","given":"Bee Ha","non-dropping-particle":"","parse-names":false,"suffix":""},{"dropping-particle":"","family":"Siriwardena","given":"Thissa N.","non-dropping-particle":"","parse-names":false,"suffix":""},{"dropping-particle":"","family":"Visini","given":"Ricardo","non-dropping-particle":"","parse-names":false,"suffix":""},{"dropping-particle":"","family":"Robadey","given":"Maurane","non-dropping-particle":"","parse-names":false,"suffix":""},{"dropping-particle":"","family":"Javor","given":"Sacha","non-dropping-particle":"","parse-names":false,"suffix":""},{"dropping-particle":"","family":"Stocker","given":"Achim","non-dropping-particle":"","parse-names":false,"suffix":""},{"dropping-particle":"","family":"Darbre","given":"Tamis","non-dropping-particle":"","parse-names":false,"suffix":""},{"dropping-particle":"","family":"Reymond","given":"Jean Louis","non-dropping-particle":"","parse-names":false,"suffix":""}],"container-title":"ACS Chemical Biology","id":"ITEM-2","issue":"4","issued":{"date-parts":[["2019","4","19"]]},"page":"758-766","publisher":"American Chemical Society","title":"X-ray Crystal Structures of Short Antimicrobial Peptides as Pseudomonas aeruginosa Lectin B Complexes","type":"article-journal","volume":"14"},"uris":["http://www.mendeley.com/documents/?uuid=f66d8b86-f0c9-3269-87d8-ccbc63354fad"]}],"mendeley":{"formattedCitation":"&lt;sup&gt;48,49&lt;/sup&gt;","plainTextFormattedCitation":"48,49","previouslyFormattedCitation":"&lt;sup&gt;48,49&lt;/sup&gt;"},"properties":{"noteIndex":0},"schema":"https://github.com/citation-style-language/schema/raw/master/csl-citation.json"}</w:instrText>
            </w:r>
            <w:r>
              <w:fldChar w:fldCharType="separate"/>
            </w:r>
            <w:r w:rsidR="0019024E" w:rsidRPr="0019024E">
              <w:rPr>
                <w:noProof/>
                <w:vertAlign w:val="superscript"/>
              </w:rPr>
              <w:t>48,49</w:t>
            </w:r>
            <w:r>
              <w:fldChar w:fldCharType="end"/>
            </w:r>
          </w:p>
        </w:tc>
      </w:tr>
      <w:tr w:rsidR="00686AFA" w14:paraId="5091814D" w14:textId="77777777" w:rsidTr="00016F6B">
        <w:trPr>
          <w:trHeight w:val="465"/>
        </w:trPr>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60534065" w14:textId="77777777" w:rsidR="00686AFA" w:rsidRDefault="00686AFA" w:rsidP="00016F6B">
            <w:pPr>
              <w:pStyle w:val="LO-normal"/>
              <w:widowControl w:val="0"/>
              <w:spacing w:line="240" w:lineRule="auto"/>
            </w:pPr>
            <w:r>
              <w:t>Human β-Defensin 2 (HBD-2)</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14:paraId="74DA3F00" w14:textId="77777777" w:rsidR="00686AFA" w:rsidRDefault="00686AFA" w:rsidP="00016F6B">
            <w:pPr>
              <w:pStyle w:val="LO-normal"/>
              <w:widowControl w:val="0"/>
              <w:spacing w:line="240" w:lineRule="auto"/>
            </w:pPr>
            <w:r>
              <w:t>GIGDPVTCLKSGAICHPVFCPRRYKQIGTCGLPGTKCCKKP</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73AFDACF" w14:textId="77777777" w:rsidR="00686AFA" w:rsidRDefault="00686AFA" w:rsidP="00016F6B">
            <w:pPr>
              <w:pStyle w:val="LO-normal"/>
              <w:widowControl w:val="0"/>
              <w:spacing w:line="240" w:lineRule="auto"/>
            </w:pPr>
            <w:r>
              <w:t>+7</w:t>
            </w:r>
          </w:p>
        </w:tc>
        <w:tc>
          <w:tcPr>
            <w:tcW w:w="1815" w:type="dxa"/>
            <w:tcBorders>
              <w:top w:val="single" w:sz="8" w:space="0" w:color="000000"/>
              <w:left w:val="single" w:sz="8" w:space="0" w:color="000000"/>
              <w:bottom w:val="single" w:sz="8" w:space="0" w:color="000000"/>
              <w:right w:val="single" w:sz="8" w:space="0" w:color="000000"/>
            </w:tcBorders>
            <w:shd w:val="clear" w:color="auto" w:fill="auto"/>
          </w:tcPr>
          <w:p w14:paraId="3C6A221F" w14:textId="77777777" w:rsidR="00686AFA" w:rsidRDefault="00686AFA" w:rsidP="00016F6B">
            <w:pPr>
              <w:pStyle w:val="LO-normal"/>
              <w:widowControl w:val="0"/>
              <w:spacing w:line="240" w:lineRule="auto"/>
            </w:pPr>
            <w:r>
              <w:t>Antiparallel β-sheet and α-helix</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4EABE0E5" w14:textId="77777777" w:rsidR="00686AFA" w:rsidRDefault="00686AFA" w:rsidP="00016F6B">
            <w:pPr>
              <w:pStyle w:val="LO-normal"/>
              <w:widowControl w:val="0"/>
              <w:spacing w:line="240" w:lineRule="auto"/>
            </w:pPr>
            <w:r>
              <w:t>1FD3</w:t>
            </w:r>
          </w:p>
          <w:p w14:paraId="32DF7EAB" w14:textId="77777777" w:rsidR="00686AFA" w:rsidRDefault="00686AFA" w:rsidP="00016F6B">
            <w:pPr>
              <w:pStyle w:val="LO-normal"/>
              <w:widowControl w:val="0"/>
              <w:spacing w:line="240" w:lineRule="auto"/>
            </w:pPr>
            <w:r>
              <w:t>1FD4</w:t>
            </w:r>
          </w:p>
          <w:p w14:paraId="430B38EB" w14:textId="77777777" w:rsidR="00686AFA" w:rsidRDefault="00686AFA" w:rsidP="00016F6B">
            <w:pPr>
              <w:pStyle w:val="LO-normal"/>
              <w:widowControl w:val="0"/>
              <w:spacing w:line="240" w:lineRule="auto"/>
            </w:pPr>
            <w:r>
              <w:t>1FQQ</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20935E33" w14:textId="464AF03F" w:rsidR="00686AFA" w:rsidRDefault="00686AFA" w:rsidP="0019024E">
            <w:pPr>
              <w:pStyle w:val="LO-normal"/>
              <w:widowControl w:val="0"/>
              <w:spacing w:line="240" w:lineRule="auto"/>
            </w:pPr>
            <w:r>
              <w:fldChar w:fldCharType="begin" w:fldLock="1"/>
            </w:r>
            <w:r w:rsidR="00D217EC">
              <w:instrText>ADDIN CSL_CITATION {"citationItems":[{"id":"ITEM-1","itemData":{"DOI":"10.1021/bi002519d","ISSN":"00062960","PMID":"11300761","abstract":"Human β-defensin-2 (HBD-2) is a member of the defensin family of antimicrobial peptides. HBD-2 was first isolated from inflamed skin where it is posited to participate in the killing of invasive bacteria and in the recruitment of cells of the adaptive immune response. Static light scattering and two-dimensional proton nuclear magnetic resonance spectroscopy have been used to assess the physical state and structure of HBD-2 in solution. At concentrations of ≤ 2.4 mM, HBD-2 is monomeric. The structure is amphiphilic with a nonuniform surface distribution of positive charge and contains several key structural elements, including a triple-stranded, antiparallel β-sheet with strands 2 and 3 in a β-hairpin conformation. A β-bulge in the second strand occurs at Gly28, a position conserved in the entire defensin family. In solution, HBD-2 exhibits an α-helical segment near the N-terminus that has not been previously ascribed to solution structures of α-defensins or to the β-defensin BNBD-12. This novel structural element may be a factor contributing to the specific microbicidal or chemokine-like properties of HBD-2.","author":[{"dropping-particle":"V.","family":"Sawai","given":"M.","non-dropping-particle":"","parse-names":false,"suffix":""},{"dropping-particle":"","family":"Jia","given":"H. P.","non-dropping-particle":"","parse-names":false,"suffix":""},{"dropping-particle":"","family":"Liu","given":"L.","non-dropping-particle":"","parse-names":false,"suffix":""},{"dropping-particle":"","family":"Aseyev","given":"V.","non-dropping-particle":"","parse-names":false,"suffix":""},{"dropping-particle":"","family":"Wiencek","given":"J. M.","non-dropping-particle":"","parse-names":false,"suffix":""},{"dropping-particle":"","family":"McCray","given":"P. B.","non-dropping-particle":"","parse-names":false,"suffix":""},{"dropping-particle":"","family":"Ganz","given":"T.","non-dropping-particle":"","parse-names":false,"suffix":""},{"dropping-particle":"","family":"Kearney","given":"W. R.","non-dropping-particle":"","parse-names":false,"suffix":""},{"dropping-particle":"","family":"Tack","given":"B. F.","non-dropping-particle":"","parse-names":false,"suffix":""}],"container-title":"Biochemistry","id":"ITEM-1","issue":"13","issued":{"date-parts":[["2001","4","3"]]},"page":"3810-3816","publisher":"Biochemistry","title":"The NMR structure of human β-defensin-2 reveals a novel α-helical segment","type":"article-journal","volume":"40"},"uris":["http://www.mendeley.com/documents/?uuid=7435ea43-4421-330c-a027-52a7d3258f8f"]},{"id":"ITEM-2","itemData":{"DOI":"10.1074/jbc.M006098200","ISSN":"00219258","PMID":"10906336","abstract":"Defensins are small cationic peptides that are crucial components of innate immunity, serving as both antimicrobial agents and chemoattractant molecules. The specific mechanism of antimicrobial activity involves permeabilization of bacterial membranes. It has been postulated that individual monomers oligomerize to form a pore through anionic membranes, although the evidence is only indirect. Here, we report two high resolution x-ray structures of human β-defensin-2 (hBD2). The phases were experimentally determined by the multiwavelength anomalous diffraction method, utilizing a novel, rapid method of derivatization with halide ions. Although the shape and charge distribution of the manomer are similar to those of other defensins, an additional α-helical region makes this protein topologically distinct from the mammalian α- and β-defensin structures reported previously. hBD2 forms dimers topologically distinct from that of human neutrophil peptide-3. The quaternary octamerlc arrangement of hBD2 is conserved in two crystal forms. These structures provide the first detailed description of dimerization of β-defensins, and we postulate that the mode of dimerization of hBD2 is representative of other β-defensins. The structural and electrostatic properties of the hBD2 octamer support an electrostatic charge-based mechanism of membrane permeabflization by β-defensins, rather than a mechanism based on formation of bilayer-spanning pores.","author":[{"dropping-particle":"","family":"Hoover","given":"D. M.","non-dropping-particle":"","parse-names":false,"suffix":""},{"dropping-particle":"","family":"Rajashankar","given":"K. R.","non-dropping-particle":"","parse-names":false,"suffix":""},{"dropping-particle":"","family":"Blumenthal","given":"R.","non-dropping-particle":"","parse-names":false,"suffix":""},{"dropping-particle":"","family":"Puri","given":"A.","non-dropping-particle":"","parse-names":false,"suffix":""},{"dropping-particle":"","family":"Oppenheim","given":"J. J.","non-dropping-particle":"","parse-names":false,"suffix":""},{"dropping-particle":"","family":"Chertov","given":"O.","non-dropping-particle":"","parse-names":false,"suffix":""},{"dropping-particle":"","family":"Lubkowski","given":"J.","non-dropping-particle":"","parse-names":false,"suffix":""}],"container-title":"Journal of Biological Chemistry","id":"ITEM-2","issue":"42","issued":{"date-parts":[["2000","10","20"]]},"page":"32911-32918","publisher":"American Society for Biochemistry and Molecular Biology Inc.","title":"The structure of human β-defensin-2 shows evidence of higher order oligomerization","type":"article-journal","volume":"275"},"uris":["http://www.mendeley.com/documents/?uuid=45fd56f0-5337-3e65-8ce0-34914d83e1fb"]},{"id":"ITEM-3","itemData":{"DOI":"10.1016/s0021-9258(18)53298-1","ISSN":"00219258","PMID":"8454635","abstract":"A new family of cysteine-rich antimicrobial peptides from bovine neutrophils was isolated and characterized. Thirteen structurally homologous peptides were purified to homogeneity from a granule-rich cytoplasmic fraction of purified blood neutrophils. The complete sequences of the peptides were determined by a combination of enzymatic digestion, Edman degradation, and additional biochemical characterization of the carboxyl termini. The peptides are characterized by a highly cationic 38-42-residue chain which includes 6 invariantly spaced cysteines which form three disulfides. They share a highly conserved consensus sequence which is also found in a recently described epithelial antimicrobial peptide from bovine trachea. The in vitro antibacterial activities of the 13 neutrophil peptides, determined in assays using Staphylococcus aureus and Escherichia coli as test organisms, demonstrated that each peptide possessed antimicrobial activity, and that several were as active as the most potent neutrophil defensin, rabbit NP-1. Though the structural and functional attributes of the bovine neutrophil peptides are similar to those of defensins, the two peptide families are distinguished by their unique consensus sequences and additionally by differing tridisulfide motifs. We therefore propose that this new defensin-like antimicrobial peptide family be named β-defensins.","author":[{"dropping-particle":"","family":"Selsted","given":"M. E.","non-dropping-particle":"","parse-names":false,"suffix":""},{"dropping-particle":"","family":"Tang","given":"Y. Q.","non-dropping-particle":"","parse-names":false,"suffix":""},{"dropping-particle":"","family":"Morris","given":"W. L.","non-dropping-particle":"","parse-names":false,"suffix":""},{"dropping-particle":"","family":"McGuire","given":"P. A.","non-dropping-particle":"","parse-names":false,"suffix":""},{"dropping-particle":"","family":"Novotny","given":"M. J.","non-dropping-particle":"","parse-names":false,"suffix":""},{"dropping-particle":"","family":"Smith","given":"W.","non-dropping-particle":"","parse-names":false,"suffix":""},{"dropping-particle":"","family":"Henschen","given":"A. H.","non-dropping-particle":"","parse-names":false,"suffix":""},{"dropping-particle":"","family":"Cullor","given":"J. S.","non-dropping-particle":"","parse-names":false,"suffix":""}],"container-title":"Journal of Biological Chemistry","id":"ITEM-3","issue":"9","issued":{"date-parts":[["1993","3","25"]]},"page":"6641-6648","publisher":"Elsevier","title":"Purification, primary structures, and antibacterial activities of β- defensins, a new family of antimicrobial peptides from bovine neutrophils","type":"article-journal","volume":"268"},"uris":["http://www.mendeley.com/documents/?uuid=66dc8afe-44b8-3df5-a98d-1a17f0eb914e"]}],"mendeley":{"formattedCitation":"&lt;sup&gt;50–52&lt;/sup&gt;","plainTextFormattedCitation":"50–52","previouslyFormattedCitation":"&lt;sup&gt;50–52&lt;/sup&gt;"},"properties":{"noteIndex":0},"schema":"https://github.com/citation-style-language/schema/raw/master/csl-citation.json"}</w:instrText>
            </w:r>
            <w:r>
              <w:fldChar w:fldCharType="separate"/>
            </w:r>
            <w:r w:rsidR="0019024E" w:rsidRPr="0019024E">
              <w:rPr>
                <w:noProof/>
                <w:vertAlign w:val="superscript"/>
              </w:rPr>
              <w:t>50–52</w:t>
            </w:r>
            <w:r>
              <w:fldChar w:fldCharType="end"/>
            </w:r>
          </w:p>
        </w:tc>
      </w:tr>
      <w:tr w:rsidR="00686AFA" w14:paraId="75E0B2AC" w14:textId="77777777" w:rsidTr="00016F6B">
        <w:trPr>
          <w:trHeight w:val="465"/>
        </w:trPr>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791A3857" w14:textId="77777777" w:rsidR="00686AFA" w:rsidRDefault="00686AFA" w:rsidP="00016F6B">
            <w:pPr>
              <w:pStyle w:val="LO-normal"/>
              <w:jc w:val="both"/>
            </w:pPr>
            <w:r>
              <w:lastRenderedPageBreak/>
              <w:t>Maximin 3</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14:paraId="7DF06BD8" w14:textId="77777777" w:rsidR="00686AFA" w:rsidRDefault="00686AFA" w:rsidP="00016F6B">
            <w:pPr>
              <w:pStyle w:val="LO-normal"/>
              <w:widowControl w:val="0"/>
              <w:spacing w:line="240" w:lineRule="auto"/>
            </w:pPr>
            <w:r>
              <w:t>GIGGKILSGLKTALKGAAKELASTYLH</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0B66429F" w14:textId="77777777" w:rsidR="00686AFA" w:rsidRDefault="00686AFA" w:rsidP="00016F6B">
            <w:pPr>
              <w:pStyle w:val="LO-normal"/>
              <w:widowControl w:val="0"/>
              <w:spacing w:line="240" w:lineRule="auto"/>
            </w:pPr>
            <w:r>
              <w:t>+3</w:t>
            </w:r>
          </w:p>
        </w:tc>
        <w:tc>
          <w:tcPr>
            <w:tcW w:w="1815" w:type="dxa"/>
            <w:tcBorders>
              <w:top w:val="single" w:sz="8" w:space="0" w:color="000000"/>
              <w:left w:val="single" w:sz="8" w:space="0" w:color="000000"/>
              <w:bottom w:val="single" w:sz="8" w:space="0" w:color="000000"/>
              <w:right w:val="single" w:sz="8" w:space="0" w:color="000000"/>
            </w:tcBorders>
            <w:shd w:val="clear" w:color="auto" w:fill="auto"/>
          </w:tcPr>
          <w:p w14:paraId="6D1678B1" w14:textId="77777777" w:rsidR="00686AFA" w:rsidRDefault="00686AFA" w:rsidP="00016F6B">
            <w:pPr>
              <w:pStyle w:val="LO-normal"/>
              <w:widowControl w:val="0"/>
              <w:spacing w:line="240" w:lineRule="auto"/>
            </w:pPr>
            <w:r>
              <w:t>α-helix</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12212194" w14:textId="77777777" w:rsidR="00686AFA" w:rsidRDefault="00686AFA" w:rsidP="00016F6B">
            <w:pPr>
              <w:pStyle w:val="LO-normal"/>
              <w:widowControl w:val="0"/>
              <w:spacing w:line="240" w:lineRule="auto"/>
            </w:pPr>
            <w:r>
              <w:t>6HZ2</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1C11E73C" w14:textId="69547C17" w:rsidR="00686AFA" w:rsidRDefault="00686AFA" w:rsidP="0019024E">
            <w:pPr>
              <w:pStyle w:val="LO-normal"/>
              <w:widowControl w:val="0"/>
              <w:spacing w:line="240" w:lineRule="auto"/>
            </w:pPr>
            <w:r>
              <w:fldChar w:fldCharType="begin" w:fldLock="1"/>
            </w:r>
            <w:r w:rsidR="00D217EC">
              <w:instrText>ADDIN CSL_CITATION {"citationItems":[{"id":"ITEM-1","itemData":{"DOI":"10.1007/s00249-019-01346-7","ISSN":"14321017","PMID":"30734844","abstract":"Maximin 3 is a 27-residue-long cationic antimicrobial peptide found in the skin secretion and brain of the Chinese red-belly toad Bombina maxima. The peptide is of biological interest as it possesses anti-HIV activity, not found in the other maximin peptides, in addition to antimicrobial, antitumor and spermicidal activities. The three-dimensional structure of maximin 3 was obtained in a 50/50% water/2,2,2-trifluoroethanol-d 3 mixture using two-dimensional NMR spectroscopy. Maximin 3 was found to adopt an α-helical structure from residue G1 to A22, and a coil structure with a helical propensity in the C-terminal tail. The peptide is amphipathic, showing a clear separation between polar and hydrophobic residues. Interactions with sodium dodecyl sulfate micelles, a widely used bacterial membrane-mimicking environment, were modeled using molecular dynamics simulations. The peptide maintained an α-helical conformation, occasionally displaying a flexibility around residues G9 and G16, which is likely responsible for the peptide’s low haemolytic activity. It is found to preferentially adopt a position parallel to the micellar surface, establishing a number of hydrophobic and electrostatic interactions with it.","author":[{"dropping-particle":"","family":"Benetti","given":"Silvia","non-dropping-particle":"","parse-names":false,"suffix":""},{"dropping-particle":"","family":"Timmons","given":"Patrick Brendan","non-dropping-particle":"","parse-names":false,"suffix":""},{"dropping-particle":"","family":"Hewage","given":"Chandralal M.","non-dropping-particle":"","parse-names":false,"suffix":""}],"container-title":"European Biophysics Journal","id":"ITEM-1","issue":"2","issued":{"date-parts":[["2019","3","4"]]},"page":"203-212","publisher":"Springer Verlag","title":"NMR model structure of the antimicrobial peptide maximin 3","type":"article-journal","volume":"48"},"uris":["http://www.mendeley.com/documents/?uuid=e484f10f-5a1e-3649-8e53-8b03c0ccd452"]},{"id":"ITEM-2","itemData":{"DOI":"10.1016/S0196-9781(01)00641-6","ISSN":"01969781","PMID":"11835991","abstract":"Two groups of antimicrobial peptides have been isolated from skin secretions of Bombina maxima. Peptides in the first group, named maximins 1, 2, 3, 4 and 5, are structurally related to bombinin-like peptides (BLPs). Unlike BLPs, sequence variations in maximins occurred all through the molecules. In addition to the potent antimicrobial activity, cytotoxicity against tumor cells and spermicidal action of maximins, maximin 3 possessed a significant anti-HIV activity. Maximins 1 and 3 were toxic to mice with LD50 values of 8.2 and 4.3 mg/kg, respectively. Peptides in the second group, termed maximins H1, H2, H3 and H4, are homologous with bombinin H peptides. cDNA sequences revealed that one maximin peptide plus one maximin H peptide derived from a common larger protein. © 2002 Elsevier Science Inc. All rights reserved.","author":[{"dropping-particle":"","family":"Lai","given":"Ren","non-dropping-particle":"","parse-names":false,"suffix":""},{"dropping-particle":"","family":"Zheng","given":"Yong Tang","non-dropping-particle":"","parse-names":false,"suffix":""},{"dropping-particle":"","family":"Shen","given":"Ji Hong","non-dropping-particle":"","parse-names":false,"suffix":""},{"dropping-particle":"","family":"Liu","given":"Guan Jie","non-dropping-particle":"","parse-names":false,"suffix":""},{"dropping-particle":"","family":"Liu","given":"Hen","non-dropping-particle":"","parse-names":false,"suffix":""},{"dropping-particle":"","family":"Lee","given":"Wen Hui","non-dropping-particle":"","parse-names":false,"suffix":""},{"dropping-particle":"","family":"Tang","given":"Shao Zhong","non-dropping-particle":"","parse-names":false,"suffix":""},{"dropping-particle":"","family":"Zhang","given":"Yun","non-dropping-particle":"","parse-names":false,"suffix":""}],"container-title":"Peptides","id":"ITEM-2","issue":"3","issued":{"date-parts":[["2002"]]},"page":"427-435","publisher":"Peptides","title":"Antimicrobial peptides from skin secretions of Chinese red belly toad Bombina maxima","type":"article-journal","volume":"23"},"uris":["http://www.mendeley.com/documents/?uuid=8f6129a7-6b27-3d23-b474-b5b01a9f11c9"]}],"mendeley":{"formattedCitation":"&lt;sup&gt;53,54&lt;/sup&gt;","plainTextFormattedCitation":"53,54","previouslyFormattedCitation":"&lt;sup&gt;53,54&lt;/sup&gt;"},"properties":{"noteIndex":0},"schema":"https://github.com/citation-style-language/schema/raw/master/csl-citation.json"}</w:instrText>
            </w:r>
            <w:r>
              <w:fldChar w:fldCharType="separate"/>
            </w:r>
            <w:r w:rsidR="0019024E" w:rsidRPr="0019024E">
              <w:rPr>
                <w:noProof/>
                <w:vertAlign w:val="superscript"/>
              </w:rPr>
              <w:t>53,54</w:t>
            </w:r>
            <w:r>
              <w:fldChar w:fldCharType="end"/>
            </w:r>
          </w:p>
        </w:tc>
      </w:tr>
      <w:tr w:rsidR="00686AFA" w14:paraId="4AD776A2" w14:textId="77777777" w:rsidTr="00016F6B">
        <w:trPr>
          <w:trHeight w:val="465"/>
        </w:trPr>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4833746F" w14:textId="77777777" w:rsidR="00686AFA" w:rsidRDefault="00686AFA" w:rsidP="00016F6B">
            <w:pPr>
              <w:pStyle w:val="LO-normal"/>
              <w:widowControl w:val="0"/>
              <w:spacing w:line="240" w:lineRule="auto"/>
            </w:pPr>
            <w:r>
              <w:t>LL-37</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14:paraId="79069B37" w14:textId="77777777" w:rsidR="00686AFA" w:rsidRDefault="00686AFA" w:rsidP="00016F6B">
            <w:pPr>
              <w:pStyle w:val="LO-normal"/>
              <w:widowControl w:val="0"/>
              <w:spacing w:line="240" w:lineRule="auto"/>
            </w:pPr>
            <w:r>
              <w:t>LLGDFFRKSKEKIGKEFKRIVQRIKDFLRNLVPRTES</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0D7D8578" w14:textId="77777777" w:rsidR="00686AFA" w:rsidRDefault="00686AFA" w:rsidP="00016F6B">
            <w:pPr>
              <w:pStyle w:val="LO-normal"/>
              <w:widowControl w:val="0"/>
              <w:spacing w:line="240" w:lineRule="auto"/>
            </w:pPr>
            <w:r>
              <w:t>+6</w:t>
            </w:r>
          </w:p>
        </w:tc>
        <w:tc>
          <w:tcPr>
            <w:tcW w:w="1815" w:type="dxa"/>
            <w:tcBorders>
              <w:top w:val="single" w:sz="8" w:space="0" w:color="000000"/>
              <w:left w:val="single" w:sz="8" w:space="0" w:color="000000"/>
              <w:bottom w:val="single" w:sz="8" w:space="0" w:color="000000"/>
              <w:right w:val="single" w:sz="8" w:space="0" w:color="000000"/>
            </w:tcBorders>
            <w:shd w:val="clear" w:color="auto" w:fill="auto"/>
          </w:tcPr>
          <w:p w14:paraId="23760312" w14:textId="77777777" w:rsidR="00686AFA" w:rsidRDefault="00686AFA" w:rsidP="00016F6B">
            <w:pPr>
              <w:pStyle w:val="LO-normal"/>
              <w:widowControl w:val="0"/>
              <w:spacing w:line="240" w:lineRule="auto"/>
            </w:pPr>
            <w:r>
              <w:t>α-helix</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01607F0B" w14:textId="77777777" w:rsidR="00686AFA" w:rsidRDefault="00686AFA" w:rsidP="00016F6B">
            <w:pPr>
              <w:pStyle w:val="LO-normal"/>
              <w:widowControl w:val="0"/>
              <w:spacing w:line="240" w:lineRule="auto"/>
            </w:pPr>
            <w:r>
              <w:t>2K6O</w:t>
            </w:r>
          </w:p>
          <w:p w14:paraId="6DF670A1" w14:textId="77777777" w:rsidR="00686AFA" w:rsidRDefault="00686AFA" w:rsidP="00016F6B">
            <w:pPr>
              <w:pStyle w:val="LO-normal"/>
              <w:widowControl w:val="0"/>
              <w:spacing w:line="240" w:lineRule="auto"/>
            </w:pPr>
            <w:r>
              <w:t>5NNM</w:t>
            </w:r>
          </w:p>
          <w:p w14:paraId="224BD411" w14:textId="77777777" w:rsidR="00686AFA" w:rsidRDefault="00686AFA" w:rsidP="00016F6B">
            <w:pPr>
              <w:pStyle w:val="LO-normal"/>
              <w:widowControl w:val="0"/>
              <w:spacing w:line="240" w:lineRule="auto"/>
            </w:pPr>
            <w:r>
              <w:t>5NMN</w:t>
            </w:r>
          </w:p>
          <w:p w14:paraId="52134DB1" w14:textId="77777777" w:rsidR="00686AFA" w:rsidRDefault="00686AFA" w:rsidP="00016F6B">
            <w:pPr>
              <w:pStyle w:val="LO-normal"/>
              <w:widowControl w:val="0"/>
              <w:spacing w:line="240" w:lineRule="auto"/>
            </w:pPr>
            <w:r>
              <w:t>5NNK</w:t>
            </w:r>
          </w:p>
          <w:p w14:paraId="49985E03" w14:textId="77777777" w:rsidR="00686AFA" w:rsidRDefault="00686AFA" w:rsidP="00016F6B">
            <w:pPr>
              <w:pStyle w:val="LO-normal"/>
              <w:widowControl w:val="0"/>
              <w:spacing w:line="240" w:lineRule="auto"/>
            </w:pPr>
            <w:r>
              <w:t>5NNT</w:t>
            </w:r>
          </w:p>
          <w:p w14:paraId="755B6357" w14:textId="77777777" w:rsidR="00686AFA" w:rsidRDefault="00686AFA" w:rsidP="00016F6B">
            <w:pPr>
              <w:pStyle w:val="LO-normal"/>
              <w:widowControl w:val="0"/>
              <w:spacing w:line="240" w:lineRule="auto"/>
            </w:pPr>
            <w:r>
              <w:t>2FBS</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4DFF0108" w14:textId="32C0E34C" w:rsidR="00686AFA" w:rsidRDefault="00686AFA" w:rsidP="0019024E">
            <w:pPr>
              <w:pStyle w:val="LO-normal"/>
              <w:widowControl w:val="0"/>
              <w:spacing w:line="240" w:lineRule="auto"/>
            </w:pPr>
            <w:r>
              <w:fldChar w:fldCharType="begin" w:fldLock="1"/>
            </w:r>
            <w:r w:rsidR="00576689">
              <w:instrText>ADDIN CSL_CITATION {"citationItems":[{"id":"ITEM-1","itemData":{"DOI":"10.1007/s00109-002-0350-6","ISSN":"09462716","PMID":"12226737","abstract":"Cathelicidins are a class of gene-encoded antibiotics found exclusively in mammals. In vitro and in vivo studies indicate they are effector molecules of mammalian innate immunity that can provide a first line of defense against an array of micro-organisms. Additional functions are described for some members of this class of antimicrobial peptides including chemotactic activity, mitogenesis, and angiogenesis. Therefore these peptides are considered to be multifunctional effector molecules. This review discusses recent progress in cathelicidin research and the functional properties of cathelicidins. Current work in this field suggests that understanding this component of the mammalian innate immune system and related natural antibiotic peptides offer an opportunity for the development of novel therapeutic agents with which to battle the continued problem of antimicrobial resistance.","author":[{"dropping-particle":"","family":"Zaiou","given":"Mohamed","non-dropping-particle":"","parse-names":false,"suffix":""},{"dropping-particle":"","family":"Gallo","given":"Richard L.","non-dropping-particle":"","parse-names":false,"suffix":""}],"container-title":"Journal of Molecular Medicine","id":"ITEM-1","issue":"9","issued":{"date-parts":[["2002"]]},"page":"549-561","publisher":"J Mol Med (Berl)","title":"Cathelicidins, essential gene-encoded mammalian antibiotics","type":"article-journal","volume":"80"},"uris":["http://www.mendeley.com/documents/?uuid=d7bcbbb3-43ac-348f-808d-7e13451b99e7"]},{"id":"ITEM-2","itemData":{"DOI":"10.1021/ja0584875","ISSN":"00027863","PMID":"16637646","abstract":"To understand the structure and activity relationship of human LL-37, a series of peptide fragments was designed. The N-terminal fragment, LL-37(1-12), was not active, while the C-terminal fragment, LL-37(13-37), killed Escherichia coli, as well as drug-sensitive and drug-resistant cancer cells. A 13-residue core antibacterial and anticancer peptide, corresponding to residues 17-29 of LL-37, was identified based on total correlated spectroscopy by trimming nonessential regions (TOCSY-trim). Because LL-37 acts on bacterial membranes, three-dimensional structures of its fragments were determined in micelles by NMR, including structural refinement by natural abundance 15N and 13C chemical shifts. Aromatic-aromatic interactions in the N-terminal fragment were proposed to be essential for LL-37 aggregation. The LL-37 core peptide adopts a similar structure in the micelles of SDS or dioctanoyl phosphatidylglycerol. This structure is retained in the C-terminal fragment LL-37(13-37) and very likely in intact LL-37 based on peptide-aided signal assignments. The higher antibacterial activity of the LL-37 core peptide than aurein 1.2 was attributed to additional cationic residues. To achieve selective membrane targeting, D-amino acids were incorporated into LL-37(17-32). While the o-peptide showed similar antibacterial activity to the L-diastereomer, it lost toxicity to human cells. Structural analysis revealed hydrophobic defects in the new amphipathic structure of the D-peptide, leading to a much shorter retention time on a reversed-phase HPLC column. It is proposed that hydrophobic defects as a result of incoherent hydrophobic packing provide a structural basis for the improvement in cell selectivity of the LL-37 fragment. © 2006 American Chemical Society.","author":[{"dropping-particle":"","family":"Li","given":"Xia","non-dropping-particle":"","parse-names":false,"suffix":""},{"dropping-particle":"","family":"Li","given":"Yifeng","non-dropping-particle":"","parse-names":false,"suffix":""},{"dropping-particle":"","family":"Han","given":"Huiyun","non-dropping-particle":"","parse-names":false,"suffix":""},{"dropping-particle":"","family":"Miller","given":"Donald W.","non-dropping-particle":"","parse-names":false,"suffix":""},{"dropping-particle":"","family":"Wang","given":"Guangshun","non-dropping-particle":"","parse-names":false,"suffix":""}],"container-title":"Journal of the American Chemical Society","id":"ITEM-2","issue":"17","issued":{"date-parts":[["2006","5","3"]]},"page":"5776-5785","publisher":" American Chemical Society ","title":"Solution structures of human ll-37 fragments and NMR-based identification of a minimal membrane-targeting antimicrobial and anticancer region","type":"article-journal","volume":"128"},"uris":["http://www.mendeley.com/documents/?uuid=5fab73f7-3ec0-3858-bdb8-678bc5056e3e"]},{"id":"ITEM-3","itemData":{"DOI":"10.1074/jbc.M805533200","ISSN":"00219258","PMID":"18818205","abstract":"As a key component of the innate immunity system, human cathelicidin LL-37 plays an essential role in protecting humans against infectious diseases. To elucidate the structural basis for its targeting bacterial membrane, we have determined the high quality structure of 13C,15N-labeled LL-37 by three-dimensional triple-resonance NMR spectroscopy, because two-dimensional 1H NMR did not provide sufficient spectral resolution. The structure of LL-37 in SDS micelles is composed of a curved amphipathic helix-bend-helix motif spanning residues 2-31 followed by a disordered C-terminal tail. The helical bend is located between residues Gly-14 and Glu-16. Similar chemical shifts and 15N nuclear Overhauser effect (NOE) patterns of the peptide in complex with dioctanoylphosphatidylglycerol (D8PG) micelles indicate a similar structure. The aromatic rings of Phe-5, Phe-6, Phe-17, and Phe-27 of LL-37, as well as arginines, showed intermolecular NOE cross-peaks with D8PG, providing direct evidence for the association of the entire amphipathic helix with anionic lipid micelles. The structure of LL-37 serves as a model for understanding the structure and function relationship of homologous primate cathelicidins. Using synthetic peptides, we also identified the smallest antibacterial peptide KR-12 corresponding to residues 18-29 of LL-37. Importantly, KR-12 displayed a selective toxic effect on bacteria but not human cells. NMR structural analysis revealed a short three-turn amphipathic helix rich in positively charged side chains, allowing for effective competition for anionic phosphatidylglycerols in bacterial membranes. KR-12 may be a useful peptide template for developing novel antimicrobial agents of therapeutic use. © 2008 by The American Society for Biochemistry and Molecular Biology, Inc.","author":[{"dropping-particle":"","family":"Wang","given":"Guangshun","non-dropping-particle":"","parse-names":false,"suffix":""}],"container-title":"Journal of Biological Chemistry","id":"ITEM-3","issue":"47","issued":{"date-parts":[["2008","11","21"]]},"page":"32637-32643","publisher":"JBC Papers in Press","title":"Structures of human host defense cathelicidin LL-37 and its smallest antimicrobial peptide KR-12 in lipid micelles","type":"article-journal","volume":"283"},"uris":["http://www.mendeley.com/documents/?uuid=294d994a-bc39-377c-ac23-abb9135b8f4f"]},{"id":"ITEM-4","itemData":{"DOI":"10.1038/s41598-017-14206-1","ISSN":"20452322","PMID":"29133814","abstract":"Antimicrobial peptides as part of the mammalian innate immune system target and remove major bacterial pathogens, often through irreversible damage of their cellular membranes. To explore the mechanism by which the important cathelicidin peptide LL-37 of the human innate immune system interacts with membranes, we performed biochemical, biophysical and structural studies. The crystal structure of LL-37 displays dimers of anti-parallel helices and the formation of amphipathic surfaces. Peptide-detergent interactions introduce remodeling of this structure after occupation of defined hydrophobic sites at the dimer interface. Furthermore, hydrophobic nests are shaped between dimer structures providing another scaffold enclosing detergents. Both scaffolds underline the potential of LL-37 to form defined peptide-lipid complexes in vivo. After adopting the activated peptide conformation LL-37 can polymerize and selectively extract bacterial lipids whereby the membrane is destabilized. The supramolecular fibril-like architectures formed in crystals can be reproduced in a peptide-lipid system after nanogold-labelled LL-37 interacted with lipid vesicles as followed by electron microscopy. We suggest that these supramolecular structures represent the LL-37-membrane active state. Collectively, our study provides new insights into the fascinating plasticity of LL-37 demonstrated at atomic resolution and opens the venue for LL-37-based molecules as novel antibiotics.","author":[{"dropping-particle":"","family":"Sancho-Vaello","given":"Enea","non-dropping-particle":"","parse-names":false,"suffix":""},{"dropping-particle":"","family":"François","given":"Patrice","non-dropping-particle":"","parse-names":false,"suffix":""},{"dropping-particle":"","family":"Bonetti","given":"Eve Julie","non-dropping-particle":"","parse-names":false,"suffix":""},{"dropping-particle":"","family":"Lilie","given":"Hauke","non-dropping-particle":"","parse-names":false,"suffix":""},{"dropping-particle":"","family":"Finger","given":"Sebastian","non-dropping-particle":"","parse-names":false,"suffix":""},{"dropping-particle":"","family":"Gil-Ortiz","given":"Fernando","non-dropping-particle":"","parse-names":false,"suffix":""},{"dropping-particle":"","family":"Gil-Carton","given":"David","non-dropping-particle":"","parse-names":false,"suffix":""},{"dropping-particle":"","family":"Zeth","given":"Kornelius","non-dropping-particle":"","parse-names":false,"suffix":""}],"container-title":"Scientific Reports","id":"ITEM-4","issue":"1","issued":{"date-parts":[["2017","12","1"]]},"page":"1-11","publisher":"Nature Publishing Group","title":"Structural remodeling and oligomerization of human cathelicidin on membranes suggest fibril-like structures as active species","type":"article-journal","volume":"7"},"uris":["http://www.mendeley.com/documents/?uuid=7a2ec0b4-5bd0-35a9-88be-f2c1b9e40105"]}],"mendeley":{"formattedCitation":"&lt;sup&gt;55–58&lt;/sup&gt;","plainTextFormattedCitation":"55–58","previouslyFormattedCitation":"&lt;sup&gt;55–58&lt;/sup&gt;"},"properties":{"noteIndex":0},"schema":"https://github.com/citation-style-language/schema/raw/master/csl-citation.json"}</w:instrText>
            </w:r>
            <w:r>
              <w:fldChar w:fldCharType="separate"/>
            </w:r>
            <w:r w:rsidR="0019024E" w:rsidRPr="0019024E">
              <w:rPr>
                <w:noProof/>
                <w:vertAlign w:val="superscript"/>
              </w:rPr>
              <w:t>55–58</w:t>
            </w:r>
            <w:r>
              <w:fldChar w:fldCharType="end"/>
            </w:r>
          </w:p>
        </w:tc>
      </w:tr>
      <w:tr w:rsidR="00686AFA" w14:paraId="5C45F9D9" w14:textId="77777777" w:rsidTr="00016F6B">
        <w:trPr>
          <w:trHeight w:val="465"/>
        </w:trPr>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46EEFFD0" w14:textId="77777777" w:rsidR="00686AFA" w:rsidRDefault="00686AFA" w:rsidP="00016F6B">
            <w:pPr>
              <w:pStyle w:val="LO-normal"/>
              <w:jc w:val="both"/>
            </w:pPr>
            <w:r>
              <w:t>PGLa</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14:paraId="59D8BC08" w14:textId="77777777" w:rsidR="00686AFA" w:rsidRDefault="00686AFA" w:rsidP="00016F6B">
            <w:pPr>
              <w:pStyle w:val="LO-normal"/>
              <w:widowControl w:val="0"/>
              <w:spacing w:line="240" w:lineRule="auto"/>
            </w:pPr>
            <w:r>
              <w:t>GMASKAGAIA GKIAKVALKAL-NH</w:t>
            </w:r>
            <w:r>
              <w:rPr>
                <w:vertAlign w:val="subscript"/>
              </w:rPr>
              <w:t>2</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6AB26734" w14:textId="77777777" w:rsidR="00686AFA" w:rsidRDefault="00686AFA" w:rsidP="00016F6B">
            <w:pPr>
              <w:pStyle w:val="LO-normal"/>
              <w:widowControl w:val="0"/>
              <w:spacing w:line="240" w:lineRule="auto"/>
            </w:pPr>
            <w:r>
              <w:t>+5</w:t>
            </w:r>
          </w:p>
        </w:tc>
        <w:tc>
          <w:tcPr>
            <w:tcW w:w="1815" w:type="dxa"/>
            <w:tcBorders>
              <w:top w:val="single" w:sz="8" w:space="0" w:color="000000"/>
              <w:left w:val="single" w:sz="8" w:space="0" w:color="000000"/>
              <w:bottom w:val="single" w:sz="8" w:space="0" w:color="000000"/>
              <w:right w:val="single" w:sz="8" w:space="0" w:color="000000"/>
            </w:tcBorders>
            <w:shd w:val="clear" w:color="auto" w:fill="auto"/>
          </w:tcPr>
          <w:p w14:paraId="592E3019" w14:textId="77777777" w:rsidR="00686AFA" w:rsidRDefault="00686AFA" w:rsidP="00016F6B">
            <w:pPr>
              <w:pStyle w:val="LO-normal"/>
              <w:widowControl w:val="0"/>
              <w:spacing w:line="240" w:lineRule="auto"/>
            </w:pPr>
            <w:r>
              <w:t>α-helix</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5BF812BC" w14:textId="77777777" w:rsidR="00686AFA" w:rsidRDefault="00686AFA" w:rsidP="00016F6B">
            <w:pPr>
              <w:pStyle w:val="LO-normal"/>
              <w:widowControl w:val="0"/>
              <w:spacing w:line="240" w:lineRule="auto"/>
            </w:pP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56F3A677" w14:textId="4822D1FE" w:rsidR="00686AFA" w:rsidRDefault="00686AFA" w:rsidP="0019024E">
            <w:pPr>
              <w:pStyle w:val="LO-normal"/>
              <w:widowControl w:val="0"/>
              <w:spacing w:line="240" w:lineRule="auto"/>
            </w:pPr>
            <w:r>
              <w:fldChar w:fldCharType="begin" w:fldLock="1"/>
            </w:r>
            <w:r w:rsidR="00D217EC">
              <w:instrText>ADDIN CSL_CITATION {"citationItems":[{"id":"ITEM-1","itemData":{"DOI":"10.1016/0014-5793(88)80027-9","ISSN":"00145793","PMID":"3125066","abstract":"Previously, we described a family of novel broad spectrum antimicrobial peptides, magainins, from the skin of Xenopus laevis. In this report we show that at least two other Xenopus peptides, present in the skin and its secretions, PGLa and a peptide released from the xenopsin precursor, exhibit antimicrobial properties comparable to the magainins. The identification of these newer members provides insight into the structural diversity of vertebrate antimicrobial peptides. © 1988.","author":[{"dropping-particle":"","family":"Soravia","given":"Emilia","non-dropping-particle":"","parse-names":false,"suffix":""},{"dropping-particle":"","family":"Martini","given":"Giuseppe","non-dropping-particle":"","parse-names":false,"suffix":""},{"dropping-particle":"","family":"Zasloff","given":"Michael","non-dropping-particle":"","parse-names":false,"suffix":""}],"container-title":"FEBS Letters","id":"ITEM-1","issue":"2","issued":{"date-parts":[["1988","2","15"]]},"page":"337-340","publisher":"FEBS Lett","title":"Antimicrobial properties of peptides from Xenopus granular gland secretions","type":"article-journal","volume":"228"},"uris":["http://www.mendeley.com/documents/?uuid=829a14f1-35f5-3715-8a67-7dcf8e089e23"]},{"id":"ITEM-2","itemData":{"DOI":"10.1021/bi992146k","ISSN":"00062960","PMID":"10631006","abstract":"The antibacterial peptide PGLa exerts its activity by permeabilizing bacterial membranes whereas eukaryotic membranes are not affected. To provide insight into the selectivity and the permeabilization mechanism, the binding of PGLa to neutral and negatively charged model membranes was studied with high-sensitivity isothermal titration calorimetry (ITC), circular dichroism (CD), and solid-state deuterium nuclear magnetic resonance (2H NMR). The binding of PGLa to negatively charged phosphatidylcholine (PC)/phosphatidylglycerol (PG) (3:1) vesicles was by a factor of ~50 larger than that to neutral PC vesicles. The negatively charged membrane accumulates the cationic peptide at the lipid-water interface, thus facilitating the binding to the membrane. However, if bulk concentrations are replaced by surface concentrations, very similar binding constants are obtained for neutral and charged membranes (K ~ 800-1500 M-1). Membrane selectivity is thus caused almost exclusively by electrostatic attraction to the membrane surface and not by hydrophobic insertion. Membrane insertion is driven by an exothermic enthalpy (ΔH ~ - 11 to - 15 kcal/mol) but opposed by entropy. An important contribution to the binding process is the membrane-induced random coil → α-helix transition of PGLa. The peptide is random coil in solution but adopts an ~80% α-helical conformation when bound to the membrane. Helix formation is an exothermic process, contributing ~70% to the binding enthalpy and ~30% to the free energy of binding. The 2H NMR measurements with selectively deuterated lipids revealed small structural changes in the lipid headgroups and in the hydrocarbon interior upon peptide binding which were continuous over the whole concentration range. In contrast, isothermal titration calorimetry of PGLa solutions with PC/PG(3:1) vesicles gave rise to two processes: (i) an exothermic binding of PGLa to the membrane followed by (ii) a slower endothermic process. The latter is only detected at peptide-to- lipid ratios &gt; 17 mmol/mol and is paralleled by the induction of membrane leakiness. Dye efflux measurements are consistent with the critical limit derived from ITC measurements. The endothermic process is assigned to peptide pore formation and/or lipid perturbation. The enthalpy of pore formation is 9.7 kcal/mol of peptide. If the same excess enthalpy is assigned to the lipid phase, the lipid perturbation enthalpy is 180 cal/mol of lipid. The functional synergism between PGLa and m…","author":[{"dropping-particle":"","family":"Wieprecht","given":"Torsten","non-dropping-particle":"","parse-names":false,"suffix":""},{"dropping-particle":"","family":"Apostolov","given":"Ognjan","non-dropping-particle":"","parse-names":false,"suffix":""},{"dropping-particle":"","family":"Beyermann","given":"Michael","non-dropping-particle":"","parse-names":false,"suffix":""},{"dropping-particle":"","family":"Seelig","given":"Joachim","non-dropping-particle":"","parse-names":false,"suffix":""}],"container-title":"Biochemistry","id":"ITEM-2","issue":"2","issued":{"date-parts":[["2000","1","18"]]},"page":"442-452","publisher":" American Chemical Society ","title":"Membrane binding and pore formation of the antibacterial peptide PGLa: Thermodynamic and mechanistic aspects","type":"article-journal","volume":"39"},"uris":["http://www.mendeley.com/documents/?uuid=e2737b63-d0c9-37e0-8599-0ce009f1535b"]}],"mendeley":{"formattedCitation":"&lt;sup&gt;59,60&lt;/sup&gt;","plainTextFormattedCitation":"59,60","previouslyFormattedCitation":"&lt;sup&gt;59,60&lt;/sup&gt;"},"properties":{"noteIndex":0},"schema":"https://github.com/citation-style-language/schema/raw/master/csl-citation.json"}</w:instrText>
            </w:r>
            <w:r>
              <w:fldChar w:fldCharType="separate"/>
            </w:r>
            <w:r w:rsidR="0019024E" w:rsidRPr="0019024E">
              <w:rPr>
                <w:noProof/>
                <w:vertAlign w:val="superscript"/>
              </w:rPr>
              <w:t>59,60</w:t>
            </w:r>
            <w:r>
              <w:fldChar w:fldCharType="end"/>
            </w:r>
          </w:p>
        </w:tc>
      </w:tr>
      <w:tr w:rsidR="00686AFA" w14:paraId="54247230" w14:textId="77777777" w:rsidTr="00016F6B">
        <w:trPr>
          <w:trHeight w:val="465"/>
        </w:trPr>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038ED2C7" w14:textId="77777777" w:rsidR="00686AFA" w:rsidRDefault="00686AFA" w:rsidP="00016F6B">
            <w:pPr>
              <w:pStyle w:val="LO-normal"/>
              <w:jc w:val="both"/>
            </w:pPr>
            <w:r>
              <w:t>Magainin 2</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14:paraId="1938C0B6" w14:textId="77777777" w:rsidR="00686AFA" w:rsidRDefault="00686AFA" w:rsidP="00016F6B">
            <w:pPr>
              <w:pStyle w:val="LO-normal"/>
              <w:widowControl w:val="0"/>
              <w:spacing w:line="240" w:lineRule="auto"/>
            </w:pPr>
            <w:r>
              <w:t>GIGKFLHSAKKFGKAFVGEIMNS</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3145C43C" w14:textId="77777777" w:rsidR="00686AFA" w:rsidRDefault="00686AFA" w:rsidP="00016F6B">
            <w:pPr>
              <w:pStyle w:val="LO-normal"/>
              <w:widowControl w:val="0"/>
              <w:spacing w:line="240" w:lineRule="auto"/>
            </w:pPr>
            <w:r>
              <w:t>+3</w:t>
            </w:r>
          </w:p>
        </w:tc>
        <w:tc>
          <w:tcPr>
            <w:tcW w:w="1815" w:type="dxa"/>
            <w:tcBorders>
              <w:top w:val="single" w:sz="8" w:space="0" w:color="000000"/>
              <w:left w:val="single" w:sz="8" w:space="0" w:color="000000"/>
              <w:bottom w:val="single" w:sz="8" w:space="0" w:color="000000"/>
              <w:right w:val="single" w:sz="8" w:space="0" w:color="000000"/>
            </w:tcBorders>
            <w:shd w:val="clear" w:color="auto" w:fill="auto"/>
          </w:tcPr>
          <w:p w14:paraId="5C85FB86" w14:textId="77777777" w:rsidR="00686AFA" w:rsidRDefault="00686AFA" w:rsidP="00016F6B">
            <w:pPr>
              <w:pStyle w:val="LO-normal"/>
              <w:widowControl w:val="0"/>
              <w:spacing w:line="240" w:lineRule="auto"/>
            </w:pPr>
            <w:r>
              <w:t>α-helix</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1B0F39B2" w14:textId="77777777" w:rsidR="00686AFA" w:rsidRDefault="00686AFA" w:rsidP="00016F6B">
            <w:pPr>
              <w:pStyle w:val="LO-normal"/>
              <w:widowControl w:val="0"/>
              <w:spacing w:line="240" w:lineRule="auto"/>
            </w:pPr>
            <w:r>
              <w:t>2MAG</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3225185D" w14:textId="0D038A1B" w:rsidR="00686AFA" w:rsidRDefault="00686AFA" w:rsidP="0019024E">
            <w:pPr>
              <w:pStyle w:val="LO-normal"/>
              <w:widowControl w:val="0"/>
              <w:spacing w:line="240" w:lineRule="auto"/>
            </w:pPr>
            <w:r>
              <w:fldChar w:fldCharType="begin" w:fldLock="1"/>
            </w:r>
            <w:r w:rsidR="00D217EC">
              <w:instrText>ADDIN CSL_CITATION {"citationItems":[{"id":"ITEM-1","itemData":{"DOI":"10.1073/pnas.84.15.5449","ISSN":"00278424","PMID":"3299384","abstract":"A family of peptides with broad-spectrum antimicrobial activity has been isolated from the skin of the African clawed frog Xenopus laevis. It consists of two closely related peptides that are each 23 amino acids and differ by two substitutions. These peptides are water soluble, nonhemolytic at their effective antimicrobial concentrations, and potentially amphiphilic. At low concentrations they inhibit growth of numerous species of bacteria and fungi and induce osmotic lysis of protozoa. The sequence of a partial cDNA of the precursor reveals that both peptides derive from a common larger protein. These peptides appear to represent a previously unrecognized class of vertebrate antimicrobial activities.","author":[{"dropping-particle":"","family":"Zasloff","given":"M.","non-dropping-particle":"","parse-names":false,"suffix":""}],"container-title":"Proceedings of the National Academy of Sciences of the United States of America","id":"ITEM-1","issue":"15","issued":{"date-parts":[["1987"]]},"page":"5449-5453","publisher":"Proc Natl Acad Sci U S A","title":"Magainins, a class of antimicrobial peptides from Xenopus skin: Isolation, characterization of two active forms, and partial cDNA sequence of a precursor","type":"article-journal","volume":"84"},"uris":["http://www.mendeley.com/documents/?uuid=a3ce39c1-98ad-322a-bf1e-3a8ad072fc51"]},{"id":"ITEM-2","itemData":{"DOI":"10.1016/j.bpj.2013.01.047","ISSN":"15420086","abstract":"PGLa and magainin 2 (MAG2) are amphiphilic antimicrobial peptides from frog skin with known synergistic activity. The orientation of the two helices in membranes was studied using solid-state 15N-NMR, for each peptide alone and for a 1:1 mixture of the peptides, in a range of different lipid systems. Two types of orientational behavior emerged. 1), In lipids with negative spontaneous curvature, both peptides remain flat on the membrane surface, when assessed both alone and in a 1:1 mixture. 2), In lipids with positive spontaneous curvature, PGLa alone assumes a tilted orientation but inserts into the bilayer in a transmembrane alignment in the presence of MAG2, whereas MAG2 stays on the surface or gets only slightly tilted, when observed both alone and in the presence of PGLa. The behavior of PGLa alone is identical to that of another antimicrobial peptide, MSI-103, in the same lipid systems, indicating that the curvature-dependent helix orientation is a general feature of membrane-bound peptides and also influences their synergistic intermolecular interactions. © 2013 by the Biophysical Society.","author":[{"dropping-particle":"","family":"Strandberg","given":"Erik","non-dropping-particle":"","parse-names":false,"suffix":""},{"dropping-particle":"","family":"Zerweck","given":"Jonathan","non-dropping-particle":"","parse-names":false,"suffix":""},{"dropping-particle":"","family":"Wadhwani","given":"Parvesh","non-dropping-particle":"","parse-names":false,"suffix":""},{"dropping-particle":"","family":"Ulrich","given":"Anne S.","non-dropping-particle":"","parse-names":false,"suffix":""}],"container-title":"Biophysical Journal","id":"ITEM-2","issue":"6","issued":{"date-parts":[["2013"]]},"page":"L9","publisher":"Biophysical Society","title":"Synergistic insertion of antimicrobial magainin-Family peptides in membranes depends on the lipid spontaneous curvature","type":"article-journal","volume":"104"},"uris":["http://www.mendeley.com/documents/?uuid=dcf3c9ba-8957-3d93-9005-28a3e71883f8"]},{"id":"ITEM-3","itemData":{"DOI":"10.1023/A:1018698002314","ISSN":"09252738","PMID":"9090128","abstract":"Magainin2 is a 23-residue antibiotic peptide that disrupts the ionic gradient across certain cell membranes. Two-dimensional 1H NMR spectroscopy was used to investigate the structure of the peptide in three of the membrane environments most commonly employed in biophysical studies. Sequence-specific resonance assignments were determined for the peptide in perdeuterated dodecylphosphocholine (DPC) and sodium dodecylsulfate micelles and confirmed for the peptide in 2,2,2-trifluoroethanol solution. The secondary structure is shown to be helical in all of the solvent systems. The NMR data were used as a set of restraints for a simulated annealing protocol that generated a family of three-dimensional structures of the peptide in DPC micelles, which superimposed best between residues 4 and 20. For these residues, the mean pairwise rms difference for the backbone atoms is 0.47 ± 0.10 Å from the average structure. The calculated peptide structures appear to be curved, with the bend centered at residues Phe12 and Gly13. © 1997 ESCOM Science Publishers B.V.","author":[{"dropping-particle":"","family":"Gesell","given":"Jennifer","non-dropping-particle":"","parse-names":false,"suffix":""},{"dropping-particle":"","family":"Zasloff","given":"Michael","non-dropping-particle":"","parse-names":false,"suffix":""},{"dropping-particle":"","family":"Opella","given":"Stanley J.","non-dropping-particle":"","parse-names":false,"suffix":""}],"container-title":"Journal of Biomolecular NMR","id":"ITEM-3","issue":"2","issued":{"date-parts":[["1997"]]},"page":"127-135","publisher":"Springer Netherlands","title":"Two-dimensional 1H NMR experiments show that the 23-residue magainin antibiotic peptide is an α-helix in dodecylphosphocholine micelles, sodium dodecylsulfate micelles, and trifluoroethanol/water solution","type":"article-journal","volume":"9"},"uris":["http://www.mendeley.com/documents/?uuid=8ec2f789-da6e-39c7-bb96-b2fe678e14d6"]}],"mendeley":{"formattedCitation":"&lt;sup&gt;61–63&lt;/sup&gt;","plainTextFormattedCitation":"61–63","previouslyFormattedCitation":"&lt;sup&gt;61–63&lt;/sup&gt;"},"properties":{"noteIndex":0},"schema":"https://github.com/citation-style-language/schema/raw/master/csl-citation.json"}</w:instrText>
            </w:r>
            <w:r>
              <w:fldChar w:fldCharType="separate"/>
            </w:r>
            <w:r w:rsidR="0019024E" w:rsidRPr="0019024E">
              <w:rPr>
                <w:noProof/>
                <w:vertAlign w:val="superscript"/>
              </w:rPr>
              <w:t>61–63</w:t>
            </w:r>
            <w:r>
              <w:fldChar w:fldCharType="end"/>
            </w:r>
          </w:p>
        </w:tc>
      </w:tr>
      <w:tr w:rsidR="00686AFA" w14:paraId="09800E70" w14:textId="77777777" w:rsidTr="00016F6B">
        <w:trPr>
          <w:trHeight w:val="465"/>
        </w:trPr>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153D8371" w14:textId="77777777" w:rsidR="00686AFA" w:rsidRDefault="00686AFA" w:rsidP="00016F6B">
            <w:pPr>
              <w:pStyle w:val="LO-normal"/>
              <w:jc w:val="both"/>
            </w:pPr>
            <w:r>
              <w:t>Indolicidin</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14:paraId="73E83E05" w14:textId="77777777" w:rsidR="00686AFA" w:rsidRDefault="00686AFA" w:rsidP="00016F6B">
            <w:pPr>
              <w:pStyle w:val="LO-normal"/>
              <w:widowControl w:val="0"/>
              <w:spacing w:line="240" w:lineRule="auto"/>
            </w:pPr>
            <w:r>
              <w:t>ILPWKWPWWPWRR-NH2</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2FA039F5" w14:textId="77777777" w:rsidR="00686AFA" w:rsidRDefault="00686AFA" w:rsidP="00016F6B">
            <w:pPr>
              <w:pStyle w:val="LO-normal"/>
              <w:widowControl w:val="0"/>
              <w:spacing w:line="240" w:lineRule="auto"/>
            </w:pPr>
            <w:r>
              <w:t>+4</w:t>
            </w:r>
          </w:p>
        </w:tc>
        <w:tc>
          <w:tcPr>
            <w:tcW w:w="1815" w:type="dxa"/>
            <w:tcBorders>
              <w:top w:val="single" w:sz="8" w:space="0" w:color="000000"/>
              <w:left w:val="single" w:sz="8" w:space="0" w:color="000000"/>
              <w:bottom w:val="single" w:sz="8" w:space="0" w:color="000000"/>
              <w:right w:val="single" w:sz="8" w:space="0" w:color="000000"/>
            </w:tcBorders>
            <w:shd w:val="clear" w:color="auto" w:fill="auto"/>
          </w:tcPr>
          <w:p w14:paraId="30DC3476" w14:textId="77777777" w:rsidR="00686AFA" w:rsidRDefault="00686AFA" w:rsidP="00016F6B">
            <w:pPr>
              <w:pStyle w:val="LO-normal"/>
              <w:widowControl w:val="0"/>
              <w:spacing w:line="240" w:lineRule="auto"/>
            </w:pPr>
            <w:r>
              <w:t>Random coil/ turns</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0AD55F26" w14:textId="77777777" w:rsidR="00686AFA" w:rsidRDefault="00686AFA" w:rsidP="00016F6B">
            <w:pPr>
              <w:pStyle w:val="LO-normal"/>
              <w:widowControl w:val="0"/>
              <w:spacing w:line="240" w:lineRule="auto"/>
            </w:pPr>
            <w:r>
              <w:t>1G89</w:t>
            </w:r>
          </w:p>
          <w:p w14:paraId="36AFE4D6" w14:textId="77777777" w:rsidR="00686AFA" w:rsidRDefault="00686AFA" w:rsidP="00016F6B">
            <w:pPr>
              <w:pStyle w:val="LO-normal"/>
              <w:widowControl w:val="0"/>
              <w:spacing w:line="240" w:lineRule="auto"/>
            </w:pPr>
            <w:r>
              <w:t>1G8C</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14EAA9C8" w14:textId="677232D9" w:rsidR="00686AFA" w:rsidRDefault="00686AFA" w:rsidP="0019024E">
            <w:pPr>
              <w:pStyle w:val="LO-normal"/>
              <w:widowControl w:val="0"/>
              <w:spacing w:line="240" w:lineRule="auto"/>
            </w:pPr>
            <w:r>
              <w:fldChar w:fldCharType="begin" w:fldLock="1"/>
            </w:r>
            <w:r w:rsidR="00D217EC">
              <w:instrText>ADDIN CSL_CITATION {"citationItems":[{"id":"ITEM-1","itemData":{"DOI":"10.1016/s0021-9258(18)42830-x","ISSN":"00219258","PMID":"1537821","abstract":"A potent and structurally novel antimicrobial peptide was purified from the cytoplasmic granules of bovine neutrophils. Suspensions of Staphylococcus aureus and Escherichia coli were virtually sterilized by the peptide at a concentration of 10 μg/ml. The peptide was found to be comprised of 13 amino acids, 5 of which were tryptophan residues, and the carboxyl-terminal arginine was carboxamidated. The primary structure of the peptide, which we have named indolicidin, is H-Ile-Leu-Pro-Trp-Lys-Trp-Pro-Trp-Trp-Pro-Trp-Arg- Arg-NH2. The mole percent of tryptophan in indolicidin is the highest observed among known protein sequences. The multiple tryptophan residues presumably play an important role in the function of this unique antibiotic peptide.","author":[{"dropping-particle":"","family":"Selsted","given":"M. E.","non-dropping-particle":"","parse-names":false,"suffix":""},{"dropping-particle":"","family":"Novotny","given":"M. J.","non-dropping-particle":"","parse-names":false,"suffix":""},{"dropping-particle":"","family":"Morris","given":"W. L.","non-dropping-particle":"","parse-names":false,"suffix":""},{"dropping-particle":"","family":"Tang","given":"Y. Q.","non-dropping-particle":"","parse-names":false,"suffix":""},{"dropping-particle":"","family":"Smith","given":"W.","non-dropping-particle":"","parse-names":false,"suffix":""},{"dropping-particle":"","family":"Cullor","given":"J. S.","non-dropping-particle":"","parse-names":false,"suffix":""}],"container-title":"Journal of Biological Chemistry","id":"ITEM-1","issue":"7","issued":{"date-parts":[["1992","3","1"]]},"page":"4292-4295","title":"Indolicidin, a novel bactericidal tridecapeptide amide from neutrophils","type":"article-journal","volume":"267"},"uris":["http://www.mendeley.com/documents/?uuid=65c603b4-cac0-3b3d-8958-4bdac1442548"]},{"id":"ITEM-2","itemData":{"DOI":"10.1016/j.bbamem.2006.07.013","ISSN":"00052736","PMID":"16956577","abstract":"Structural changes for a series of antimicrobial peptides in various solvents were investigated by a combined approach of FTIR and CD spectroscopy. The well-characterized and potent antimicrobial peptides indolicidin and tritrpticin were studied along with several analogs of tritrpticin, including Tritrp1 (amidated analog of tritrpticin), Tritrp2 (analog of Tritrp1 with Arg → Lys substitutions), Tritrp3 (analog of Tritrp1 with Pro → Ala substitutions) and Tritrp4 (analog of Tritrp1 with Trp → Tyr substitutions). All peptides were studied in aqueous buffer, ethanol and in the presence of dodecylphosphocholine (DPC) micelles. It was shown that tritrpticin and its analogs preferentially adopt turn structures in all solvents studied. The turn structures formed by the tritrpticin analogs bound to DPC micelles are more compact and more conformationally restricted compared to indolicidin. While several peptides showed a slight propensity for an α-helical conformation in ethanol, this trend was only strong for Tritrp3, which also adopted a largely α-helical structure with DPC micelles. Tritrp3 also demonstrated along with Tritrp1 the highest ability to interact with DPC micelles, while Tritrp2 and Tritrp4 showed the weakest interaction. © 2006 Elsevier B.V. All rights reserved.","author":[{"dropping-particle":"V.","family":"Andrushchenko","given":"Valery","non-dropping-particle":"","parse-names":false,"suffix":""},{"dropping-particle":"","family":"Vogel","given":"Hans J.","non-dropping-particle":"","parse-names":false,"suffix":""},{"dropping-particle":"","family":"Prenner","given":"Elmar J.","non-dropping-particle":"","parse-names":false,"suffix":""}],"container-title":"Biochimica et Biophysica Acta - Biomembranes","id":"ITEM-2","issue":"10","issued":{"date-parts":[["2006","10","1"]]},"page":"1596-1608","publisher":"Elsevier","title":"Solvent-dependent structure of two tryptophan-rich antimicrobial peptides and their analogs studied by FTIR and CD spectroscopy","type":"article-journal","volume":"1758"},"uris":["http://www.mendeley.com/documents/?uuid=f69e0106-326d-3346-960b-ca794632a3b2"]},{"id":"ITEM-3","itemData":{"DOI":"10.1021/bi000714m","ISSN":"00062960","PMID":"11123901","abstract":"Indolicidin is a cationic, 13-residue antimicrobial peptide (ILPWKWPWWPWRR-NH2) which is unusually rich in tryptophan and proline. Its antimicrobial action involves the bacterial cytoplasmic membrane. Fluorescence and circular dichroism spectra demonstrated the structural similarity of indolicidin in complexes with large unilamellar phospolipid vesicles and with detergent micelles. The structure of indolicidin bound to zwitterionic dodecylphosphocholine (DPC) and anionic sodium dodecyl sulfate (SDS) micelles was determined using NMR methods and shown to represent a unique membrane-associated peptide structure. The backbone structure in DPC, well defined between residues 3 and 11, was extended, with two half-turns at residues Lys-5 and Trp-8. The backbone structure in SDS, well defined between residues 5 and 11, was also extended, but lacked the bend in the C-terminal half. Indolicidin in complexes with DPC had a central hydrophobic core composed of proline and tryptophan, which was bracketed by positively charged regions near the peptide termini. The tryptophan side chains, with one exception, folded flat against the peptide backbone, thus giving the molecule a wedge shape. Indolicidin in complexes with SDS had an arrangement of hydrophobic and cationic regions similar to that found in the presence of DPC. The tryptophan side chains were less well defined than for indolicidin in DPC and extended away from the peptide backbone. The preferred location of indolicidin in DPC micelles and lipid bilayers, analyzed using spin-label probes, was at the membrane interface.","author":[{"dropping-particle":"","family":"Rozek","given":"A.","non-dropping-particle":"","parse-names":false,"suffix":""},{"dropping-particle":"","family":"Friedrich","given":"C. L.","non-dropping-particle":"","parse-names":false,"suffix":""},{"dropping-particle":"","family":"Hancock","given":"R. E.W.","non-dropping-particle":"","parse-names":false,"suffix":""}],"container-title":"Biochemistry","id":"ITEM-3","issue":"51","issued":{"date-parts":[["2000","12","26"]]},"page":"15765-15774","publisher":" American Chemical Society ","title":"Structure of the bovine antimicrobial peptide indolicidin bound to dodecylphosphocholine and sodium dodecyl sulfate micelles","type":"article-journal","volume":"39"},"uris":["http://www.mendeley.com/documents/?uuid=4011d46d-567b-3988-80f1-34d691fad82f"]}],"mendeley":{"formattedCitation":"&lt;sup&gt;64–66&lt;/sup&gt;","plainTextFormattedCitation":"64–66","previouslyFormattedCitation":"&lt;sup&gt;64–66&lt;/sup&gt;"},"properties":{"noteIndex":0},"schema":"https://github.com/citation-style-language/schema/raw/master/csl-citation.json"}</w:instrText>
            </w:r>
            <w:r>
              <w:fldChar w:fldCharType="separate"/>
            </w:r>
            <w:r w:rsidR="0019024E" w:rsidRPr="0019024E">
              <w:rPr>
                <w:noProof/>
                <w:vertAlign w:val="superscript"/>
              </w:rPr>
              <w:t>64–66</w:t>
            </w:r>
            <w:r>
              <w:fldChar w:fldCharType="end"/>
            </w:r>
          </w:p>
        </w:tc>
      </w:tr>
      <w:tr w:rsidR="00686AFA" w14:paraId="1B86C1F7" w14:textId="77777777" w:rsidTr="00016F6B">
        <w:trPr>
          <w:trHeight w:val="465"/>
        </w:trPr>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10B69BAF" w14:textId="77777777" w:rsidR="00686AFA" w:rsidRDefault="00686AFA" w:rsidP="00016F6B">
            <w:pPr>
              <w:pStyle w:val="LO-normal"/>
              <w:jc w:val="both"/>
            </w:pPr>
            <w:r>
              <w:t>Alamethicin</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14:paraId="487F3681" w14:textId="77777777" w:rsidR="00686AFA" w:rsidRDefault="00686AFA" w:rsidP="00016F6B">
            <w:pPr>
              <w:pStyle w:val="LO-normal"/>
              <w:widowControl w:val="0"/>
              <w:spacing w:line="240" w:lineRule="auto"/>
            </w:pPr>
            <w:r>
              <w:t>Ac-(Aib)P(Aib)A(Aib)AQ(Aib)V(Aib)GL(Aib)PV(Aib)(Aib)EQ(Phl)</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535AD9F7" w14:textId="77777777" w:rsidR="00686AFA" w:rsidRDefault="00686AFA" w:rsidP="00016F6B">
            <w:pPr>
              <w:pStyle w:val="LO-normal"/>
              <w:widowControl w:val="0"/>
              <w:spacing w:line="240" w:lineRule="auto"/>
            </w:pPr>
            <w:r>
              <w:t>0</w:t>
            </w:r>
          </w:p>
        </w:tc>
        <w:tc>
          <w:tcPr>
            <w:tcW w:w="1815" w:type="dxa"/>
            <w:tcBorders>
              <w:top w:val="single" w:sz="8" w:space="0" w:color="000000"/>
              <w:left w:val="single" w:sz="8" w:space="0" w:color="000000"/>
              <w:bottom w:val="single" w:sz="8" w:space="0" w:color="000000"/>
              <w:right w:val="single" w:sz="8" w:space="0" w:color="000000"/>
            </w:tcBorders>
            <w:shd w:val="clear" w:color="auto" w:fill="auto"/>
          </w:tcPr>
          <w:p w14:paraId="5F68B02C" w14:textId="77777777" w:rsidR="00686AFA" w:rsidRDefault="00686AFA" w:rsidP="00016F6B">
            <w:pPr>
              <w:pStyle w:val="LO-normal"/>
              <w:widowControl w:val="0"/>
              <w:spacing w:line="240" w:lineRule="auto"/>
            </w:pPr>
            <w:r>
              <w:t>α-helix</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4E3B60D9" w14:textId="77777777" w:rsidR="00686AFA" w:rsidRDefault="00686AFA" w:rsidP="00016F6B">
            <w:pPr>
              <w:pStyle w:val="LO-normal"/>
              <w:widowControl w:val="0"/>
              <w:spacing w:line="240" w:lineRule="auto"/>
            </w:pPr>
            <w:r>
              <w:t>1AMT</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56FF4F01" w14:textId="33191523" w:rsidR="00686AFA" w:rsidRDefault="00686AFA" w:rsidP="0019024E">
            <w:pPr>
              <w:pStyle w:val="LO-normal"/>
              <w:widowControl w:val="0"/>
              <w:spacing w:line="240" w:lineRule="auto"/>
            </w:pPr>
            <w:r>
              <w:fldChar w:fldCharType="begin" w:fldLock="1"/>
            </w:r>
            <w:r w:rsidR="00D217EC">
              <w:instrText>ADDIN CSL_CITATION {"citationItems":[{"id":"ITEM-1","itemData":{"DOI":"10.1007/BF02135929","ISSN":"00144754","PMID":"4962017","author":[{"dropping-particle":"","family":"Meyer","given":"C. E.","non-dropping-particle":"","parse-names":false,"suffix":""},{"dropping-particle":"","family":"Reusser","given":"F.","non-dropping-particle":"","parse-names":false,"suffix":""}],"container-title":"Experientia","id":"ITEM-1","issue":"2","issued":{"date-parts":[["1967","2"]]},"page":"85-86","publisher":"Birkhäuser-Verlag","title":"A polypeptide antibacterial agent isolated from Trichoderma viride","type":"article-journal","volume":"23"},"uris":["http://www.mendeley.com/documents/?uuid=c68c59bb-27c3-3c86-a3de-188376281463"]},{"id":"ITEM-2","itemData":{"DOI":"10.1038/300325a0","ISSN":"00280836","PMID":"6292726","abstract":"The crystal structure of alamethicin in nonaqueous solvent has been determined, and refined at 1.5-Å resolution. The molecular conformation of the three crystallographically independent molecules is largely α-helical with a bend in the helix axis at an internal proline residue. The helix structure is highly amphipathic as most of the solvent-accessible polar atoms lie on a narrow strip of surface parallel to the helix axis. Molecular models for the voltage-gated ion channel, with n-fold symmetry and based on the molecular conformations observed in the crystal, are characterized by strong surface complementarity, a hydrophilic interior and a hydrophobic exterior. The channel structures are stabilized by a hydrated annulus of hydrogen-bonded glutamine residues which produce the greatest restriction in the channel diameter. © 1982 Nature Publishing Group.","author":[{"dropping-particle":"","family":"Fox","given":"Robert O.","non-dropping-particle":"","parse-names":false,"suffix":""},{"dropping-particle":"","family":"Richards","given":"Frederic M.","non-dropping-particle":"","parse-names":false,"suffix":""}],"container-title":"Nature","id":"ITEM-2","issue":"5890","issued":{"date-parts":[["1982"]]},"page":"325-330","publisher":"Nature Publishing Group","title":"A voltage-gated ion channel model inferred from the crystal structure of alamethicin at 1.5-Å resolution","type":"article-journal","volume":"300"},"uris":["http://www.mendeley.com/documents/?uuid=2110ec7a-a799-3b15-83e6-78882c036008"]}],"mendeley":{"formattedCitation":"&lt;sup&gt;67,68&lt;/sup&gt;","plainTextFormattedCitation":"67,68","previouslyFormattedCitation":"&lt;sup&gt;67,68&lt;/sup&gt;"},"properties":{"noteIndex":0},"schema":"https://github.com/citation-style-language/schema/raw/master/csl-citation.json"}</w:instrText>
            </w:r>
            <w:r>
              <w:fldChar w:fldCharType="separate"/>
            </w:r>
            <w:r w:rsidR="0019024E" w:rsidRPr="0019024E">
              <w:rPr>
                <w:noProof/>
                <w:vertAlign w:val="superscript"/>
              </w:rPr>
              <w:t>67,68</w:t>
            </w:r>
            <w:r>
              <w:fldChar w:fldCharType="end"/>
            </w:r>
          </w:p>
        </w:tc>
      </w:tr>
      <w:tr w:rsidR="00686AFA" w14:paraId="4429E59D" w14:textId="77777777" w:rsidTr="00016F6B">
        <w:trPr>
          <w:trHeight w:val="465"/>
        </w:trPr>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1BCBEA16" w14:textId="77777777" w:rsidR="00686AFA" w:rsidRDefault="00686AFA" w:rsidP="00016F6B">
            <w:pPr>
              <w:pStyle w:val="LO-normal"/>
              <w:jc w:val="both"/>
            </w:pPr>
            <w:r>
              <w:t>Protegrin-1</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14:paraId="78E02129" w14:textId="77777777" w:rsidR="00686AFA" w:rsidRDefault="00686AFA" w:rsidP="00016F6B">
            <w:pPr>
              <w:pStyle w:val="LO-normal"/>
              <w:widowControl w:val="0"/>
              <w:spacing w:line="240" w:lineRule="auto"/>
            </w:pPr>
            <w:r>
              <w:t>RGGRLCYCRRRFCVCVGR-NH</w:t>
            </w:r>
            <w:r>
              <w:rPr>
                <w:vertAlign w:val="subscript"/>
              </w:rPr>
              <w:t>2</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4965138F" w14:textId="77777777" w:rsidR="00686AFA" w:rsidRDefault="00686AFA" w:rsidP="00016F6B">
            <w:pPr>
              <w:pStyle w:val="LO-normal"/>
              <w:widowControl w:val="0"/>
              <w:spacing w:line="240" w:lineRule="auto"/>
            </w:pPr>
            <w:r>
              <w:t>+7</w:t>
            </w:r>
          </w:p>
        </w:tc>
        <w:tc>
          <w:tcPr>
            <w:tcW w:w="1815" w:type="dxa"/>
            <w:tcBorders>
              <w:top w:val="single" w:sz="8" w:space="0" w:color="000000"/>
              <w:left w:val="single" w:sz="8" w:space="0" w:color="000000"/>
              <w:bottom w:val="single" w:sz="8" w:space="0" w:color="000000"/>
              <w:right w:val="single" w:sz="8" w:space="0" w:color="000000"/>
            </w:tcBorders>
            <w:shd w:val="clear" w:color="auto" w:fill="auto"/>
          </w:tcPr>
          <w:p w14:paraId="45AC43EB" w14:textId="77777777" w:rsidR="00686AFA" w:rsidRDefault="00686AFA" w:rsidP="00016F6B">
            <w:pPr>
              <w:pStyle w:val="LO-normal"/>
              <w:widowControl w:val="0"/>
              <w:spacing w:line="240" w:lineRule="auto"/>
            </w:pPr>
            <w:r>
              <w:t xml:space="preserve">Antiparallel β-sheet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7CB66895" w14:textId="77777777" w:rsidR="00686AFA" w:rsidRDefault="00686AFA" w:rsidP="00016F6B">
            <w:pPr>
              <w:pStyle w:val="LO-normal"/>
              <w:widowControl w:val="0"/>
              <w:spacing w:line="240" w:lineRule="auto"/>
            </w:pPr>
            <w:r>
              <w:t>1PG1</w:t>
            </w:r>
          </w:p>
          <w:p w14:paraId="7CD710A4" w14:textId="77777777" w:rsidR="00686AFA" w:rsidRDefault="00686AFA" w:rsidP="00016F6B">
            <w:pPr>
              <w:pStyle w:val="LO-normal"/>
              <w:widowControl w:val="0"/>
              <w:spacing w:line="240" w:lineRule="auto"/>
            </w:pPr>
            <w:r>
              <w:t>1ZY6</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61A64ECC" w14:textId="143E164C" w:rsidR="00686AFA" w:rsidRDefault="00686AFA" w:rsidP="0019024E">
            <w:pPr>
              <w:pStyle w:val="LO-normal"/>
              <w:widowControl w:val="0"/>
              <w:spacing w:line="240" w:lineRule="auto"/>
            </w:pPr>
            <w:r>
              <w:fldChar w:fldCharType="begin" w:fldLock="1"/>
            </w:r>
            <w:r w:rsidR="00D217EC">
              <w:instrText>ADDIN CSL_CITATION {"citationItems":[{"id":"ITEM-1","itemData":{"DOI":"10.1016/S1074-5521(96)90145-3","ISSN":"10745521","abstract":"Background: The protegrins are a family of arginine- and cysteine-rich cationic peptides found in porcine leukocytes that exhibit a broad range of antimicrobial and antiviral activities. They are composed of 16-18 amino- acid residues including four cysteines, which form two disulfide linkages. To begin to understand the mechanism of action of these peptides, we set out to determine the structure of protegrin-1 (PG-1). Results: We used two- dimensional homonuclear nuclear magnetic resonance spectroscopy to study the conformation of both natural and synthetic PG-1 under several conditions. A refined three-dimensional structure of synthetic PG-1 is presented. Conclusions: Both synthetic and natural protegrin-1 form a well-defined structure in solution composed primarily of a two-stranded antiparallel β sheet, with strands connected by a β turn. The structure of PG-1 suggests ways in which the peptide may interact with itself or other molecules to form the membrane pores and the large membrane-associated assemblages observed in protegrin-treated, gram-negative bacteria.","author":[{"dropping-particle":"","family":"Fahrner","given":"Richard L.","non-dropping-particle":"","parse-names":false,"suffix":""},{"dropping-particle":"","family":"Dieckmann","given":"Thorsten","non-dropping-particle":"","parse-names":false,"suffix":""},{"dropping-particle":"","family":"Harwig","given":"Sylvia S.L.","non-dropping-particle":"","parse-names":false,"suffix":""},{"dropping-particle":"","family":"Lehrer","given":"Robert I.","non-dropping-particle":"","parse-names":false,"suffix":""},{"dropping-particle":"","family":"Eisenberg","given":"David","non-dropping-particle":"","parse-names":false,"suffix":""},{"dropping-particle":"","family":"Feigon","given":"Juli","non-dropping-particle":"","parse-names":false,"suffix":""}],"container-title":"Chemistry and Biology","id":"ITEM-1","issue":"7","issued":{"date-parts":[["1996"]]},"page":"543-550","publisher":"Elsevier Ltd","title":"Solution structure of protegrin-1, a broad-spectrum antimicrobial peptide from porcine leukocytes","type":"article-journal","volume":"3"},"uris":["http://www.mendeley.com/documents/?uuid=c5ae4a0f-6e1d-310e-b7c6-c0edf6988e9a"]},{"id":"ITEM-2","itemData":{"DOI":"10.1016/0014-5793(93)80175-T","ISSN":"00145793","PMID":"8335113","abstract":"Porcine leukocytes contained three homologous peptides, PG-1, 2 and 3, that manifested potent microbicidal activity against Escherichia coli, Listeria monocytogenes and Candida albicans in vitro. The peptides ('protegrins') were composed of 16 (PG-2) or 18 amino acid residues, and, like tachyplesins (broad-spectrum antibiotic peptides of horseshoe crab hemocytes), they contained two intramolecular cystine disulfide bonds. Considerably smaller than defensins, protegrins nevertheless showed substantial homology to them, especially to the 'corticostatic' rabbit defensin, NP-3a. The relatively simple structure of protegrins should provide useful prototypes for constructing congeners with selectively enhanced host defense activities. © 1993.","author":[{"dropping-particle":"","family":"Kokryakov","given":"Vladimir N.","non-dropping-particle":"","parse-names":false,"suffix":""},{"dropping-particle":"","family":"Harwig","given":"Sylvia S.L.","non-dropping-particle":"","parse-names":false,"suffix":""},{"dropping-particle":"","family":"Panyutich","given":"Elena A.","non-dropping-particle":"","parse-names":false,"suffix":""},{"dropping-particle":"","family":"Shevchenko","given":"Andrei A.","non-dropping-particle":"","parse-names":false,"suffix":""},{"dropping-particle":"","family":"Aleshina","given":"Galina M.","non-dropping-particle":"","parse-names":false,"suffix":""},{"dropping-particle":"V.","family":"Shamova","given":"Olga","non-dropping-particle":"","parse-names":false,"suffix":""},{"dropping-particle":"","family":"Korneva","given":"Helen A.","non-dropping-particle":"","parse-names":false,"suffix":""},{"dropping-particle":"","family":"Lehrer","given":"Robert I.","non-dropping-particle":"","parse-names":false,"suffix":""}],"container-title":"FEBS Letters","id":"ITEM-2","issue":"2","issued":{"date-parts":[["1993","7","26"]]},"page":"231-236","publisher":"FEBS Lett","title":"Protegrins: leukocyte antimicrobial peptides that combine features of corticostatic defensins and tachyplesins","type":"article-journal","volume":"327"},"uris":["http://www.mendeley.com/documents/?uuid=f922f202-06e0-3926-a9af-44ac052683c4"]},{"id":"ITEM-3","itemData":{"DOI":"10.1021/bi060305b","ISSN":"00062960","PMID":"16819833","abstract":"The intermolecular packing of a β-hairpin antimicrobial peptide, PG-1, in lipid bilayers is determined using solid-state NMR distance measurements. Previous spin counting experiments showed that PG-1 associates as dimers in POPC bilayers; however, the detailed dimer structure was unknown. We have now measured several intermolecular 13C-19F, 1H-13C, and 15N-13C distances in site-specifically labeled PG-1 to constrain the structure of the intermolecular interface. The distances are measured using the rotational-echo double-resonance (REDOR) technique under magic-angle spinning. The results indicate that two PG-1 molecules align in a parallel fashion with the C-terminal strand of the hairpin forming the dimer interface. Six hydrogen bonds stabilize this interface, and the Phe12 side chain adopts the g- conformation in the membrane as in solution. The parallel packing of the peptide in the lipid bilayer differs from the antiparallel dimer found in DPC micelles and may be stabilized by its strong amphipathic character, which should facilitate its insertion into the amphipathic lipid bilayer. This study demonstrates the utility of the REDOR NMR technique for the elucidation of the oligomeric structure of membrane proteins. © 2006 American Chemical Society.","author":[{"dropping-particle":"","family":"Mani","given":"R.","non-dropping-particle":"","parse-names":false,"suffix":""},{"dropping-particle":"","family":"Tang","given":"M.","non-dropping-particle":"","parse-names":false,"suffix":""},{"dropping-particle":"","family":"Wu","given":"X.","non-dropping-particle":"","parse-names":false,"suffix":""},{"dropping-particle":"","family":"Buffy","given":"J. J.","non-dropping-particle":"","parse-names":false,"suffix":""},{"dropping-particle":"","family":"Waring","given":"A. J.","non-dropping-particle":"","parse-names":false,"suffix":""},{"dropping-particle":"","family":"Sherman","given":"M. A.","non-dropping-particle":"","parse-names":false,"suffix":""},{"dropping-particle":"","family":"Hong","given":"M.","non-dropping-particle":"","parse-names":false,"suffix":""}],"container-title":"Biochemistry","id":"ITEM-3","issue":"27","issued":{"date-parts":[["2006","7","11"]]},"page":"8341-8349","publisher":"Biochemistry","title":"Membrane-bound dimer structure of a β-hairpin antimicrobial peptide from rotational-echo double-resonance solid-state NMR","type":"article-journal","volume":"45"},"uris":["http://www.mendeley.com/documents/?uuid=bab2a993-35fe-38ba-afdb-ecb7fba44632"]}],"mendeley":{"formattedCitation":"&lt;sup&gt;69–71&lt;/sup&gt;","plainTextFormattedCitation":"69–71","previouslyFormattedCitation":"&lt;sup&gt;69–71&lt;/sup&gt;"},"properties":{"noteIndex":0},"schema":"https://github.com/citation-style-language/schema/raw/master/csl-citation.json"}</w:instrText>
            </w:r>
            <w:r>
              <w:fldChar w:fldCharType="separate"/>
            </w:r>
            <w:r w:rsidR="0019024E" w:rsidRPr="0019024E">
              <w:rPr>
                <w:noProof/>
                <w:vertAlign w:val="superscript"/>
              </w:rPr>
              <w:t>69–71</w:t>
            </w:r>
            <w:r>
              <w:fldChar w:fldCharType="end"/>
            </w:r>
          </w:p>
        </w:tc>
      </w:tr>
      <w:tr w:rsidR="00686AFA" w14:paraId="391177BA" w14:textId="77777777" w:rsidTr="00016F6B">
        <w:trPr>
          <w:trHeight w:val="465"/>
        </w:trPr>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165A9B65" w14:textId="77777777" w:rsidR="00686AFA" w:rsidRDefault="00686AFA" w:rsidP="00016F6B">
            <w:pPr>
              <w:pStyle w:val="LO-normal"/>
              <w:jc w:val="both"/>
            </w:pPr>
            <w:r>
              <w:t>Maculatin</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14:paraId="2D081FA0" w14:textId="77777777" w:rsidR="00686AFA" w:rsidRDefault="00686AFA" w:rsidP="00016F6B">
            <w:pPr>
              <w:pStyle w:val="LO-normal"/>
              <w:widowControl w:val="0"/>
              <w:spacing w:line="240" w:lineRule="auto"/>
            </w:pPr>
            <w:r>
              <w:t>GLFGVLAKVAAHVVPAIAEHF-NH</w:t>
            </w:r>
            <w:r>
              <w:rPr>
                <w:vertAlign w:val="subscript"/>
              </w:rPr>
              <w:t>2</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2BB1FDDD" w14:textId="77777777" w:rsidR="00686AFA" w:rsidRDefault="00686AFA" w:rsidP="00016F6B">
            <w:pPr>
              <w:pStyle w:val="LO-normal"/>
              <w:widowControl w:val="0"/>
              <w:spacing w:line="240" w:lineRule="auto"/>
            </w:pPr>
            <w:r>
              <w:t>+4</w:t>
            </w:r>
          </w:p>
        </w:tc>
        <w:tc>
          <w:tcPr>
            <w:tcW w:w="1815" w:type="dxa"/>
            <w:tcBorders>
              <w:top w:val="single" w:sz="8" w:space="0" w:color="000000"/>
              <w:left w:val="single" w:sz="8" w:space="0" w:color="000000"/>
              <w:bottom w:val="single" w:sz="8" w:space="0" w:color="000000"/>
              <w:right w:val="single" w:sz="8" w:space="0" w:color="000000"/>
            </w:tcBorders>
            <w:shd w:val="clear" w:color="auto" w:fill="auto"/>
          </w:tcPr>
          <w:p w14:paraId="6664DEB9" w14:textId="77777777" w:rsidR="00686AFA" w:rsidRDefault="00686AFA" w:rsidP="00016F6B">
            <w:pPr>
              <w:pStyle w:val="LO-normal"/>
              <w:widowControl w:val="0"/>
              <w:spacing w:line="240" w:lineRule="auto"/>
            </w:pPr>
            <w:r>
              <w:t>α-helix</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46C15E6F" w14:textId="77777777" w:rsidR="00686AFA" w:rsidRDefault="00686AFA" w:rsidP="00016F6B">
            <w:pPr>
              <w:pStyle w:val="LO-normal"/>
              <w:widowControl w:val="0"/>
              <w:spacing w:line="240" w:lineRule="auto"/>
            </w:pPr>
            <w:r>
              <w:t>2MMJ</w:t>
            </w:r>
          </w:p>
          <w:p w14:paraId="0350B280" w14:textId="77777777" w:rsidR="00686AFA" w:rsidRDefault="00686AFA" w:rsidP="00016F6B">
            <w:pPr>
              <w:pStyle w:val="LO-normal"/>
              <w:widowControl w:val="0"/>
              <w:spacing w:line="240" w:lineRule="auto"/>
            </w:pPr>
            <w:r>
              <w:t>2MN9</w:t>
            </w:r>
          </w:p>
          <w:p w14:paraId="49DC9ABD" w14:textId="77777777" w:rsidR="00686AFA" w:rsidRDefault="00686AFA" w:rsidP="00016F6B">
            <w:pPr>
              <w:pStyle w:val="LO-normal"/>
              <w:widowControl w:val="0"/>
              <w:spacing w:line="240" w:lineRule="auto"/>
            </w:pPr>
            <w:r>
              <w:t>2MN8</w:t>
            </w:r>
          </w:p>
          <w:p w14:paraId="2F290E05" w14:textId="77777777" w:rsidR="00686AFA" w:rsidRDefault="00686AFA" w:rsidP="00016F6B">
            <w:pPr>
              <w:pStyle w:val="LO-normal"/>
              <w:widowControl w:val="0"/>
              <w:spacing w:line="240" w:lineRule="auto"/>
            </w:pPr>
            <w:r>
              <w:t>(G15 analogue)</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550B99A0" w14:textId="0DEC5A36" w:rsidR="00686AFA" w:rsidRDefault="00686AFA" w:rsidP="0019024E">
            <w:pPr>
              <w:pStyle w:val="LO-normal"/>
              <w:widowControl w:val="0"/>
              <w:spacing w:line="240" w:lineRule="auto"/>
            </w:pPr>
            <w:r>
              <w:fldChar w:fldCharType="begin" w:fldLock="1"/>
            </w:r>
            <w:r w:rsidR="00D217EC">
              <w:instrText>ADDIN CSL_CITATION {"citationItems":[{"id":"ITEM-1","itemData":{"DOI":"10.1016/j.febslet.2014.07.016","ISSN":"18733468","PMID":"25063337","abstract":"The inclusion of peptoid monomers into antimicrobial peptides (AMPs) increases their proteolytic resistance, but introduces conformational flexibility (reduced hydrogen bonding ability and cis/trans isomerism). We here use NMR spectroscopy to answer how the insertion of a peptoid monomer influences the structure of a regular α-helical AMP upon interaction with a dodecyl phosphocholine (DPC) micelle. Insertion of [(2-methylpropyl)amino]acetic acid in maculatin-G15 shows that the structural change and conformational flexibility depends on the site of insertion. This is governed by the micelle interaction of the amphipathic helices flanking the peptoid monomer and the side chain properties of the peptoid and its preceding residue. © 2014 Federation of European Biochemical Societies. Published by Elsevier B.V. All rights reserved.","author":[{"dropping-particle":"","family":"Uggerhøj","given":"Lars Erik","non-dropping-particle":"","parse-names":false,"suffix":""},{"dropping-particle":"","family":"Munk","given":"Jens K.","non-dropping-particle":"","parse-names":false,"suffix":""},{"dropping-particle":"","family":"Hansen","given":"Paul R.","non-dropping-particle":"","parse-names":false,"suffix":""},{"dropping-particle":"","family":"Güntert","given":"Peter","non-dropping-particle":"","parse-names":false,"suffix":""},{"dropping-particle":"","family":"Wimmer","given":"Reinhard","non-dropping-particle":"","parse-names":false,"suffix":""}],"container-title":"FEBS Letters","id":"ITEM-1","issue":"17","issued":{"date-parts":[["2014","8","25"]]},"page":"3291-3297","publisher":"Elsevier B.V.","title":"Structural features of peptoid-peptide hybrids in lipid-water interfaces","type":"article-journal","volume":"588"},"uris":["http://www.mendeley.com/documents/?uuid=3aa30fe8-ec0a-308c-b0c4-75186f2e37cc"]},{"id":"ITEM-2","itemData":{"DOI":"10.1002/(SICI)1099-1387(199804)4:2&lt;111::AID-PSC134&gt;3.0.CO;2-8","ISSN":"10752617","PMID":"9620615","abstract":"Six peptides have been isolated and characterized from the dorsal glands of the tree frog Litoria genimaculata. One of these is the known hypotensive peptide caerulein; the others have been named maculatins. The amino acid sequences of the maculatin peptides have been determined using a combination of fast atom bombardment mass spectrometry and automated Edman sequencing. Four of the maculatin peptides show antibiotic activity, with maculatin 1.1 [GLFGVLAKVAAHVVPAIAEHF(NH2)] showing the most pronounced activity, particularly against Gram-positive organisms. Maculatin 1.1 resembles the known caerin 1 antibiotic peptides, except that four of the central amino acid residues (of the caerin 1 system) are missing in maculatin 1.1. A comparison of the antibiotic activity of maculatin 1.1 with those of caerin 1.1 is reported. © 1998 European Peptide Society and John Wiley &amp; Sons, Ltd.","author":[{"dropping-particle":"","family":"Rozek","given":"Tomas","non-dropping-particle":"","parse-names":false,"suffix":""},{"dropping-particle":"","family":"Waugh","given":"Russell J.","non-dropping-particle":"","parse-names":false,"suffix":""},{"dropping-particle":"","family":"Steinborner","given":"Simon T.","non-dropping-particle":"","parse-names":false,"suffix":""},{"dropping-particle":"","family":"Bowie","given":"John H.","non-dropping-particle":"","parse-names":false,"suffix":""},{"dropping-particle":"","family":"Tyler","given":"Michael J.","non-dropping-particle":"","parse-names":false,"suffix":""},{"dropping-particle":"","family":"Wallace","given":"John C.","non-dropping-particle":"","parse-names":false,"suffix":""}],"container-title":"Journal of Peptide Science","id":"ITEM-2","issue":"2","issued":{"date-parts":[["1998"]]},"page":"111-115","publisher":"John Wiley and Sons Ltd","title":"The maculatin peptides from the skin glands of the tree frog Litoria genimaculata. A comparison of the structures and antibacterial activities of maculatin 1.1 and caerin 1.1","type":"article-journal","volume":"4"},"uris":["http://www.mendeley.com/documents/?uuid=45c67e68-53e3-3a25-b2ac-b65b5d498e83"]}],"mendeley":{"formattedCitation":"&lt;sup&gt;72,73&lt;/sup&gt;","plainTextFormattedCitation":"72,73","previouslyFormattedCitation":"&lt;sup&gt;72,73&lt;/sup&gt;"},"properties":{"noteIndex":0},"schema":"https://github.com/citation-style-language/schema/raw/master/csl-citation.json"}</w:instrText>
            </w:r>
            <w:r>
              <w:fldChar w:fldCharType="separate"/>
            </w:r>
            <w:r w:rsidR="0019024E" w:rsidRPr="0019024E">
              <w:rPr>
                <w:noProof/>
                <w:vertAlign w:val="superscript"/>
              </w:rPr>
              <w:t>72,73</w:t>
            </w:r>
            <w:r>
              <w:fldChar w:fldCharType="end"/>
            </w:r>
          </w:p>
        </w:tc>
      </w:tr>
      <w:tr w:rsidR="00686AFA" w14:paraId="45E01376" w14:textId="77777777" w:rsidTr="00016F6B">
        <w:trPr>
          <w:trHeight w:val="465"/>
        </w:trPr>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6E2AE3EC" w14:textId="77777777" w:rsidR="00686AFA" w:rsidRDefault="00686AFA" w:rsidP="00016F6B">
            <w:pPr>
              <w:pStyle w:val="LO-normal"/>
              <w:jc w:val="both"/>
            </w:pPr>
            <w:r>
              <w:t>Cecropin A-melittin (CAM)</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14:paraId="7E76CE44" w14:textId="77777777" w:rsidR="00686AFA" w:rsidRDefault="00686AFA" w:rsidP="00016F6B">
            <w:pPr>
              <w:pStyle w:val="LO-normal"/>
              <w:widowControl w:val="0"/>
              <w:spacing w:line="240" w:lineRule="auto"/>
            </w:pPr>
            <w:r>
              <w:t>KWKLFKKIGAVLKVL-NH</w:t>
            </w:r>
            <w:r>
              <w:rPr>
                <w:vertAlign w:val="subscript"/>
              </w:rPr>
              <w:t>2</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2ED3F885" w14:textId="77777777" w:rsidR="00686AFA" w:rsidRDefault="00686AFA" w:rsidP="00016F6B">
            <w:pPr>
              <w:pStyle w:val="LO-normal"/>
              <w:widowControl w:val="0"/>
              <w:spacing w:line="240" w:lineRule="auto"/>
            </w:pPr>
            <w:r>
              <w:t>+6</w:t>
            </w:r>
          </w:p>
        </w:tc>
        <w:tc>
          <w:tcPr>
            <w:tcW w:w="1815" w:type="dxa"/>
            <w:tcBorders>
              <w:top w:val="single" w:sz="8" w:space="0" w:color="000000"/>
              <w:left w:val="single" w:sz="8" w:space="0" w:color="000000"/>
              <w:bottom w:val="single" w:sz="8" w:space="0" w:color="000000"/>
              <w:right w:val="single" w:sz="8" w:space="0" w:color="000000"/>
            </w:tcBorders>
            <w:shd w:val="clear" w:color="auto" w:fill="auto"/>
          </w:tcPr>
          <w:p w14:paraId="14F1DCDD" w14:textId="77777777" w:rsidR="00686AFA" w:rsidRDefault="00686AFA" w:rsidP="00016F6B">
            <w:pPr>
              <w:pStyle w:val="LO-normal"/>
              <w:widowControl w:val="0"/>
              <w:spacing w:line="240" w:lineRule="auto"/>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1DB2B5E5" w14:textId="77777777" w:rsidR="00686AFA" w:rsidRDefault="00686AFA" w:rsidP="00016F6B">
            <w:pPr>
              <w:pStyle w:val="LO-normal"/>
              <w:widowControl w:val="0"/>
              <w:spacing w:line="240" w:lineRule="auto"/>
            </w:pP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6BF8E117" w14:textId="3E9BAA73" w:rsidR="00686AFA" w:rsidRDefault="00686AFA" w:rsidP="0019024E">
            <w:pPr>
              <w:pStyle w:val="LO-normal"/>
              <w:widowControl w:val="0"/>
              <w:spacing w:line="240" w:lineRule="auto"/>
            </w:pPr>
            <w:r>
              <w:fldChar w:fldCharType="begin" w:fldLock="1"/>
            </w:r>
            <w:r w:rsidR="00D217EC">
              <w:instrText>ADDIN CSL_CITATION {"citationItems":[{"id":"ITEM-1","itemData":{"DOI":"10.1021/acs.biochem.8b00052","ISSN":"15204995","PMID":"29638118","abstract":"Antimicrobial peptides (AMPs) are a promising alternative to antibiotics for mitigating bacterial infections, in light of increasing bacterial resistance to antibiotics. However, predicting, understanding, and controlling the antibacterial activity of AMPs remain a significant challenge. While peptide intramolecular interactions are known to modulate AMP antimicrobial activity, peptide intermolecular interactions remain elusive in their impact on peptide bioactivity. Herein, we test the relationship between AMP intermolecular interactions and antibacterial efficacy by controlling AMP intermolecular hydrophobic and hydrogen bonding interactions. Molecular dynamics simulations and Gibbs free energy calculations in concert with experimental assays show that increasing intermolecular interactions via interpeptide aggregation increases the energy cost for the peptide to embed into the bacterial cell membrane, which in turn decreases the AMP antibacterial activity. Our findings provide a route for predicting and controlling the antibacterial activity of AMPs against Gram-negative bacteria via reductions of intermolecular AMP interactions.","author":[{"dropping-particle":"","family":"Zou","given":"Rongfeng","non-dropping-particle":"","parse-names":false,"suffix":""},{"dropping-particle":"","family":"Zhu","given":"Xiaomin","non-dropping-particle":"","parse-names":false,"suffix":""},{"dropping-particle":"","family":"Tu","given":"Yaoquan","non-dropping-particle":"","parse-names":false,"suffix":""},{"dropping-particle":"","family":"Wu","given":"Junchen","non-dropping-particle":"","parse-names":false,"suffix":""},{"dropping-particle":"","family":"Landry","given":"Markita P.","non-dropping-particle":"","parse-names":false,"suffix":""}],"container-title":"Biochemistry","id":"ITEM-1","issue":"18","issued":{"date-parts":[["2018","5","8"]]},"page":"2606-2610","publisher":"American Chemical Society","title":"Activity of Antimicrobial Peptide Aggregates Decreases with Increased Cell Membrane Embedding Free Energy Cost","type":"article-journal","volume":"57"},"uris":["http://www.mendeley.com/documents/?uuid=e4a6cbc5-e180-3f9e-bad5-926030b94702"]},{"id":"ITEM-2","itemData":{"DOI":"10.1016/0014-5793(89)81505-4","ISSN":"00145793","PMID":"2689223","abstract":"Solid phase synthesis was used to produce 5 hybrid peptides containing sequences from the antibacterial peptide, cecropin A, and from the bee venom toxin, melittin. Four of these chimeric peptides showed good antibacterial activity against representative Gram-negative and Gram-positive bacterial species. The best hybrid, cecropin A(1-13)-melittin(1-13) was 100-fold more active than cecropin A against Staphylococcus aureus. It was also a 10-fold better antimalarial agent than cecropin B or magainin 2. Sheep red cells were lysed by melittin at low concentrations, but not by the hybrid molecules, even at 50 times higher concentrations. © 1989.","author":[{"dropping-particle":"","family":"Boman","given":"H. G.","non-dropping-particle":"","parse-names":false,"suffix":""},{"dropping-particle":"","family":"Wade","given":"D.","non-dropping-particle":"","parse-names":false,"suffix":""},{"dropping-particle":"","family":"Boman","given":"I. A.","non-dropping-particle":"","parse-names":false,"suffix":""},{"dropping-particle":"","family":"Wåhlin","given":"B.","non-dropping-particle":"","parse-names":false,"suffix":""},{"dropping-particle":"","family":"Merrifield","given":"R. B.","non-dropping-particle":"","parse-names":false,"suffix":""}],"container-title":"FEBS Letters","id":"ITEM-2","issue":"1","issued":{"date-parts":[["1989","12","18"]]},"page":"103-106","publisher":"FEBS Lett","title":"Antibacterial and antimalarial properties of peptides that are cecropin-melittin hybrids","type":"article-journal","volume":"259"},"uris":["http://www.mendeley.com/documents/?uuid=7d521976-d76b-3589-b923-9345fdd61af1"]}],"mendeley":{"formattedCitation":"&lt;sup&gt;74,75&lt;/sup&gt;","plainTextFormattedCitation":"74,75","previouslyFormattedCitation":"&lt;sup&gt;74,75&lt;/sup&gt;"},"properties":{"noteIndex":0},"schema":"https://github.com/citation-style-language/schema/raw/master/csl-citation.json"}</w:instrText>
            </w:r>
            <w:r>
              <w:fldChar w:fldCharType="separate"/>
            </w:r>
            <w:r w:rsidR="0019024E" w:rsidRPr="0019024E">
              <w:rPr>
                <w:noProof/>
                <w:vertAlign w:val="superscript"/>
              </w:rPr>
              <w:t>74,75</w:t>
            </w:r>
            <w:r>
              <w:fldChar w:fldCharType="end"/>
            </w:r>
          </w:p>
        </w:tc>
      </w:tr>
      <w:tr w:rsidR="00686AFA" w14:paraId="701DA110" w14:textId="77777777" w:rsidTr="00016F6B">
        <w:trPr>
          <w:trHeight w:val="465"/>
        </w:trPr>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4057631E" w14:textId="77777777" w:rsidR="00686AFA" w:rsidRDefault="00686AFA" w:rsidP="00016F6B">
            <w:pPr>
              <w:pStyle w:val="LO-normal"/>
              <w:jc w:val="both"/>
            </w:pPr>
            <w:r>
              <w:t>Phenol-soluble modulin α3 (PSMα3)</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14:paraId="73825A26" w14:textId="77777777" w:rsidR="00686AFA" w:rsidRDefault="00686AFA" w:rsidP="00016F6B">
            <w:pPr>
              <w:pStyle w:val="LO-normal"/>
              <w:widowControl w:val="0"/>
              <w:spacing w:line="240" w:lineRule="auto"/>
            </w:pPr>
            <w:r>
              <w:t>f-MEFVAKLFKFFKDLLGKFLGNN</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6AC9655A" w14:textId="77777777" w:rsidR="00686AFA" w:rsidRDefault="00686AFA" w:rsidP="00016F6B">
            <w:pPr>
              <w:pStyle w:val="LO-normal"/>
              <w:widowControl w:val="0"/>
              <w:spacing w:line="240" w:lineRule="auto"/>
            </w:pPr>
            <w:r>
              <w:t>+1</w:t>
            </w:r>
          </w:p>
        </w:tc>
        <w:tc>
          <w:tcPr>
            <w:tcW w:w="1815" w:type="dxa"/>
            <w:tcBorders>
              <w:top w:val="single" w:sz="8" w:space="0" w:color="000000"/>
              <w:left w:val="single" w:sz="8" w:space="0" w:color="000000"/>
              <w:bottom w:val="single" w:sz="8" w:space="0" w:color="000000"/>
              <w:right w:val="single" w:sz="8" w:space="0" w:color="000000"/>
            </w:tcBorders>
            <w:shd w:val="clear" w:color="auto" w:fill="auto"/>
          </w:tcPr>
          <w:p w14:paraId="4B423025" w14:textId="77777777" w:rsidR="00686AFA" w:rsidRDefault="00686AFA" w:rsidP="00016F6B">
            <w:pPr>
              <w:pStyle w:val="LO-normal"/>
              <w:widowControl w:val="0"/>
              <w:spacing w:line="240" w:lineRule="auto"/>
            </w:pPr>
            <w:r>
              <w:t>α-helix</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453DDE6C" w14:textId="77777777" w:rsidR="00686AFA" w:rsidRDefault="00686AFA" w:rsidP="00016F6B">
            <w:pPr>
              <w:pStyle w:val="LO-normal"/>
              <w:widowControl w:val="0"/>
              <w:spacing w:line="240" w:lineRule="auto"/>
            </w:pPr>
            <w:r>
              <w:t>5KGY</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718AAD0C" w14:textId="10BE2438" w:rsidR="00686AFA" w:rsidRDefault="00686AFA" w:rsidP="0019024E">
            <w:pPr>
              <w:pStyle w:val="LO-normal"/>
              <w:widowControl w:val="0"/>
              <w:spacing w:line="240" w:lineRule="auto"/>
            </w:pPr>
            <w:r>
              <w:fldChar w:fldCharType="begin" w:fldLock="1"/>
            </w:r>
            <w:r w:rsidR="00D217EC">
              <w:instrText>ADDIN CSL_CITATION {"citationItems":[{"id":"ITEM-1","itemData":{"DOI":"10.1038/nm1656","ISSN":"10788956","PMID":"17994102","abstract":"Methicillin-resistant Staphylococcus aureus (MRSA) remains a major human pathogen. Traditionally, MRSA infections occurred exclusively in hospitals and were limited to immunocompromised patients or individuals with predisposing risk factors. However, recently there has been an alarming epidemic caused by community-associated (CA)-MRSA strains, which can cause severe infections that can result in necrotizing fasciitis or even death in otherwise healthy adults outside of healthcare settings. In the US, CA-MRSA is now the cause of the majority of infections that result in trips to the emergency room. It is unclear what makes CA-MRSA strains more successful in causing human disease compared with their hospital-associated counterparts. Here we describe a class of secreted staphylococcal peptides that have a remarkable ability to recruit, activate and subsequently lyse human neutrophils, thus eliminating the main cellular defense against S. aureus infection. These peptides are produced at high concentrations by standard CA-MRSA strains and contribute significantly to the strains' ability to cause disease in animal models of infection. Our study reveals a previously uncharacterized set of S. aureus virulence factors that account at least in part for the enhanced virulence of CA-MRSA. © 2007 Nature Publishing Group.","author":[{"dropping-particle":"","family":"Wang","given":"Rong","non-dropping-particle":"","parse-names":false,"suffix":""},{"dropping-particle":"","family":"Braughton","given":"Kevin R.","non-dropping-particle":"","parse-names":false,"suffix":""},{"dropping-particle":"","family":"Kretschmer","given":"Dorothee","non-dropping-particle":"","parse-names":false,"suffix":""},{"dropping-particle":"","family":"Bach","given":"Thanh Huy L.","non-dropping-particle":"","parse-names":false,"suffix":""},{"dropping-particle":"","family":"Queck","given":"Shu Y.","non-dropping-particle":"","parse-names":false,"suffix":""},{"dropping-particle":"","family":"Li","given":"Min","non-dropping-particle":"","parse-names":false,"suffix":""},{"dropping-particle":"","family":"Kennedy","given":"Adam D.","non-dropping-particle":"","parse-names":false,"suffix":""},{"dropping-particle":"","family":"Dorward","given":"David W.","non-dropping-particle":"","parse-names":false,"suffix":""},{"dropping-particle":"","family":"Klebanoff","given":"Seymour J.","non-dropping-particle":"","parse-names":false,"suffix":""},{"dropping-particle":"","family":"Peschel","given":"Andreas","non-dropping-particle":"","parse-names":false,"suffix":""},{"dropping-particle":"","family":"DeLeo","given":"Frank R.","non-dropping-particle":"","parse-names":false,"suffix":""},{"dropping-particle":"","family":"Otto","given":"Michael","non-dropping-particle":"","parse-names":false,"suffix":""}],"container-title":"Nature Medicine","id":"ITEM-1","issue":"12","issued":{"date-parts":[["2007","12"]]},"page":"1510-1514","publisher":"Nat Med","title":"Identification of novel cytolytic peptides as key virulence determinants for community-associated MRSA","type":"article-journal","volume":"13"},"uris":["http://www.mendeley.com/documents/?uuid=bab70038-8b0d-3d6a-935b-1877569a7243"]},{"id":"ITEM-2","itemData":{"DOI":"10.1021/acs.biochem.6b00615","ISSN":"15204995","PMID":"27525453","abstract":"Phenol-soluble modulins (PSMs) are peptide virulence factors produced by staphylococci. These peptides contribute to the overall pathogenicity of these bacteria, eliciting multiple immune responses from host cells. Many of the α-type PSMs exhibit cytolytic properties and are able to lyse particular eukaryotic cells, including erythrocytes, neutrophils, and leukocytes. In addition, they also appear to contribute to the protection of the bacterial cell from the host immune response through biofilm formation and detachment. In this study, three of these peptide toxins, PSMs α1, α3, and β2, normally produced by Staphylococcus aureus, have been synthesized using solid-supported peptide synthesis (SPPS) (PSMα1 and PSMα3) or made by heterologous expression in Escherichia coli (PSMβ2). Their three-dimensional structures were elucidated using nuclear magnetic resonance spectroscopy. PSMα1 and PSMα3 each consist of a single amphipathic helix with a slight bend near the N- and C-termini, respectively. PSMβ2 contains three amphipathic helices, which fold to produce a \"v-like\" shape between α-helix 2 and α-helix 3, with α-helix 1 folded over such that it is perpendicular to α-helix 3. The availability of three-dimensional structures permits spatial analysis of features and residues proposed to control the biological activity of these peptide toxins.","author":[{"dropping-particle":"","family":"Towle","given":"Kaitlyn M.","non-dropping-particle":"","parse-names":false,"suffix":""},{"dropping-particle":"","family":"Lohans","given":"Christopher T.","non-dropping-particle":"","parse-names":false,"suffix":""},{"dropping-particle":"","family":"Miskolzie","given":"Mark","non-dropping-particle":"","parse-names":false,"suffix":""},{"dropping-particle":"","family":"Acedo","given":"Jeella Z.","non-dropping-particle":"","parse-names":false,"suffix":""},{"dropping-particle":"","family":"Belkum","given":"Marco J.","non-dropping-particle":"Van","parse-names":false,"suffix":""},{"dropping-particle":"","family":"Vederas","given":"John C.","non-dropping-particle":"","parse-names":false,"suffix":""}],"container-title":"Biochemistry","id":"ITEM-2","issue":"34","issued":{"date-parts":[["2016","8","30"]]},"page":"4798-4806","publisher":"American Chemical Society","title":"Solution Structures of Phenol-Soluble Modulins α1, α3, and β2, Virulence Factors from Staphylococcus aureus","type":"article-journal","volume":"55"},"uris":["http://www.mendeley.com/documents/?uuid=ae4d7cc6-74c8-3f40-a59e-ef602e681be7"]}],"mendeley":{"formattedCitation":"&lt;sup&gt;76,77&lt;/sup&gt;","plainTextFormattedCitation":"76,77","previouslyFormattedCitation":"&lt;sup&gt;76,77&lt;/sup&gt;"},"properties":{"noteIndex":0},"schema":"https://github.com/citation-style-language/schema/raw/master/csl-citation.json"}</w:instrText>
            </w:r>
            <w:r>
              <w:fldChar w:fldCharType="separate"/>
            </w:r>
            <w:r w:rsidR="0019024E" w:rsidRPr="0019024E">
              <w:rPr>
                <w:noProof/>
                <w:vertAlign w:val="superscript"/>
              </w:rPr>
              <w:t>76,77</w:t>
            </w:r>
            <w:r>
              <w:fldChar w:fldCharType="end"/>
            </w:r>
          </w:p>
        </w:tc>
      </w:tr>
      <w:tr w:rsidR="00686AFA" w14:paraId="3644ADE5" w14:textId="77777777" w:rsidTr="00016F6B">
        <w:trPr>
          <w:trHeight w:val="465"/>
        </w:trPr>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3BB8DED2" w14:textId="77777777" w:rsidR="00686AFA" w:rsidRDefault="00686AFA" w:rsidP="00016F6B">
            <w:pPr>
              <w:pStyle w:val="LO-normal"/>
              <w:jc w:val="both"/>
            </w:pPr>
            <w:r>
              <w:t>Temporin L</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14:paraId="3E48E971" w14:textId="77777777" w:rsidR="00686AFA" w:rsidRDefault="00686AFA" w:rsidP="00016F6B">
            <w:pPr>
              <w:pStyle w:val="LO-normal"/>
              <w:widowControl w:val="0"/>
              <w:spacing w:line="240" w:lineRule="auto"/>
            </w:pPr>
            <w:r>
              <w:t>FVQWFSKFLGRIL-NH</w:t>
            </w:r>
            <w:r>
              <w:rPr>
                <w:vertAlign w:val="subscript"/>
              </w:rPr>
              <w:t>2</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0E307503" w14:textId="77777777" w:rsidR="00686AFA" w:rsidRDefault="00686AFA" w:rsidP="00016F6B">
            <w:pPr>
              <w:pStyle w:val="LO-normal"/>
              <w:widowControl w:val="0"/>
              <w:spacing w:line="240" w:lineRule="auto"/>
            </w:pPr>
            <w:r>
              <w:t>+3</w:t>
            </w:r>
          </w:p>
        </w:tc>
        <w:tc>
          <w:tcPr>
            <w:tcW w:w="1815" w:type="dxa"/>
            <w:tcBorders>
              <w:top w:val="single" w:sz="8" w:space="0" w:color="000000"/>
              <w:left w:val="single" w:sz="8" w:space="0" w:color="000000"/>
              <w:bottom w:val="single" w:sz="8" w:space="0" w:color="000000"/>
              <w:right w:val="single" w:sz="8" w:space="0" w:color="000000"/>
            </w:tcBorders>
            <w:shd w:val="clear" w:color="auto" w:fill="auto"/>
          </w:tcPr>
          <w:p w14:paraId="7405A936" w14:textId="77777777" w:rsidR="00686AFA" w:rsidRDefault="00686AFA" w:rsidP="00016F6B">
            <w:pPr>
              <w:pStyle w:val="LO-normal"/>
              <w:widowControl w:val="0"/>
              <w:spacing w:line="240" w:lineRule="auto"/>
            </w:pPr>
            <w:r>
              <w:t>α-helix</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18397481" w14:textId="77777777" w:rsidR="00686AFA" w:rsidRDefault="00686AFA" w:rsidP="00016F6B">
            <w:pPr>
              <w:pStyle w:val="LO-normal"/>
              <w:widowControl w:val="0"/>
              <w:spacing w:line="240" w:lineRule="auto"/>
            </w:pPr>
            <w:r>
              <w:t>6GS5</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6F374450" w14:textId="10B453D5" w:rsidR="00686AFA" w:rsidRDefault="00686AFA" w:rsidP="0019024E">
            <w:pPr>
              <w:pStyle w:val="LO-normal"/>
              <w:widowControl w:val="0"/>
              <w:spacing w:line="240" w:lineRule="auto"/>
            </w:pPr>
            <w:r>
              <w:fldChar w:fldCharType="begin" w:fldLock="1"/>
            </w:r>
            <w:r w:rsidR="00D217EC">
              <w:instrText>ADDIN CSL_CITATION {"citationItems":[{"id":"ITEM-1","itemData":{"DOI":"10.1111/j.1432-1033.1996.0788r.x","ISSN":"00142956","PMID":"9022710","abstract":"A cDNA library from the skin of Rana temporaria has been screened using a cDNA fragment probe that encodes the signal peptide of the precursor of esculentin from the skin secretion of Rana esculenta. With this approach, the cDNAs encoding the precursors of three peptides were isolated. Subsequently, the peptides predicted from the sequence of the cloned cDNAs as well as several structurally related peptides could be isolated from the skin secretion of R. temporaria. These peptides, which were named temporins, have a length of 10-13 residues and show some sequence similarity to hemolytic peptides isolated from Vespa venom [Argiolas, A. and Pisano, J. J. (1984) J. Biol. Chem. 259, 10106-10111]. Natural and synthetic temporins have antibacterial activity against gram-positive bacteria, but they are not hemolytic. Temporins are the smallest antibacterial peptides hitherto found in nature.","author":[{"dropping-particle":"","family":"Simmaco","given":"Maurizio","non-dropping-particle":"","parse-names":false,"suffix":""},{"dropping-particle":"","family":"Mignogna","given":"Giuseppina","non-dropping-particle":"","parse-names":false,"suffix":""},{"dropping-particle":"","family":"Canofeni","given":"Silvia","non-dropping-particle":"","parse-names":false,"suffix":""},{"dropping-particle":"","family":"Miele","given":"Rossella","non-dropping-particle":"","parse-names":false,"suffix":""},{"dropping-particle":"","family":"Mangoni","given":"Maria Luisa","non-dropping-particle":"","parse-names":false,"suffix":""},{"dropping-particle":"","family":"Barra","given":"Donatella","non-dropping-particle":"","parse-names":false,"suffix":""}],"container-title":"European Journal of Biochemistry","id":"ITEM-1","issue":"3","issued":{"date-parts":[["1996"]]},"page":"788-792","publisher":"Blackwell Publishing Ltd","title":"Temporins, antimicrobial peptides from the European red frog Rana temporaria","type":"article-journal","volume":"242"},"uris":["http://www.mendeley.com/documents/?uuid=dc29fc71-d766-38c7-9937-001d9ff87886"]},{"id":"ITEM-2","itemData":{"DOI":"10.1038/s41598-019-47327-w","ISSN":"20452322","PMID":"31358802","abstract":"Frogs such as Rana temporaria and Litoria aurea secrete numerous closely related antimicrobial peptides (AMPs) as an effective chemical dermal defence. Damage or penetration of the bacterial plasma membrane is considered essential for AMP activity and such properties are commonly ascribed to their ability to form secondary amphipathic, α-helix conformations in membrane mimicking milieu. Nevertheless, despite the high similarity in physical properties and preference for adopting such conformations, the spectrum of activity and potency of AMPs often varies considerably. Hence distinguishing apparently similar AMPs according to their behaviour in, and effects on, model membranes will inform understanding of primary-sequence-specific antimicrobial mechanisms. Here we use a combination of molecular dynamics simulations, circular dichroism and patch-clamp to investigate the basis for differing anti-bacterial activities in representative AMPs from each species; temporin L and aurein 2.5. Despite adopting near identical, α-helix conformations in the steady-state in a variety of membrane models, these two AMPs can be distinguished both in vitro and in silico based on their dynamic interactions with model membranes, notably their differing conformational flexibility at the N-terminus, ability to form higher order aggregates and the characteristics of induced ion conductance. Taken together, these differences provide an explanation of the greater potency and broader antibacterial spectrum of activity of temporin L over aurein 2.5. Consequently, while the secondary amphipathic, α-helix conformation is a key determinant of the ability of a cationic AMP to penetrate and disrupt the bacterial plasma membrane, the exact mechanism, potency and spectrum of activity is determined by precise structural and dynamic contributions from specific residues in each AMP sequence.","author":[{"dropping-particle":"","family":"Manzo","given":"Giorgia","non-dropping-particle":"","parse-names":false,"suffix":""},{"dropping-particle":"","family":"Ferguson","given":"Philip M.","non-dropping-particle":"","parse-names":false,"suffix":""},{"dropping-particle":"","family":"Hind","given":"Charlotte K.","non-dropping-particle":"","parse-names":false,"suffix":""},{"dropping-particle":"","family":"Clifford","given":"Melanie","non-dropping-particle":"","parse-names":false,"suffix":""},{"dropping-particle":"","family":"Gustilo","given":"V. Benjamin","non-dropping-particle":"","parse-names":false,"suffix":""},{"dropping-particle":"","family":"Ali","given":"Hind","non-dropping-particle":"","parse-names":false,"suffix":""},{"dropping-particle":"","family":"Bansal","given":"Sukhvinder S.","non-dropping-particle":"","parse-names":false,"suffix":""},{"dropping-particle":"","family":"Bui","given":"Tam T.","non-dropping-particle":"","parse-names":false,"suffix":""},{"dropping-particle":"","family":"Drake","given":"Alex F.","non-dropping-particle":"","parse-names":false,"suffix":""},{"dropping-particle":"","family":"Atkinson","given":"R. Andrew","non-dropping-particle":"","parse-names":false,"suffix":""},{"dropping-particle":"","family":"Sutton","given":"J. Mark","non-dropping-particle":"","parse-names":false,"suffix":""},{"dropping-particle":"","family":"Lorenz","given":"Christian D.","non-dropping-particle":"","parse-names":false,"suffix":""},{"dropping-particle":"","family":"Phoenix","given":"David A.","non-dropping-particle":"","parse-names":false,"suffix":""},{"dropping-particle":"","family":"Mason","given":"A. James","non-dropping-particle":"","parse-names":false,"suffix":""}],"container-title":"Scientific Reports","id":"ITEM-2","issue":"1","issued":{"date-parts":[["2019","12","1"]]},"page":"10934","publisher":"Nature Publishing Group","title":"Temporin L and aurein 2.5 have identical conformations but subtly distinct membrane and antibacterial activities","type":"article-journal","volume":"9"},"uris":["http://www.mendeley.com/documents/?uuid=1358034b-0fac-3b14-bdc8-31e80a27b9f5"]}],"mendeley":{"formattedCitation":"&lt;sup&gt;78,79&lt;/sup&gt;","plainTextFormattedCitation":"78,79","previouslyFormattedCitation":"&lt;sup&gt;78,79&lt;/sup&gt;"},"properties":{"noteIndex":0},"schema":"https://github.com/citation-style-language/schema/raw/master/csl-citation.json"}</w:instrText>
            </w:r>
            <w:r>
              <w:fldChar w:fldCharType="separate"/>
            </w:r>
            <w:r w:rsidR="0019024E" w:rsidRPr="0019024E">
              <w:rPr>
                <w:noProof/>
                <w:vertAlign w:val="superscript"/>
              </w:rPr>
              <w:t>78,79</w:t>
            </w:r>
            <w:r>
              <w:fldChar w:fldCharType="end"/>
            </w:r>
          </w:p>
        </w:tc>
      </w:tr>
      <w:tr w:rsidR="00686AFA" w14:paraId="4AAECEC1" w14:textId="77777777" w:rsidTr="00016F6B">
        <w:trPr>
          <w:trHeight w:val="465"/>
        </w:trPr>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03CFF559" w14:textId="77777777" w:rsidR="00686AFA" w:rsidRDefault="00686AFA" w:rsidP="00016F6B">
            <w:pPr>
              <w:pStyle w:val="LO-normal"/>
              <w:jc w:val="both"/>
            </w:pPr>
            <w:r>
              <w:t>MSI-594</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14:paraId="5C0411ED" w14:textId="77777777" w:rsidR="00686AFA" w:rsidRDefault="00686AFA" w:rsidP="00016F6B">
            <w:pPr>
              <w:pStyle w:val="LO-normal"/>
              <w:widowControl w:val="0"/>
              <w:spacing w:line="240" w:lineRule="auto"/>
            </w:pPr>
            <w:r>
              <w:t>GIGKFLKKAKKGIGAVLKVLTTGL-NH</w:t>
            </w:r>
            <w:r>
              <w:rPr>
                <w:vertAlign w:val="subscript"/>
              </w:rPr>
              <w:t>2</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23308C96" w14:textId="77777777" w:rsidR="00686AFA" w:rsidRDefault="00686AFA" w:rsidP="00016F6B">
            <w:pPr>
              <w:pStyle w:val="LO-normal"/>
              <w:widowControl w:val="0"/>
              <w:spacing w:line="240" w:lineRule="auto"/>
            </w:pPr>
            <w:r>
              <w:t>+7</w:t>
            </w:r>
          </w:p>
        </w:tc>
        <w:tc>
          <w:tcPr>
            <w:tcW w:w="1815" w:type="dxa"/>
            <w:tcBorders>
              <w:top w:val="single" w:sz="8" w:space="0" w:color="000000"/>
              <w:left w:val="single" w:sz="8" w:space="0" w:color="000000"/>
              <w:bottom w:val="single" w:sz="8" w:space="0" w:color="000000"/>
              <w:right w:val="single" w:sz="8" w:space="0" w:color="000000"/>
            </w:tcBorders>
            <w:shd w:val="clear" w:color="auto" w:fill="auto"/>
          </w:tcPr>
          <w:p w14:paraId="188E2804" w14:textId="77777777" w:rsidR="00686AFA" w:rsidRDefault="00686AFA" w:rsidP="00016F6B">
            <w:pPr>
              <w:pStyle w:val="LO-normal"/>
              <w:widowControl w:val="0"/>
              <w:spacing w:line="240" w:lineRule="auto"/>
            </w:pPr>
            <w:r>
              <w:t>Helical-hairpin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20A1ECE8" w14:textId="77777777" w:rsidR="00686AFA" w:rsidRDefault="00686AFA" w:rsidP="00016F6B">
            <w:pPr>
              <w:pStyle w:val="LO-normal"/>
              <w:widowControl w:val="0"/>
              <w:spacing w:line="240" w:lineRule="auto"/>
            </w:pPr>
            <w:r>
              <w:t>2K98</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7F0A56BF" w14:textId="30DAE6C5" w:rsidR="00686AFA" w:rsidRDefault="00686AFA" w:rsidP="0019024E">
            <w:pPr>
              <w:pStyle w:val="LO-normal"/>
              <w:widowControl w:val="0"/>
              <w:spacing w:line="240" w:lineRule="auto"/>
            </w:pPr>
            <w:r>
              <w:fldChar w:fldCharType="begin" w:fldLock="1"/>
            </w:r>
            <w:r w:rsidR="00D217EC">
              <w:instrText>ADDIN CSL_CITATION {"citationItems":[{"id":"ITEM-1","itemData":{"DOI":"10.1002/chem.200802635","ISSN":"09476539","PMID":"19180607","author":[{"dropping-particle":"","family":"Bhunia","given":"Anirban","non-dropping-particle":"","parse-names":false,"suffix":""},{"dropping-particle":"","family":"Ramamoorthy","given":"Ayyalusamy","non-dropping-particle":"","parse-names":false,"suffix":""},{"dropping-particle":"","family":"Bhattacharjya","given":"Surajit","non-dropping-particle":"","parse-names":false,"suffix":""}],"container-title":"Chemistry - A European Journal","id":"ITEM-1","issue":"9","issued":{"date-parts":[["2009","2","16"]]},"page":"2036-2040","publisher":"Chemistry","title":"Helical hairpin structure of a potent antimicrobial peptide MSI-594 in lipopolysaccharide micelles by NMR spectroscopy","type":"article-journal","volume":"15"},"uris":["http://www.mendeley.com/documents/?uuid=522f9434-769e-37f2-b665-24ca62615972"]}],"mendeley":{"formattedCitation":"&lt;sup&gt;80&lt;/sup&gt;","plainTextFormattedCitation":"80","previouslyFormattedCitation":"&lt;sup&gt;80&lt;/sup&gt;"},"properties":{"noteIndex":0},"schema":"https://github.com/citation-style-language/schema/raw/master/csl-citation.json"}</w:instrText>
            </w:r>
            <w:r>
              <w:fldChar w:fldCharType="separate"/>
            </w:r>
            <w:r w:rsidR="0019024E" w:rsidRPr="0019024E">
              <w:rPr>
                <w:noProof/>
                <w:vertAlign w:val="superscript"/>
              </w:rPr>
              <w:t>80</w:t>
            </w:r>
            <w:r>
              <w:fldChar w:fldCharType="end"/>
            </w:r>
          </w:p>
        </w:tc>
      </w:tr>
      <w:tr w:rsidR="00686AFA" w14:paraId="2A607E81" w14:textId="77777777" w:rsidTr="00016F6B">
        <w:trPr>
          <w:trHeight w:val="465"/>
        </w:trPr>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2F3E9536" w14:textId="77777777" w:rsidR="00686AFA" w:rsidRDefault="00686AFA" w:rsidP="00016F6B">
            <w:pPr>
              <w:pStyle w:val="LO-normal"/>
              <w:jc w:val="both"/>
            </w:pPr>
            <w:r>
              <w:t>Daptomycin</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14:paraId="0EEEFCF5" w14:textId="77777777" w:rsidR="00686AFA" w:rsidRDefault="00686AFA" w:rsidP="00016F6B">
            <w:pPr>
              <w:pStyle w:val="LO-normal"/>
              <w:widowControl w:val="0"/>
              <w:spacing w:line="240" w:lineRule="auto"/>
            </w:pPr>
            <w:r>
              <w:t>(dec)-WNDT(cyclic)GOD(dA)DG(dS)(MeG)U(cyclic)</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016AE94C" w14:textId="77777777" w:rsidR="00686AFA" w:rsidRDefault="00686AFA" w:rsidP="00016F6B">
            <w:pPr>
              <w:pStyle w:val="LO-normal"/>
              <w:widowControl w:val="0"/>
              <w:spacing w:line="240" w:lineRule="auto"/>
            </w:pPr>
            <w:r>
              <w:t>-3</w:t>
            </w:r>
          </w:p>
        </w:tc>
        <w:tc>
          <w:tcPr>
            <w:tcW w:w="1815" w:type="dxa"/>
            <w:tcBorders>
              <w:top w:val="single" w:sz="8" w:space="0" w:color="000000"/>
              <w:left w:val="single" w:sz="8" w:space="0" w:color="000000"/>
              <w:bottom w:val="single" w:sz="8" w:space="0" w:color="000000"/>
              <w:right w:val="single" w:sz="8" w:space="0" w:color="000000"/>
            </w:tcBorders>
            <w:shd w:val="clear" w:color="auto" w:fill="auto"/>
          </w:tcPr>
          <w:p w14:paraId="7D84B51D" w14:textId="77777777" w:rsidR="00686AFA" w:rsidRDefault="00686AFA" w:rsidP="00016F6B">
            <w:pPr>
              <w:pStyle w:val="LO-normal"/>
              <w:widowControl w:val="0"/>
              <w:spacing w:line="240" w:lineRule="auto"/>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672515B1" w14:textId="77777777" w:rsidR="00686AFA" w:rsidRDefault="00686AFA" w:rsidP="00016F6B">
            <w:pPr>
              <w:pStyle w:val="LO-normal"/>
              <w:widowControl w:val="0"/>
              <w:spacing w:line="240" w:lineRule="auto"/>
            </w:pPr>
            <w:r>
              <w:t>1XT7</w:t>
            </w:r>
          </w:p>
          <w:p w14:paraId="14BE0BEF" w14:textId="77777777" w:rsidR="00686AFA" w:rsidRDefault="00686AFA" w:rsidP="00016F6B">
            <w:pPr>
              <w:pStyle w:val="LO-normal"/>
              <w:widowControl w:val="0"/>
              <w:spacing w:line="240" w:lineRule="auto"/>
            </w:pPr>
            <w:r>
              <w:t>1T5N</w:t>
            </w:r>
          </w:p>
          <w:p w14:paraId="59DC8120" w14:textId="77777777" w:rsidR="00686AFA" w:rsidRDefault="00686AFA" w:rsidP="00016F6B">
            <w:pPr>
              <w:pStyle w:val="LO-normal"/>
              <w:widowControl w:val="0"/>
              <w:spacing w:line="240" w:lineRule="auto"/>
            </w:pPr>
            <w:r>
              <w:t>1T5M</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7B529664" w14:textId="0473CC65" w:rsidR="00686AFA" w:rsidRDefault="00686AFA" w:rsidP="0019024E">
            <w:pPr>
              <w:pStyle w:val="LO-normal"/>
              <w:widowControl w:val="0"/>
              <w:spacing w:line="240" w:lineRule="auto"/>
            </w:pPr>
            <w:r>
              <w:fldChar w:fldCharType="begin" w:fldLock="1"/>
            </w:r>
            <w:r w:rsidR="00D217EC">
              <w:instrText>ADDIN CSL_CITATION {"citationItems":[{"id":"ITEM-1","itemData":{"DOI":"10.7164/antibiotics.41.1093","ISSN":"18811469","PMID":"2844711","abstract":"The novel lipopeptide antibiotic A21978C complex is active against Gram-positive organisms. This complex consists of a common peptide nucleus with various lipid acyl groups at the TV-terminus characteristic of each individual factor. The fatty acid acyl group is removed by incubation of the A21978C complex with Actinoplanes utahensis to give the peptide nucleus. This peptide nucleus has the same amino acid sequence as A21978C. New analogs of A21978C were synthesized by acylation of the N-terminus of a tert-butoxycarbonyl (tert-BOC)-protected nucleus and subsequent deprotection. 1H NMR showed that the newly introduced acyl group was at the desired TV-terminus. Three major groups of analogs were synthesized bearing fatty acid acyl, amino-aroyl and extended peptide side chains. Each analog was evaluated for antimicrobial activity and acute toxicity. Of these analogs, the w-decanoyl analog of A21978C (LY146032) gave the best survival in the mouse acute toxicity test at a high dose of 1, 000 mg/kg, iv and was chosen for further study. This analog has been named daptomycin. © 1988, JAPAN ANTIBIOTICS RESEARCH ASSOCIATION. All rights reserved.","author":[{"dropping-particle":"","family":"Debono","given":"Manuel","non-dropping-particle":"","parse-names":false,"suffix":""},{"dropping-particle":"","family":"Abbott","given":"Bernard J.","non-dropping-particle":"","parse-names":false,"suffix":""},{"dropping-particle":"","family":"Molloy","given":"R. Michael","non-dropping-particle":"","parse-names":false,"suffix":""},{"dropping-particle":"","family":"Fukuda","given":"Davids","non-dropping-particle":"","parse-names":false,"suffix":""},{"dropping-particle":"","family":"Hunt","given":"Ann H.","non-dropping-particle":"","parse-names":false,"suffix":""},{"dropping-particle":"","family":"Daupert","given":"Veronica M.","non-dropping-particle":"","parse-names":false,"suffix":""},{"dropping-particle":"","family":"Counter","given":"Frederick T.","non-dropping-particle":"","parse-names":false,"suffix":""},{"dropping-particle":"","family":"Ott","given":"John L.","non-dropping-particle":"","parse-names":false,"suffix":""},{"dropping-particle":"","family":"Carrell","given":"Claude B.","non-dropping-particle":"","parse-names":false,"suffix":""},{"dropping-particle":"","family":"Howard","given":"Leonard C.","non-dropping-particle":"","parse-names":false,"suffix":""},{"dropping-particle":"","family":"Boeck","given":"La Verne D.","non-dropping-particle":"","parse-names":false,"suffix":""},{"dropping-particle":"","family":"Hamill","given":"Robert L.","non-dropping-particle":"","parse-names":false,"suffix":""}],"container-title":"The Journal of Antibiotics","id":"ITEM-1","issue":"8","issued":{"date-parts":[["1988"]]},"page":"1093-1105","publisher":"J Antibiot (Tokyo)","title":"Enzymatic and chemical modifications of lipopeptide antibiotic A21978C: The synthesis and evaluation of daptomycin (LY146032)","type":"article-journal","volume":"41"},"uris":["http://www.mendeley.com/documents/?uuid=d917d6c9-bd2f-3c81-a7b5-28c8b527f615"]},{"id":"ITEM-2","itemData":{"DOI":"10.1039/b402722a","ISSN":"14770520","PMID":"15227539","abstract":"Daptomycin is an acidic lipopeptide antibiotic, whose three-dimensional structure and mechanism of action is currently unknown. Recently daptomycin, trade name Cubicin, was approved as a drug for the treatment of skin-related infections (M. Larkin Lancet, 2003, 3, 677) and became the first antibiotic of its class to be used in the clinic (A. Raja et al., Nature Rev. Drug Discov., 2003, 2, 943-944). We have carried out a systematic high field NMR study of daptomycin and its binding to calcium ions which is essential for antibiotic activity. In this first report, we demonstrate the sequence-specific resonance assignment of daptomycin under resolved NMR measurement conditions. In addition to this, we have determined the 3D structure of apo-daptomycin and demonstrated a 1:1 stoichiometry on the binding to calcium ions. We have also demonstrated that the binding of calcium ions does not result in major conformational changes, but does induce aggregation. This may be an important factor in the mode of action of daptomycin.","author":[{"dropping-particle":"","family":"Ball","given":"Lee Jon","non-dropping-particle":"","parse-names":false,"suffix":""},{"dropping-particle":"","family":"Goult","given":"Catherine M.","non-dropping-particle":"","parse-names":false,"suffix":""},{"dropping-particle":"","family":"Donarski","given":"James A.","non-dropping-particle":"","parse-names":false,"suffix":""},{"dropping-particle":"","family":"Micklefield","given":"Jason","non-dropping-particle":"","parse-names":false,"suffix":""},{"dropping-particle":"","family":"Ramesh","given":"Vasudevan","non-dropping-particle":"","parse-names":false,"suffix":""}],"container-title":"Organic and Biomolecular Chemistry","id":"ITEM-2","issue":"13","issued":{"date-parts":[["2004","7","7"]]},"page":"1872-1878","publisher":"Org Biomol Chem","title":"NMR structure determination and calcium binding effects of lipopeptide antibiotic daptomycin","type":"article-journal","volume":"2"},"uris":["http://www.mendeley.com/documents/?uuid=ffd35e7c-25c7-36d5-b9aa-0897e4a2ae58"]},{"id":"ITEM-3","itemData":{"DOI":"10.1016/j.chembiol.2004.04.020","ISSN":"10745521","PMID":"15271353","abstract":"Daptomycin is a cyclic anionic lipopeptide antibiotic recently approved for the treatment of complicated skin infections (Cubicin). Its function is dependent on calcium (as Ca2+). Circular dichroism spectroscopy indicated that daptomycin experienced two structural transitions: a transition upon interaction of daptomycin with Ca2+, and a further transition upon interaction with Ca2+ and the bacterial acidic phospholipid, phosphatidyl glycerol. The Ca2+-dependent insertion of daptomycin into model membranes promoted mild and more pronounced perturbations as assessed by the increase of lipid flip-flop and membrane leakage, respectively. The NMR structure of daptomycin indicated that Ca2+ induced a conformational change in daptomycin that increased its amphipathicity. These results are consistent with the hypothesis that the association of Ca2+ with daptomycin permits it to interact with bacterial membranes with effects that are similar to those of the cationic antimicrobial peptides.","author":[{"dropping-particle":"","family":"Jung","given":"David","non-dropping-particle":"","parse-names":false,"suffix":""},{"dropping-particle":"","family":"Rozek","given":"Annett","non-dropping-particle":"","parse-names":false,"suffix":""},{"dropping-particle":"","family":"Okon","given":"Mark","non-dropping-particle":"","parse-names":false,"suffix":""},{"dropping-particle":"","family":"Hancock","given":"Robert E.W.","non-dropping-particle":"","parse-names":false,"suffix":""}],"container-title":"Chemistry and Biology","id":"ITEM-3","issue":"7","issued":{"date-parts":[["2004","7"]]},"page":"949-957","publisher":"Chem Biol","title":"Structural transitions as determinants of the action of the calcium-dependent antibiotic daptomycin","type":"article-journal","volume":"11"},"uris":["http://www.mendeley.com/documents/?uuid=cfbfa081-fcad-3cfe-9445-c0b98d2ed4c1"]}],"mendeley":{"formattedCitation":"&lt;sup&gt;81–83&lt;/sup&gt;","plainTextFormattedCitation":"81–83","previouslyFormattedCitation":"&lt;sup&gt;81–83&lt;/sup&gt;"},"properties":{"noteIndex":0},"schema":"https://github.com/citation-style-language/schema/raw/master/csl-citation.json"}</w:instrText>
            </w:r>
            <w:r>
              <w:fldChar w:fldCharType="separate"/>
            </w:r>
            <w:r w:rsidR="0019024E" w:rsidRPr="0019024E">
              <w:rPr>
                <w:noProof/>
                <w:vertAlign w:val="superscript"/>
              </w:rPr>
              <w:t>81–83</w:t>
            </w:r>
            <w:r>
              <w:fldChar w:fldCharType="end"/>
            </w:r>
          </w:p>
        </w:tc>
      </w:tr>
      <w:tr w:rsidR="00686AFA" w14:paraId="2FE8FF7D" w14:textId="77777777" w:rsidTr="00016F6B">
        <w:trPr>
          <w:trHeight w:val="465"/>
        </w:trPr>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52E1DE39" w14:textId="77777777" w:rsidR="00686AFA" w:rsidRDefault="00686AFA" w:rsidP="00016F6B">
            <w:pPr>
              <w:pStyle w:val="LO-normal"/>
              <w:jc w:val="both"/>
            </w:pPr>
            <w:r>
              <w:lastRenderedPageBreak/>
              <w:t>human β-defensin 3 (hBD-3)</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14:paraId="3E1715DC" w14:textId="77777777" w:rsidR="00686AFA" w:rsidRDefault="00686AFA" w:rsidP="00016F6B">
            <w:pPr>
              <w:pStyle w:val="LO-normal"/>
              <w:widowControl w:val="0"/>
              <w:spacing w:line="240" w:lineRule="auto"/>
            </w:pPr>
            <w:r>
              <w:t>GIINTLQKYYC</w:t>
            </w:r>
            <w:r>
              <w:rPr>
                <w:vertAlign w:val="subscript"/>
              </w:rPr>
              <w:t>(1)</w:t>
            </w:r>
            <w:r>
              <w:t>RVRGGRC</w:t>
            </w:r>
            <w:r>
              <w:rPr>
                <w:vertAlign w:val="subscript"/>
              </w:rPr>
              <w:t>(2)</w:t>
            </w:r>
            <w:r>
              <w:t>AVLSC</w:t>
            </w:r>
            <w:r>
              <w:rPr>
                <w:vertAlign w:val="subscript"/>
              </w:rPr>
              <w:t>(3)</w:t>
            </w:r>
            <w:r>
              <w:t>LPKEEQIGKC</w:t>
            </w:r>
            <w:r>
              <w:rPr>
                <w:vertAlign w:val="subscript"/>
              </w:rPr>
              <w:t>(2)</w:t>
            </w:r>
            <w:r>
              <w:t>STRGRKC</w:t>
            </w:r>
            <w:r>
              <w:rPr>
                <w:vertAlign w:val="subscript"/>
              </w:rPr>
              <w:t>(1)</w:t>
            </w:r>
            <w:r>
              <w:t>C</w:t>
            </w:r>
            <w:r>
              <w:rPr>
                <w:vertAlign w:val="subscript"/>
              </w:rPr>
              <w:t>(3)</w:t>
            </w:r>
            <w:r>
              <w:t>RRKK</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16AE7B01" w14:textId="77777777" w:rsidR="00686AFA" w:rsidRDefault="00686AFA" w:rsidP="00016F6B">
            <w:pPr>
              <w:pStyle w:val="LO-normal"/>
              <w:widowControl w:val="0"/>
              <w:spacing w:line="240" w:lineRule="auto"/>
            </w:pPr>
            <w:r>
              <w:t>+11</w:t>
            </w:r>
          </w:p>
        </w:tc>
        <w:tc>
          <w:tcPr>
            <w:tcW w:w="1815" w:type="dxa"/>
            <w:tcBorders>
              <w:top w:val="single" w:sz="8" w:space="0" w:color="000000"/>
              <w:left w:val="single" w:sz="8" w:space="0" w:color="000000"/>
              <w:bottom w:val="single" w:sz="8" w:space="0" w:color="000000"/>
              <w:right w:val="single" w:sz="8" w:space="0" w:color="000000"/>
            </w:tcBorders>
            <w:shd w:val="clear" w:color="auto" w:fill="auto"/>
          </w:tcPr>
          <w:p w14:paraId="3EB1A649" w14:textId="77777777" w:rsidR="00686AFA" w:rsidRDefault="00686AFA" w:rsidP="00016F6B">
            <w:pPr>
              <w:pStyle w:val="LO-normal"/>
              <w:widowControl w:val="0"/>
              <w:spacing w:line="240" w:lineRule="auto"/>
            </w:pPr>
            <w:r>
              <w:t>Antiparallel β-sheet and α-helix</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40451EF4" w14:textId="77777777" w:rsidR="00686AFA" w:rsidRDefault="00686AFA" w:rsidP="00016F6B">
            <w:pPr>
              <w:pStyle w:val="LO-normal"/>
              <w:widowControl w:val="0"/>
              <w:spacing w:line="240" w:lineRule="auto"/>
            </w:pPr>
            <w:r>
              <w:t>1KJ6</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36C147B7" w14:textId="7C603DE6" w:rsidR="00686AFA" w:rsidRDefault="00686AFA" w:rsidP="0019024E">
            <w:pPr>
              <w:pStyle w:val="LO-normal"/>
              <w:widowControl w:val="0"/>
              <w:spacing w:line="240" w:lineRule="auto"/>
            </w:pPr>
            <w:r>
              <w:fldChar w:fldCharType="begin" w:fldLock="1"/>
            </w:r>
            <w:r w:rsidR="00D217EC">
              <w:instrText>ADDIN CSL_CITATION {"citationItems":[{"id":"ITEM-1","itemData":{"DOI":"10.1016/s0021-9258(18)53298-1","ISSN":"00219258","PMID":"8454635","abstract":"A new family of cysteine-rich antimicrobial peptides from bovine neutrophils was isolated and characterized. Thirteen structurally homologous peptides were purified to homogeneity from a granule-rich cytoplasmic fraction of purified blood neutrophils. The complete sequences of the peptides were determined by a combination of enzymatic digestion, Edman degradation, and additional biochemical characterization of the carboxyl termini. The peptides are characterized by a highly cationic 38-42-residue chain which includes 6 invariantly spaced cysteines which form three disulfides. They share a highly conserved consensus sequence which is also found in a recently described epithelial antimicrobial peptide from bovine trachea. The in vitro antibacterial activities of the 13 neutrophil peptides, determined in assays using Staphylococcus aureus and Escherichia coli as test organisms, demonstrated that each peptide possessed antimicrobial activity, and that several were as active as the most potent neutrophil defensin, rabbit NP-1. Though the structural and functional attributes of the bovine neutrophil peptides are similar to those of defensins, the two peptide families are distinguished by their unique consensus sequences and additionally by differing tridisulfide motifs. We therefore propose that this new defensin-like antimicrobial peptide family be named β-defensins.","author":[{"dropping-particle":"","family":"Selsted","given":"M. E.","non-dropping-particle":"","parse-names":false,"suffix":""},{"dropping-particle":"","family":"Tang","given":"Y. Q.","non-dropping-particle":"","parse-names":false,"suffix":""},{"dropping-particle":"","family":"Morris","given":"W. L.","non-dropping-particle":"","parse-names":false,"suffix":""},{"dropping-particle":"","family":"McGuire","given":"P. A.","non-dropping-particle":"","parse-names":false,"suffix":""},{"dropping-particle":"","family":"Novotny","given":"M. J.","non-dropping-particle":"","parse-names":false,"suffix":""},{"dropping-particle":"","family":"Smith","given":"W.","non-dropping-particle":"","parse-names":false,"suffix":""},{"dropping-particle":"","family":"Henschen","given":"A. H.","non-dropping-particle":"","parse-names":false,"suffix":""},{"dropping-particle":"","family":"Cullor","given":"J. S.","non-dropping-particle":"","parse-names":false,"suffix":""}],"container-title":"Journal of Biological Chemistry","id":"ITEM-1","issue":"9","issued":{"date-parts":[["1993","3","25"]]},"page":"6641-6648","publisher":"Elsevier","title":"Purification, primary structures, and antibacterial activities of β- defensins, a new family of antimicrobial peptides from bovine neutrophils","type":"article-journal","volume":"268"},"uris":["http://www.mendeley.com/documents/?uuid=66dc8afe-44b8-3df5-a98d-1a17f0eb914e"]}],"mendeley":{"formattedCitation":"&lt;sup&gt;52&lt;/sup&gt;","plainTextFormattedCitation":"52","previouslyFormattedCitation":"&lt;sup&gt;52&lt;/sup&gt;"},"properties":{"noteIndex":0},"schema":"https://github.com/citation-style-language/schema/raw/master/csl-citation.json"}</w:instrText>
            </w:r>
            <w:r>
              <w:fldChar w:fldCharType="separate"/>
            </w:r>
            <w:r w:rsidR="0019024E" w:rsidRPr="0019024E">
              <w:rPr>
                <w:noProof/>
                <w:vertAlign w:val="superscript"/>
              </w:rPr>
              <w:t>52</w:t>
            </w:r>
            <w:r>
              <w:fldChar w:fldCharType="end"/>
            </w:r>
          </w:p>
        </w:tc>
      </w:tr>
      <w:tr w:rsidR="00686AFA" w14:paraId="1CE26092" w14:textId="77777777" w:rsidTr="00016F6B">
        <w:trPr>
          <w:trHeight w:val="465"/>
        </w:trPr>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189E273E" w14:textId="77777777" w:rsidR="00686AFA" w:rsidRDefault="00686AFA" w:rsidP="00016F6B">
            <w:pPr>
              <w:pStyle w:val="LO-normal"/>
              <w:jc w:val="both"/>
            </w:pPr>
            <w:r>
              <w:t>LAH4</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14:paraId="06543E48" w14:textId="77777777" w:rsidR="00686AFA" w:rsidRDefault="00686AFA" w:rsidP="00016F6B">
            <w:pPr>
              <w:pStyle w:val="LO-normal"/>
              <w:widowControl w:val="0"/>
              <w:spacing w:line="240" w:lineRule="auto"/>
            </w:pPr>
            <w:r>
              <w:t>KKALLALALHHLAHLALHLALALKKA-NH</w:t>
            </w:r>
            <w:r>
              <w:rPr>
                <w:vertAlign w:val="subscript"/>
              </w:rPr>
              <w:t>2</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68E611F1" w14:textId="77777777" w:rsidR="00686AFA" w:rsidRDefault="00686AFA" w:rsidP="00016F6B">
            <w:pPr>
              <w:pStyle w:val="LO-normal"/>
              <w:widowControl w:val="0"/>
              <w:spacing w:line="240" w:lineRule="auto"/>
            </w:pPr>
            <w:r>
              <w:t xml:space="preserve">+5 (neutral conditions) </w:t>
            </w:r>
          </w:p>
          <w:p w14:paraId="5D4B36D2" w14:textId="77777777" w:rsidR="00686AFA" w:rsidRDefault="00686AFA" w:rsidP="00016F6B">
            <w:pPr>
              <w:pStyle w:val="LO-normal"/>
              <w:widowControl w:val="0"/>
              <w:spacing w:line="240" w:lineRule="auto"/>
            </w:pPr>
            <w:r>
              <w:t>+9 (acidic conditions)</w:t>
            </w:r>
          </w:p>
        </w:tc>
        <w:tc>
          <w:tcPr>
            <w:tcW w:w="1815" w:type="dxa"/>
            <w:tcBorders>
              <w:top w:val="single" w:sz="8" w:space="0" w:color="000000"/>
              <w:left w:val="single" w:sz="8" w:space="0" w:color="000000"/>
              <w:bottom w:val="single" w:sz="8" w:space="0" w:color="000000"/>
              <w:right w:val="single" w:sz="8" w:space="0" w:color="000000"/>
            </w:tcBorders>
            <w:shd w:val="clear" w:color="auto" w:fill="auto"/>
          </w:tcPr>
          <w:p w14:paraId="29830230" w14:textId="77777777" w:rsidR="00686AFA" w:rsidRDefault="00686AFA" w:rsidP="00016F6B">
            <w:pPr>
              <w:pStyle w:val="LO-normal"/>
              <w:widowControl w:val="0"/>
              <w:spacing w:line="240" w:lineRule="auto"/>
            </w:pPr>
            <w:r>
              <w:t>α-helix</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21F7B47F" w14:textId="77777777" w:rsidR="00686AFA" w:rsidRDefault="00686AFA" w:rsidP="00016F6B">
            <w:pPr>
              <w:pStyle w:val="LO-normal"/>
              <w:widowControl w:val="0"/>
              <w:spacing w:line="240" w:lineRule="auto"/>
            </w:pPr>
            <w:r>
              <w:t>2KJO (ph 6.1)</w:t>
            </w:r>
          </w:p>
          <w:p w14:paraId="36D4236F" w14:textId="77777777" w:rsidR="00686AFA" w:rsidRDefault="00686AFA" w:rsidP="00016F6B">
            <w:pPr>
              <w:pStyle w:val="LO-normal"/>
              <w:widowControl w:val="0"/>
              <w:spacing w:line="240" w:lineRule="auto"/>
            </w:pPr>
            <w:r>
              <w:t>2KJN (ph 4.1)</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0360351E" w14:textId="145AEA73" w:rsidR="00686AFA" w:rsidRDefault="00686AFA" w:rsidP="0019024E">
            <w:pPr>
              <w:pStyle w:val="LO-normal"/>
              <w:widowControl w:val="0"/>
              <w:spacing w:line="240" w:lineRule="auto"/>
            </w:pPr>
            <w:r>
              <w:fldChar w:fldCharType="begin" w:fldLock="1"/>
            </w:r>
            <w:r w:rsidR="00D217EC">
              <w:instrText>ADDIN CSL_CITATION {"citationItems":[{"id":"ITEM-1","itemData":{"DOI":"10.1006/jmbi.1996.0614","ISSN":"00222836","PMID":"8947574","abstract":"Hydrophobic and amphipathic α-helices act as independent functional units in immunogenic or fusogenic polypeptides and constitute important structural building blocks in larger membrane proteins. In order to quantitatively assess the interactions that determine the alignment of membrane-associated α-helices, hydrophobic model peptides containing histidine residues at selected sites were prepared by solid-phase peptide synthesis. CD and solution NMR spectroscopy show that these peptides assume α-helical secondary structures in micellar environments. The chemical shift alterations of the histidine side-chain protons during pH titration experiments indicate that the pit values of the histidine imidazole protons range from 4.9 to 6.6 in the presence of dodecylphosphocholine micelles. 15N solid-state NMR spectroscopy was used to determine the membrane alignment of these peptide α-helices in uniaxially oriented phospholipid bilayers. The observed pH-dependent change of orientation of one of these model peptides is quantitatively described by a dynamic equilibrium governed by both electrostatic and hydrophobic protein-lipid interactions. The thermodynamic equations presented provide a means for the prediction of membrane protein structure and topology, as well as the future design of peptide channels and pharmaceuticals.","author":[{"dropping-particle":"","family":"Bechinger","given":"Burkhard","non-dropping-particle":"","parse-names":false,"suffix":""}],"container-title":"Journal of Molecular Biology","id":"ITEM-1","issue":"5","issued":{"date-parts":[["1996","11","15"]]},"page":"768-775","publisher":"Academic Press","title":"Towards membrane protein design: PH-sensitive topology of histidine-containing polypeptides","type":"article-journal","volume":"263"},"uris":["http://www.mendeley.com/documents/?uuid=30ccd142-6acd-350d-8182-961ceadc4193"]},{"id":"ITEM-2","itemData":{"DOI":"10.1016/j.bpj.2010.05.038","ISSN":"15420086","abstract":"The LAH4 family of histidine-rich peptides exhibits potent antimicrobial and DNA transfection activities, both of which require interactions with cellular membranes. The bilayer association of the peptides has been shown to be strongly pH-dependent, with in-planar alignments under acidic conditions and transmembrane orientations when the histidines are discharged. Therefore, we investigated the pH- and temperature-dependent conformations of LAH4 in DPC micellar solutions and in a TFE/PBS solvent mixture. In the presence of detergent and at pH 4.1, LAH4 adopts helical conformations between residues 9 and 24 concomitantly with a high hydrophobic moment. At pH 6.1, a helix-loop-helix structure forms with a hinge encompassing residues His 10-Ala13. The data suggest that the high density of histidine residues and the resulting electrostatic repulsion lead to both a decrease in the pK values of the histidines and a less stable α-helical conformation of this region. The hinged structure at pH 6.1 facilitates membrane anchoring and insertion. At pH 7.8, the histidines are uncharged and an extended helical conformation including residues 4-21 is again obtained. LAH4 thus exhibits a high degree of conformational plasticity. The structures provide a stroboscopic view of the conformational changes that occur during membrane insertion, and are discussed in the context of antimicrobial activity and DNA transfection. © 2010 by the Biophysical Society.","author":[{"dropping-particle":"","family":"Georgescu","given":"Julia","non-dropping-particle":"","parse-names":false,"suffix":""},{"dropping-particle":"","family":"Munhoz","given":"Victor H.O.","non-dropping-particle":"","parse-names":false,"suffix":""},{"dropping-particle":"","family":"Bechinger","given":"Burkhard","non-dropping-particle":"","parse-names":false,"suffix":""}],"container-title":"Biophysical Journal","id":"ITEM-2","issue":"8","issued":{"date-parts":[["2010","10","20"]]},"page":"2507-2515","publisher":"Biophysical Society","title":"NMR Structures of the histidine-rich peptide LAH4 in micellar environments: Membrane insertion, pH-dependent mode of antimicrobial action, and DNA transfection","type":"article-journal","volume":"99"},"uris":["http://www.mendeley.com/documents/?uuid=1bae7424-5ac2-385c-a7d2-447c2200d042"]}],"mendeley":{"formattedCitation":"&lt;sup&gt;84,85&lt;/sup&gt;","plainTextFormattedCitation":"84,85","previouslyFormattedCitation":"&lt;sup&gt;84,85&lt;/sup&gt;"},"properties":{"noteIndex":0},"schema":"https://github.com/citation-style-language/schema/raw/master/csl-citation.json"}</w:instrText>
            </w:r>
            <w:r>
              <w:fldChar w:fldCharType="separate"/>
            </w:r>
            <w:r w:rsidR="0019024E" w:rsidRPr="0019024E">
              <w:rPr>
                <w:noProof/>
                <w:vertAlign w:val="superscript"/>
              </w:rPr>
              <w:t>84,85</w:t>
            </w:r>
            <w:r>
              <w:fldChar w:fldCharType="end"/>
            </w:r>
          </w:p>
        </w:tc>
      </w:tr>
      <w:tr w:rsidR="00686AFA" w14:paraId="11C29875" w14:textId="77777777" w:rsidTr="00016F6B">
        <w:trPr>
          <w:trHeight w:val="465"/>
        </w:trPr>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339F7C02" w14:textId="77777777" w:rsidR="00686AFA" w:rsidRDefault="00686AFA" w:rsidP="00016F6B">
            <w:pPr>
              <w:pStyle w:val="LO-normal"/>
              <w:jc w:val="both"/>
            </w:pPr>
            <w:r>
              <w:t>Plectasin</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14:paraId="086530B2" w14:textId="77777777" w:rsidR="00686AFA" w:rsidRDefault="00686AFA" w:rsidP="00016F6B">
            <w:pPr>
              <w:pStyle w:val="LO-normal"/>
              <w:widowControl w:val="0"/>
              <w:spacing w:line="240" w:lineRule="auto"/>
            </w:pPr>
            <w:r>
              <w:t>GFGCNGPWDEDDMQCHNHCKSIKGYKGGYCAKGGFVCKCY</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2D09D995" w14:textId="77777777" w:rsidR="00686AFA" w:rsidRDefault="00686AFA" w:rsidP="00016F6B">
            <w:pPr>
              <w:pStyle w:val="LO-normal"/>
              <w:widowControl w:val="0"/>
              <w:spacing w:line="240" w:lineRule="auto"/>
            </w:pPr>
            <w:r>
              <w:t>+1 to +3, depending on pH</w:t>
            </w:r>
          </w:p>
        </w:tc>
        <w:tc>
          <w:tcPr>
            <w:tcW w:w="1815" w:type="dxa"/>
            <w:tcBorders>
              <w:top w:val="single" w:sz="8" w:space="0" w:color="000000"/>
              <w:left w:val="single" w:sz="8" w:space="0" w:color="000000"/>
              <w:bottom w:val="single" w:sz="8" w:space="0" w:color="000000"/>
              <w:right w:val="single" w:sz="8" w:space="0" w:color="000000"/>
            </w:tcBorders>
            <w:shd w:val="clear" w:color="auto" w:fill="auto"/>
          </w:tcPr>
          <w:p w14:paraId="6DECF674" w14:textId="77777777" w:rsidR="00686AFA" w:rsidRDefault="00686AFA" w:rsidP="00016F6B">
            <w:pPr>
              <w:pStyle w:val="LO-normal"/>
              <w:widowControl w:val="0"/>
              <w:spacing w:line="240" w:lineRule="auto"/>
            </w:pPr>
            <w:r>
              <w:t>α-helix and two antiparallel β-sheets</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36B7AB5D" w14:textId="77777777" w:rsidR="00686AFA" w:rsidRDefault="00686AFA" w:rsidP="00016F6B">
            <w:pPr>
              <w:pStyle w:val="LO-normal"/>
              <w:widowControl w:val="0"/>
              <w:spacing w:line="240" w:lineRule="auto"/>
            </w:pPr>
            <w:r>
              <w:t>1ZFU</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3F35E5ED" w14:textId="13BB7049" w:rsidR="00686AFA" w:rsidRDefault="00686AFA" w:rsidP="0019024E">
            <w:pPr>
              <w:pStyle w:val="LO-normal"/>
              <w:widowControl w:val="0"/>
              <w:spacing w:line="240" w:lineRule="auto"/>
            </w:pPr>
            <w:r>
              <w:fldChar w:fldCharType="begin" w:fldLock="1"/>
            </w:r>
            <w:r w:rsidR="00D217EC">
              <w:instrText>ADDIN CSL_CITATION {"citationItems":[{"id":"ITEM-1","itemData":{"DOI":"10.1038/nature04051","ISSN":"14764687","PMID":"16222292","abstract":"Animals and higher plants express endogenous peptide antibiotics called defensins. These small cysteine-rich peptides are active against bacteria, fungi and viruses. Here we describe plectasin the first defensin to be isolated from a fungus, the saprophytic ascomycete Pseudoplectania nigrella. Plectasin has primary, secondary and tertiary structures that closely resemble those of defensins found in spiders, scorpions, dragonflies and mussels. Recombinant plectasin was produced at a very high, and commercially viable, yield and purity. In vitro, the recombinant peptide was especially active against Streptococcus pneumoniae, including strains resistant to conventional antibiotics. Plectasin showed extremely low toxicity in mice, and cured them of experimental peritonitis and pneumonia caused by S. pneumoniae as efficaciously as vancomycin and penicillin. These findings identify fungi as a novel source of antimicrobial defensins, and show the therapeutic potential of plectasin. They also suggest that the defensins of insects, molluscs and fungi arose from a common ancestral gene. © 2005 Nature Publishing Group.","author":[{"dropping-particle":"","family":"Mygind","given":"Per H.","non-dropping-particle":"","parse-names":false,"suffix":""},{"dropping-particle":"","family":"Fischer","given":"Rikke L.","non-dropping-particle":"","parse-names":false,"suffix":""},{"dropping-particle":"","family":"Schnorr","given":"Kirk M.","non-dropping-particle":"","parse-names":false,"suffix":""},{"dropping-particle":"","family":"Hansen","given":"Mogens T.","non-dropping-particle":"","parse-names":false,"suffix":""},{"dropping-particle":"","family":"Sönksen","given":"Carsten P.","non-dropping-particle":"","parse-names":false,"suffix":""},{"dropping-particle":"","family":"Ludvigsen","given":"Svend","non-dropping-particle":"","parse-names":false,"suffix":""},{"dropping-particle":"","family":"Raventós","given":"Dorotea","non-dropping-particle":"","parse-names":false,"suffix":""},{"dropping-particle":"","family":"Buskov","given":"Steen","non-dropping-particle":"","parse-names":false,"suffix":""},{"dropping-particle":"","family":"Christensen","given":"Bjarke","non-dropping-particle":"","parse-names":false,"suffix":""},{"dropping-particle":"","family":"Maria","given":"Leonardo","non-dropping-particle":"De","parse-names":false,"suffix":""},{"dropping-particle":"","family":"Taboureau","given":"Olivier","non-dropping-particle":"","parse-names":false,"suffix":""},{"dropping-particle":"","family":"Yaver","given":"Debbie","non-dropping-particle":"","parse-names":false,"suffix":""},{"dropping-particle":"","family":"Elvig-Jørgensen","given":"Signe G.","non-dropping-particle":"","parse-names":false,"suffix":""},{"dropping-particle":"V.","family":"Sørensen","given":"Marianne","non-dropping-particle":"","parse-names":false,"suffix":""},{"dropping-particle":"","family":"Christensen","given":"Bjørn E.","non-dropping-particle":"","parse-names":false,"suffix":""},{"dropping-particle":"","family":"Kjærulff","given":"Søren","non-dropping-particle":"","parse-names":false,"suffix":""},{"dropping-particle":"","family":"Frimodt-Moller","given":"Niels","non-dropping-particle":"","parse-names":false,"suffix":""},{"dropping-particle":"","family":"Lehrer","given":"Robert I.","non-dropping-particle":"","parse-names":false,"suffix":""},{"dropping-particle":"","family":"Zasloff","given":"Michael","non-dropping-particle":"","parse-names":false,"suffix":""},{"dropping-particle":"","family":"Kristensen","given":"Hans Henrik","non-dropping-particle":"","parse-names":false,"suffix":""}],"container-title":"Nature","id":"ITEM-1","issue":"7061","issued":{"date-parts":[["2005","10","13"]]},"page":"975-980","publisher":"Nature Publishing Group","title":"Plectasin is a peptide antibiotic with therapeutic potential from a saprophytic fungus","type":"article-journal","volume":"437"},"uris":["http://www.mendeley.com/documents/?uuid=765e19cd-1116-351c-890e-72b0f8ff0815"]}],"mendeley":{"formattedCitation":"&lt;sup&gt;86&lt;/sup&gt;","plainTextFormattedCitation":"86","previouslyFormattedCitation":"&lt;sup&gt;86&lt;/sup&gt;"},"properties":{"noteIndex":0},"schema":"https://github.com/citation-style-language/schema/raw/master/csl-citation.json"}</w:instrText>
            </w:r>
            <w:r>
              <w:fldChar w:fldCharType="separate"/>
            </w:r>
            <w:r w:rsidR="0019024E" w:rsidRPr="0019024E">
              <w:rPr>
                <w:noProof/>
                <w:vertAlign w:val="superscript"/>
              </w:rPr>
              <w:t>86</w:t>
            </w:r>
            <w:r>
              <w:fldChar w:fldCharType="end"/>
            </w:r>
          </w:p>
        </w:tc>
      </w:tr>
      <w:tr w:rsidR="00686AFA" w14:paraId="01151089" w14:textId="77777777" w:rsidTr="00016F6B">
        <w:trPr>
          <w:trHeight w:val="465"/>
        </w:trPr>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715F6E6F" w14:textId="77777777" w:rsidR="00686AFA" w:rsidRDefault="00686AFA" w:rsidP="00016F6B">
            <w:pPr>
              <w:pStyle w:val="LO-normal"/>
              <w:jc w:val="both"/>
            </w:pPr>
            <w:r>
              <w:t>KLA-1</w:t>
            </w:r>
          </w:p>
        </w:tc>
        <w:tc>
          <w:tcPr>
            <w:tcW w:w="3828" w:type="dxa"/>
            <w:tcBorders>
              <w:top w:val="single" w:sz="8" w:space="0" w:color="000000"/>
              <w:left w:val="single" w:sz="8" w:space="0" w:color="000000"/>
              <w:bottom w:val="single" w:sz="8" w:space="0" w:color="000000"/>
              <w:right w:val="single" w:sz="8" w:space="0" w:color="000000"/>
            </w:tcBorders>
            <w:shd w:val="clear" w:color="auto" w:fill="auto"/>
          </w:tcPr>
          <w:p w14:paraId="751C7F6C" w14:textId="77777777" w:rsidR="00686AFA" w:rsidRPr="00C83C4E" w:rsidRDefault="00686AFA" w:rsidP="00016F6B">
            <w:pPr>
              <w:pStyle w:val="LO-normal"/>
              <w:widowControl w:val="0"/>
              <w:spacing w:line="240" w:lineRule="auto"/>
              <w:rPr>
                <w:vertAlign w:val="subscript"/>
              </w:rPr>
            </w:pPr>
            <w:r>
              <w:t>KLALKLALKAWKAALKLA-NH</w:t>
            </w:r>
            <w:r>
              <w:rPr>
                <w:vertAlign w:val="subscript"/>
              </w:rPr>
              <w:t>2</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6151500A" w14:textId="77777777" w:rsidR="00686AFA" w:rsidRDefault="00686AFA" w:rsidP="00016F6B">
            <w:pPr>
              <w:pStyle w:val="LO-normal"/>
              <w:widowControl w:val="0"/>
              <w:spacing w:line="240" w:lineRule="auto"/>
            </w:pPr>
            <w:r>
              <w:t>+5</w:t>
            </w:r>
          </w:p>
        </w:tc>
        <w:tc>
          <w:tcPr>
            <w:tcW w:w="1815" w:type="dxa"/>
            <w:tcBorders>
              <w:top w:val="single" w:sz="8" w:space="0" w:color="000000"/>
              <w:left w:val="single" w:sz="8" w:space="0" w:color="000000"/>
              <w:bottom w:val="single" w:sz="8" w:space="0" w:color="000000"/>
              <w:right w:val="single" w:sz="8" w:space="0" w:color="000000"/>
            </w:tcBorders>
            <w:shd w:val="clear" w:color="auto" w:fill="auto"/>
          </w:tcPr>
          <w:p w14:paraId="07786894" w14:textId="77777777" w:rsidR="00686AFA" w:rsidRDefault="00686AFA" w:rsidP="00016F6B">
            <w:pPr>
              <w:pStyle w:val="LO-normal"/>
              <w:widowControl w:val="0"/>
              <w:spacing w:line="240" w:lineRule="auto"/>
            </w:pPr>
            <w:r>
              <w:t>α-helix</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31509A2F" w14:textId="77777777" w:rsidR="00686AFA" w:rsidRDefault="00686AFA" w:rsidP="00016F6B">
            <w:pPr>
              <w:pStyle w:val="LO-normal"/>
              <w:widowControl w:val="0"/>
              <w:spacing w:line="240" w:lineRule="auto"/>
            </w:pP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7C37BB30" w14:textId="2608EA83" w:rsidR="00686AFA" w:rsidRDefault="00686AFA" w:rsidP="0019024E">
            <w:pPr>
              <w:pStyle w:val="LO-normal"/>
              <w:widowControl w:val="0"/>
              <w:spacing w:line="240" w:lineRule="auto"/>
            </w:pPr>
            <w:r>
              <w:fldChar w:fldCharType="begin" w:fldLock="1"/>
            </w:r>
            <w:r w:rsidR="00D217EC">
              <w:instrText>ADDIN CSL_CITATION {"citationItems":[{"id":"ITEM-1","itemData":{"DOI":"10.1016/S0014-5793(97)00055-0","ISSN":"00145793","abstract":"The hydrophobicity (H), hydrophobic moment (μ) and the angle subtended by the positively charged helix face (Φ of a set of model and magainin 2 amide peptides with conserved charge and helix propensity have been shown to be effective modulators of antibacterial and haemolytic activity. Except peptides of low hydrophobicity which are inactive, changing the parameters has little influence on the activity against Gram-negative bacteria, thus revealing the dominance of electrostatic interactions for the effect, However, the increase of H, μ and Φ substantially enhances haemolytic and Gram-positive antibacterial activity and is related to a reduction of peptide specificity for Gram-negative bacteria.","author":[{"dropping-particle":"","family":"Dathe","given":"Margitta","non-dropping-particle":"","parse-names":false,"suffix":""},{"dropping-particle":"","family":"Wieprecht","given":"Torsten","non-dropping-particle":"","parse-names":false,"suffix":""},{"dropping-particle":"","family":"Nikolenko","given":"Heike","non-dropping-particle":"","parse-names":false,"suffix":""},{"dropping-particle":"","family":"Handel","given":"Liselotte","non-dropping-particle":"","parse-names":false,"suffix":""},{"dropping-particle":"","family":"Maloy","given":"W.Lee","non-dropping-particle":"","parse-names":false,"suffix":""},{"dropping-particle":"","family":"MacDonald","given":"Dorothy L","non-dropping-particle":"","parse-names":false,"suffix":""},{"dropping-particle":"","family":"Beyermann","given":"Michael","non-dropping-particle":"","parse-names":false,"suffix":""},{"dropping-particle":"","family":"Bienert","given":"Michael","non-dropping-particle":"","parse-names":false,"suffix":""}],"container-title":"FEBS Letters","id":"ITEM-1","issue":"2","issued":{"date-parts":[["1997","2","17"]]},"page":"208-212","publisher":"John Wiley &amp; Sons, Ltd","title":"Hydrophobicity, hydrophobic moment and angle subtended by charged residues modulate antibacterial and haemolytic activity of amphipathic helical peptides","type":"article-journal","volume":"403"},"uris":["http://www.mendeley.com/documents/?uuid=d187109b-02d0-3ab5-acf6-aadb50374c1f"]}],"mendeley":{"formattedCitation":"&lt;sup&gt;87&lt;/sup&gt;","plainTextFormattedCitation":"87","previouslyFormattedCitation":"&lt;sup&gt;87&lt;/sup&gt;"},"properties":{"noteIndex":0},"schema":"https://github.com/citation-style-language/schema/raw/master/csl-citation.json"}</w:instrText>
            </w:r>
            <w:r>
              <w:fldChar w:fldCharType="separate"/>
            </w:r>
            <w:r w:rsidR="0019024E" w:rsidRPr="0019024E">
              <w:rPr>
                <w:noProof/>
                <w:vertAlign w:val="superscript"/>
              </w:rPr>
              <w:t>87</w:t>
            </w:r>
            <w:r>
              <w:fldChar w:fldCharType="end"/>
            </w:r>
          </w:p>
        </w:tc>
      </w:tr>
    </w:tbl>
    <w:p w14:paraId="6CB26A74" w14:textId="77777777" w:rsidR="001529CF" w:rsidRDefault="001529CF">
      <w:pPr>
        <w:pStyle w:val="LO-normal"/>
        <w:jc w:val="both"/>
      </w:pPr>
    </w:p>
    <w:p w14:paraId="13AAE6E5" w14:textId="0C428DDF" w:rsidR="001529CF" w:rsidRDefault="00492337">
      <w:pPr>
        <w:pStyle w:val="LO-normal"/>
        <w:jc w:val="both"/>
      </w:pPr>
      <w:r>
        <w:t>Despite these limitations, computational approaches are widely used to aid and complement AMP research. In this review, we will provide an overview of AMP research problems that benefited greatly from the use of computational tools</w:t>
      </w:r>
      <w:r w:rsidR="00600729">
        <w:t>; specifically, we have chosen to focus on computational studies that were conducted to probe the effect of AMPs on bacterial membranes</w:t>
      </w:r>
      <w:r>
        <w:t xml:space="preserve"> The aim of this review is to collect relevant work in the field and provide a useful starting point and guide for computational modellers or for those seeking to complement experimental work on AMPs with computational tools. The first part of the review will cover methods for predicting the character and/or structure of novel potential AMPs; this involves pattern recognition and machine learning. The second part will focus on molecular simulation approaches that aim to elucidate the mode of action of AMPs by investigating their conformational and aggregation propensity and their interactions with model membranes.  </w:t>
      </w:r>
    </w:p>
    <w:p w14:paraId="1E689152" w14:textId="77777777" w:rsidR="001529CF" w:rsidRDefault="00492337">
      <w:pPr>
        <w:pStyle w:val="Heading1"/>
      </w:pPr>
      <w:bookmarkStart w:id="4" w:name="_3znysh7"/>
      <w:bookmarkEnd w:id="4"/>
      <w:r>
        <w:t>Approaches for Prediction of AMP Structure and Activity</w:t>
      </w:r>
    </w:p>
    <w:p w14:paraId="73B3CF35" w14:textId="70495F34" w:rsidR="009A45E9" w:rsidRDefault="00492337">
      <w:pPr>
        <w:pStyle w:val="LO-normal"/>
        <w:jc w:val="both"/>
      </w:pPr>
      <w:r>
        <w:t>Prediction approaches are used to discover novel sequences with AMP character, predict the mode of action or target of a known AMP, or to suggest a likely three-dimensional</w:t>
      </w:r>
      <w:r w:rsidR="00AE3E77">
        <w:t xml:space="preserve"> (3D)</w:t>
      </w:r>
      <w:r>
        <w:t xml:space="preserve"> structure when no experimental conformational data is available for a peptide. They accomplish this by mining available databases of existing AMPs to compare with putative sequences, while structural information can be obtained by homology with motifs known to have AMP activity.</w:t>
      </w:r>
    </w:p>
    <w:p w14:paraId="2C9BBE1F" w14:textId="54210BCE" w:rsidR="001529CF" w:rsidRDefault="00492337">
      <w:pPr>
        <w:pStyle w:val="LO-normal"/>
        <w:jc w:val="both"/>
      </w:pPr>
      <w:r>
        <w:t>In this section, we will highlight several computational tools that are used to predict and analyse these properties, and the applications they have found in the field of AMPs.</w:t>
      </w:r>
    </w:p>
    <w:p w14:paraId="0EC84445" w14:textId="709F5C1B" w:rsidR="00605644" w:rsidRDefault="00242E2D" w:rsidP="00605644">
      <w:pPr>
        <w:pStyle w:val="Heading3"/>
      </w:pPr>
      <w:bookmarkStart w:id="5" w:name="_5b874yqaf81r"/>
      <w:bookmarkEnd w:id="5"/>
      <w:r>
        <w:lastRenderedPageBreak/>
        <w:t>Databases of AMPs,</w:t>
      </w:r>
      <w:r w:rsidR="00605644">
        <w:t xml:space="preserve"> </w:t>
      </w:r>
      <w:r w:rsidR="00034C86">
        <w:t>AMP Design and Activity Prediction Tools</w:t>
      </w:r>
    </w:p>
    <w:p w14:paraId="33EFCC08" w14:textId="5C7FFD21" w:rsidR="00605644" w:rsidRDefault="00605644" w:rsidP="00605644">
      <w:pPr>
        <w:pStyle w:val="LO-normal"/>
        <w:jc w:val="both"/>
      </w:pPr>
      <w:r>
        <w:t>Perhaps the most important resource one can use to predict the AMP character of a novel sequence is a catalogue of existing AMPs, to be used as a reference and as a guide. To this end, there are several available databases listing known AMPs (natural and derived) that are annotated with relevant information. These sequences can be used to scan the literature for peptides with similar origins or modes o</w:t>
      </w:r>
      <w:r w:rsidR="005E05A6">
        <w:t>f action, helping to establish a relationship between structure and desired function</w:t>
      </w:r>
      <w:r>
        <w:t xml:space="preserve">. Databases may include information on the peptide such as source organism, modifications, physico-chemical parameters, structure, putative mechanisms, and others; these tags and features make it easy to sort and identify relevant entries. Some of the largest databases are general in nature, but some more specialised ones focus on AMPs from the same type of organism, such as frogs or plants, or on AMPs of the same type, such as peptaibols or bacteriocins (Table </w:t>
      </w:r>
      <w:r w:rsidR="00686AFA">
        <w:t>2</w:t>
      </w:r>
      <w:r>
        <w:t>).</w:t>
      </w:r>
    </w:p>
    <w:p w14:paraId="117314E4" w14:textId="77777777" w:rsidR="00605644" w:rsidRDefault="00605644" w:rsidP="00605644">
      <w:pPr>
        <w:pStyle w:val="LO-normal"/>
        <w:rPr>
          <w:b/>
        </w:rPr>
      </w:pPr>
    </w:p>
    <w:p w14:paraId="419157C3" w14:textId="77340D5D" w:rsidR="00D6767C" w:rsidRPr="00D53A98" w:rsidRDefault="00D6767C" w:rsidP="00605644">
      <w:pPr>
        <w:pStyle w:val="LO-normal"/>
      </w:pPr>
      <w:r>
        <w:t xml:space="preserve">Table </w:t>
      </w:r>
      <w:r w:rsidR="00686AFA">
        <w:t>2</w:t>
      </w:r>
      <w:r>
        <w:t>: Publicly available databases of AMPs</w:t>
      </w:r>
    </w:p>
    <w:tbl>
      <w:tblPr>
        <w:tblW w:w="90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40" w:type="dxa"/>
          <w:left w:w="23" w:type="dxa"/>
          <w:bottom w:w="40" w:type="dxa"/>
          <w:right w:w="40" w:type="dxa"/>
        </w:tblCellMar>
        <w:tblLook w:val="04A0" w:firstRow="1" w:lastRow="0" w:firstColumn="1" w:lastColumn="0" w:noHBand="0" w:noVBand="1"/>
      </w:tblPr>
      <w:tblGrid>
        <w:gridCol w:w="1242"/>
        <w:gridCol w:w="1120"/>
        <w:gridCol w:w="1142"/>
        <w:gridCol w:w="1231"/>
        <w:gridCol w:w="3904"/>
        <w:gridCol w:w="454"/>
      </w:tblGrid>
      <w:tr w:rsidR="00605644" w14:paraId="153B7574" w14:textId="77777777" w:rsidTr="00605644">
        <w:trPr>
          <w:trHeight w:val="315"/>
        </w:trPr>
        <w:tc>
          <w:tcPr>
            <w:tcW w:w="12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F53B55" w14:textId="77777777" w:rsidR="00605644" w:rsidRDefault="00605644" w:rsidP="00605644">
            <w:pPr>
              <w:pStyle w:val="LO-normal"/>
              <w:widowControl w:val="0"/>
              <w:rPr>
                <w:b/>
                <w:sz w:val="20"/>
                <w:szCs w:val="20"/>
              </w:rPr>
            </w:pPr>
            <w:r>
              <w:rPr>
                <w:b/>
                <w:sz w:val="20"/>
                <w:szCs w:val="20"/>
              </w:rPr>
              <w:t>Name</w:t>
            </w:r>
          </w:p>
        </w:tc>
        <w:tc>
          <w:tcPr>
            <w:tcW w:w="11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F1F0D1" w14:textId="77777777" w:rsidR="00605644" w:rsidRDefault="00605644" w:rsidP="00605644">
            <w:pPr>
              <w:pStyle w:val="LO-normal"/>
              <w:widowControl w:val="0"/>
              <w:rPr>
                <w:b/>
                <w:sz w:val="20"/>
                <w:szCs w:val="20"/>
              </w:rPr>
            </w:pPr>
            <w:r>
              <w:rPr>
                <w:b/>
                <w:sz w:val="20"/>
                <w:szCs w:val="20"/>
              </w:rPr>
              <w:t>Sequences</w:t>
            </w:r>
          </w:p>
        </w:tc>
        <w:tc>
          <w:tcPr>
            <w:tcW w:w="11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B03999" w14:textId="77777777" w:rsidR="00605644" w:rsidRDefault="00605644" w:rsidP="00605644">
            <w:pPr>
              <w:pStyle w:val="LO-normal"/>
              <w:widowControl w:val="0"/>
              <w:rPr>
                <w:b/>
                <w:sz w:val="20"/>
                <w:szCs w:val="20"/>
              </w:rPr>
            </w:pPr>
            <w:r>
              <w:rPr>
                <w:b/>
                <w:sz w:val="20"/>
                <w:szCs w:val="20"/>
              </w:rPr>
              <w:t>Structures</w:t>
            </w:r>
          </w:p>
        </w:tc>
        <w:tc>
          <w:tcPr>
            <w:tcW w:w="12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9E7AD9" w14:textId="77777777" w:rsidR="00605644" w:rsidRDefault="00605644" w:rsidP="00605644">
            <w:pPr>
              <w:pStyle w:val="LO-normal"/>
              <w:widowControl w:val="0"/>
              <w:rPr>
                <w:b/>
                <w:sz w:val="20"/>
                <w:szCs w:val="20"/>
              </w:rPr>
            </w:pPr>
            <w:r>
              <w:rPr>
                <w:b/>
                <w:sz w:val="20"/>
                <w:szCs w:val="20"/>
              </w:rPr>
              <w:t>Kind</w:t>
            </w:r>
          </w:p>
        </w:tc>
        <w:tc>
          <w:tcPr>
            <w:tcW w:w="39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DBAF9F" w14:textId="77777777" w:rsidR="00605644" w:rsidRDefault="00605644" w:rsidP="00605644">
            <w:pPr>
              <w:pStyle w:val="LO-normal"/>
              <w:widowControl w:val="0"/>
              <w:rPr>
                <w:b/>
                <w:sz w:val="20"/>
                <w:szCs w:val="20"/>
              </w:rPr>
            </w:pPr>
            <w:r>
              <w:rPr>
                <w:b/>
                <w:sz w:val="20"/>
                <w:szCs w:val="20"/>
              </w:rPr>
              <w:t>Website</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ED49F7" w14:textId="77777777" w:rsidR="00605644" w:rsidRDefault="00605644" w:rsidP="00605644">
            <w:pPr>
              <w:pStyle w:val="LO-normal"/>
              <w:widowControl w:val="0"/>
              <w:rPr>
                <w:b/>
                <w:sz w:val="20"/>
                <w:szCs w:val="20"/>
              </w:rPr>
            </w:pPr>
            <w:r>
              <w:rPr>
                <w:b/>
                <w:sz w:val="20"/>
                <w:szCs w:val="20"/>
              </w:rPr>
              <w:t>Ref.</w:t>
            </w:r>
          </w:p>
        </w:tc>
      </w:tr>
      <w:tr w:rsidR="00605644" w14:paraId="67EEF40B" w14:textId="77777777" w:rsidTr="00D53A98">
        <w:tc>
          <w:tcPr>
            <w:tcW w:w="1242" w:type="dxa"/>
            <w:tcBorders>
              <w:left w:val="single" w:sz="6" w:space="0" w:color="000000"/>
              <w:bottom w:val="single" w:sz="6" w:space="0" w:color="000000"/>
              <w:right w:val="single" w:sz="6" w:space="0" w:color="000000"/>
            </w:tcBorders>
            <w:shd w:val="clear" w:color="auto" w:fill="auto"/>
            <w:vAlign w:val="center"/>
          </w:tcPr>
          <w:p w14:paraId="2515AC1F" w14:textId="77777777" w:rsidR="00605644" w:rsidRDefault="00605644" w:rsidP="008D2D74">
            <w:pPr>
              <w:pStyle w:val="LO-normal"/>
              <w:widowControl w:val="0"/>
              <w:rPr>
                <w:sz w:val="20"/>
                <w:szCs w:val="20"/>
              </w:rPr>
            </w:pPr>
            <w:r>
              <w:rPr>
                <w:sz w:val="20"/>
                <w:szCs w:val="20"/>
              </w:rPr>
              <w:t>CAMPR3</w:t>
            </w:r>
          </w:p>
        </w:tc>
        <w:tc>
          <w:tcPr>
            <w:tcW w:w="1120" w:type="dxa"/>
            <w:tcBorders>
              <w:left w:val="single" w:sz="6" w:space="0" w:color="000000"/>
              <w:bottom w:val="single" w:sz="6" w:space="0" w:color="000000"/>
              <w:right w:val="single" w:sz="6" w:space="0" w:color="000000"/>
            </w:tcBorders>
            <w:shd w:val="clear" w:color="auto" w:fill="auto"/>
            <w:vAlign w:val="center"/>
          </w:tcPr>
          <w:p w14:paraId="4B78F7F4" w14:textId="77777777" w:rsidR="00605644" w:rsidRDefault="00605644" w:rsidP="00D53A98">
            <w:pPr>
              <w:pStyle w:val="LO-normal"/>
              <w:widowControl w:val="0"/>
              <w:rPr>
                <w:sz w:val="20"/>
                <w:szCs w:val="20"/>
              </w:rPr>
            </w:pPr>
            <w:r>
              <w:rPr>
                <w:sz w:val="20"/>
                <w:szCs w:val="20"/>
              </w:rPr>
              <w:t>8164</w:t>
            </w:r>
          </w:p>
        </w:tc>
        <w:tc>
          <w:tcPr>
            <w:tcW w:w="1142" w:type="dxa"/>
            <w:tcBorders>
              <w:left w:val="single" w:sz="6" w:space="0" w:color="000000"/>
              <w:bottom w:val="single" w:sz="6" w:space="0" w:color="000000"/>
              <w:right w:val="single" w:sz="6" w:space="0" w:color="000000"/>
            </w:tcBorders>
            <w:shd w:val="clear" w:color="auto" w:fill="auto"/>
            <w:vAlign w:val="center"/>
          </w:tcPr>
          <w:p w14:paraId="7ACD2B8C" w14:textId="77777777" w:rsidR="00605644" w:rsidRDefault="00605644" w:rsidP="00D53A98">
            <w:pPr>
              <w:pStyle w:val="LO-normal"/>
              <w:widowControl w:val="0"/>
              <w:rPr>
                <w:sz w:val="20"/>
                <w:szCs w:val="20"/>
              </w:rPr>
            </w:pPr>
            <w:r>
              <w:rPr>
                <w:sz w:val="20"/>
                <w:szCs w:val="20"/>
              </w:rPr>
              <w:t>757</w:t>
            </w:r>
          </w:p>
        </w:tc>
        <w:tc>
          <w:tcPr>
            <w:tcW w:w="1231" w:type="dxa"/>
            <w:tcBorders>
              <w:left w:val="single" w:sz="6" w:space="0" w:color="000000"/>
              <w:bottom w:val="single" w:sz="6" w:space="0" w:color="000000"/>
              <w:right w:val="single" w:sz="6" w:space="0" w:color="000000"/>
            </w:tcBorders>
            <w:shd w:val="clear" w:color="auto" w:fill="auto"/>
            <w:vAlign w:val="center"/>
          </w:tcPr>
          <w:p w14:paraId="2C0C86E2" w14:textId="77777777" w:rsidR="00605644" w:rsidRDefault="00605644" w:rsidP="008D2D74">
            <w:pPr>
              <w:pStyle w:val="LO-normal"/>
              <w:widowControl w:val="0"/>
              <w:rPr>
                <w:sz w:val="20"/>
                <w:szCs w:val="20"/>
              </w:rPr>
            </w:pPr>
            <w:r>
              <w:rPr>
                <w:sz w:val="20"/>
                <w:szCs w:val="20"/>
              </w:rPr>
              <w:t>General</w:t>
            </w:r>
          </w:p>
        </w:tc>
        <w:tc>
          <w:tcPr>
            <w:tcW w:w="3904" w:type="dxa"/>
            <w:tcBorders>
              <w:left w:val="single" w:sz="6" w:space="0" w:color="000000"/>
              <w:bottom w:val="single" w:sz="6" w:space="0" w:color="000000"/>
              <w:right w:val="single" w:sz="6" w:space="0" w:color="000000"/>
            </w:tcBorders>
            <w:shd w:val="clear" w:color="auto" w:fill="auto"/>
            <w:vAlign w:val="center"/>
          </w:tcPr>
          <w:p w14:paraId="779F4AAA" w14:textId="77777777" w:rsidR="00605644" w:rsidRDefault="00640BFA" w:rsidP="008D2D74">
            <w:pPr>
              <w:pStyle w:val="LO-normal"/>
              <w:widowControl w:val="0"/>
            </w:pPr>
            <w:hyperlink r:id="rId13">
              <w:r w:rsidR="00605644">
                <w:rPr>
                  <w:rStyle w:val="ListLabel120"/>
                </w:rPr>
                <w:t>camp.bicnirrh.res.in/</w:t>
              </w:r>
            </w:hyperlink>
          </w:p>
        </w:tc>
        <w:tc>
          <w:tcPr>
            <w:tcW w:w="454" w:type="dxa"/>
            <w:tcBorders>
              <w:left w:val="single" w:sz="6" w:space="0" w:color="000000"/>
              <w:bottom w:val="single" w:sz="6" w:space="0" w:color="000000"/>
              <w:right w:val="single" w:sz="6" w:space="0" w:color="000000"/>
            </w:tcBorders>
            <w:shd w:val="clear" w:color="auto" w:fill="auto"/>
            <w:vAlign w:val="center"/>
          </w:tcPr>
          <w:p w14:paraId="35004F4C" w14:textId="541197DC" w:rsidR="00605644" w:rsidRDefault="00605644" w:rsidP="0019024E">
            <w:pPr>
              <w:pStyle w:val="LO-normal"/>
              <w:widowControl w:val="0"/>
              <w:rPr>
                <w:rStyle w:val="ListLabel121"/>
                <w:vertAlign w:val="baseline"/>
              </w:rPr>
            </w:pPr>
            <w:r>
              <w:rPr>
                <w:rStyle w:val="ListLabel121"/>
              </w:rPr>
              <w:fldChar w:fldCharType="begin" w:fldLock="1"/>
            </w:r>
            <w:r w:rsidR="00D217EC">
              <w:rPr>
                <w:rStyle w:val="ListLabel121"/>
              </w:rPr>
              <w:instrText>ADDIN CSL_CITATION {"citationItems":[{"id":"ITEM-1","itemData":{"DOI":"10.1093/nar/gkv1051","ISSN":"13624962","PMID":"26467475","abstract":"Antimicrobial peptides (AMPs) are known to have family-specific sequence composition, which can be mined for discovery and design of AMPs. Here, we present CAMPR3; an update to the existing CAMP database available online at www.camp3.bicnirrh. res.in. It is a database of sequences, structures and family-specific signatures of prokaryotic and eukaryotic AMPs. Family-specific sequence signatures comprising of patterns and Hidden Markov Models were generated for 45 AMP families by analysing 1386 experimentally studied AMPs. These were further used to retrieve AMPs from online sequence databases. More than 4000 AMPs could be identified using these signatures. AMP family signatures provided in CAMPR3 can thus be used to accelerate and expand the discovery of AMPs. CAMPR3 presently holds 10247 sequences, 757 structures and 114 family-specific signatures of AMPs. Users can avail the sequence optimization algorithm for rational design of AMPs. The database integrated with tools for AMP sequence and structure analysis will be a valuable resource for family-based studies on AMPs.","author":[{"dropping-particle":"","family":"Waghu","given":"Faiza Hanif","non-dropping-particle":"","parse-names":false,"suffix":""},{"dropping-particle":"","family":"Barai","given":"Ram Shankar","non-dropping-particle":"","parse-names":false,"suffix":""},{"dropping-particle":"","family":"Gurung","given":"Pratima","non-dropping-particle":"","parse-names":false,"suffix":""},{"dropping-particle":"","family":"Idicula-Thomas","given":"Susan","non-dropping-particle":"","parse-names":false,"suffix":""}],"container-title":"Nucleic Acids Research","id":"ITEM-1","issue":"D1","issued":{"date-parts":[["2016","1","4"]]},"page":"D1094-D1097","publisher":"Oxford University Press","title":"CAMPR3: A database on sequences, structures and signatures of antimicrobial peptides","type":"article-journal","volume":"44"},"uris":["http://www.mendeley.com/documents/?uuid=d364bf0c-8bc0-3cf8-8030-3e7e6900c18c"]}],"mendeley":{"formattedCitation":"&lt;sup&gt;88&lt;/sup&gt;","plainTextFormattedCitation":"88","previouslyFormattedCitation":"&lt;sup&gt;88&lt;/sup&gt;"},"properties":{"noteIndex":0},"schema":"https://github.com/citation-style-language/schema/raw/master/csl-citation.json"}</w:instrText>
            </w:r>
            <w:r>
              <w:rPr>
                <w:rStyle w:val="ListLabel121"/>
              </w:rPr>
              <w:fldChar w:fldCharType="separate"/>
            </w:r>
            <w:r w:rsidR="0019024E" w:rsidRPr="0019024E">
              <w:rPr>
                <w:rStyle w:val="ListLabel121"/>
                <w:noProof/>
              </w:rPr>
              <w:t>88</w:t>
            </w:r>
            <w:r>
              <w:rPr>
                <w:rStyle w:val="ListLabel121"/>
              </w:rPr>
              <w:fldChar w:fldCharType="end"/>
            </w:r>
          </w:p>
        </w:tc>
      </w:tr>
      <w:tr w:rsidR="00605644" w14:paraId="54338FE4" w14:textId="77777777" w:rsidTr="00D53A98">
        <w:tc>
          <w:tcPr>
            <w:tcW w:w="12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15373E" w14:textId="77777777" w:rsidR="00605644" w:rsidRDefault="00605644" w:rsidP="008D2D74">
            <w:pPr>
              <w:pStyle w:val="LO-normal"/>
              <w:widowControl w:val="0"/>
              <w:rPr>
                <w:sz w:val="20"/>
                <w:szCs w:val="20"/>
              </w:rPr>
            </w:pPr>
            <w:r>
              <w:rPr>
                <w:sz w:val="20"/>
                <w:szCs w:val="20"/>
              </w:rPr>
              <w:t>APD</w:t>
            </w:r>
          </w:p>
        </w:tc>
        <w:tc>
          <w:tcPr>
            <w:tcW w:w="11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F518EC" w14:textId="77777777" w:rsidR="00605644" w:rsidRDefault="00605644" w:rsidP="00D53A98">
            <w:pPr>
              <w:pStyle w:val="LO-normal"/>
              <w:widowControl w:val="0"/>
              <w:rPr>
                <w:sz w:val="20"/>
                <w:szCs w:val="20"/>
              </w:rPr>
            </w:pPr>
            <w:r>
              <w:rPr>
                <w:sz w:val="20"/>
                <w:szCs w:val="20"/>
              </w:rPr>
              <w:t>3165</w:t>
            </w:r>
          </w:p>
        </w:tc>
        <w:tc>
          <w:tcPr>
            <w:tcW w:w="11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C9CF94" w14:textId="77777777" w:rsidR="00605644" w:rsidRDefault="00605644" w:rsidP="00D53A98">
            <w:pPr>
              <w:pStyle w:val="LO-normal"/>
              <w:widowControl w:val="0"/>
              <w:rPr>
                <w:sz w:val="20"/>
                <w:szCs w:val="20"/>
              </w:rPr>
            </w:pPr>
            <w:r>
              <w:rPr>
                <w:sz w:val="20"/>
                <w:szCs w:val="20"/>
              </w:rPr>
              <w:t>409</w:t>
            </w:r>
          </w:p>
        </w:tc>
        <w:tc>
          <w:tcPr>
            <w:tcW w:w="12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2D434B" w14:textId="77777777" w:rsidR="00605644" w:rsidRDefault="00605644" w:rsidP="008D2D74">
            <w:pPr>
              <w:pStyle w:val="LO-normal"/>
              <w:widowControl w:val="0"/>
              <w:rPr>
                <w:sz w:val="20"/>
                <w:szCs w:val="20"/>
              </w:rPr>
            </w:pPr>
            <w:r>
              <w:rPr>
                <w:sz w:val="20"/>
                <w:szCs w:val="20"/>
              </w:rPr>
              <w:t>General</w:t>
            </w:r>
          </w:p>
        </w:tc>
        <w:tc>
          <w:tcPr>
            <w:tcW w:w="39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7B8EFB" w14:textId="77777777" w:rsidR="00605644" w:rsidRDefault="00640BFA" w:rsidP="008D2D74">
            <w:pPr>
              <w:pStyle w:val="LO-normal"/>
              <w:widowControl w:val="0"/>
            </w:pPr>
            <w:hyperlink r:id="rId14">
              <w:r w:rsidR="00605644">
                <w:rPr>
                  <w:rStyle w:val="ListLabel120"/>
                </w:rPr>
                <w:t>aps.unmc.edu/AP/main.php</w:t>
              </w:r>
            </w:hyperlink>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28FB0B" w14:textId="48BA69F2" w:rsidR="00605644" w:rsidRDefault="00605644" w:rsidP="0019024E">
            <w:pPr>
              <w:pStyle w:val="LO-normal"/>
              <w:widowControl w:val="0"/>
              <w:rPr>
                <w:rStyle w:val="ListLabel121"/>
                <w:vertAlign w:val="baseline"/>
              </w:rPr>
            </w:pPr>
            <w:r>
              <w:rPr>
                <w:rStyle w:val="ListLabel121"/>
              </w:rPr>
              <w:fldChar w:fldCharType="begin" w:fldLock="1"/>
            </w:r>
            <w:r w:rsidR="00D217EC">
              <w:rPr>
                <w:rStyle w:val="ListLabel121"/>
              </w:rPr>
              <w:instrText>ADDIN CSL_CITATION {"citationItems":[{"id":"ITEM-1","itemData":{"DOI":"10.1093/nar/gkv1278","ISSN":"13624962","PMID":"26602694","abstract":"The antimicrobial peptide database (APD, http://aps.unmc.edu/AP/) is an original database initially online in 2003. The APD2 (2009 version) has been regularly updated and further expanded into the APD3. This database currently focuses on natural antimicrobial peptides (AMPs) with defined sequence and activity. It includes a total of 2619 AMPs with 261 bacteriocins from bacteria, 4 AMPs from archaea, 7 from protists, 13 from fungi, 321 from plants and 1972 animal host defense peptides. The APD3 contains 2169 antibacterial, 172 antiviral, 105 anti-HIV, 959 antifungal, 80 antiparasitic and 185 anticancer peptides. Newly annotated are AMPswith antibiofilm, antimalarial, anti-protist, insecticidal, spermicidal, chemotactic, wound healing, antioxidant and protease inhibiting properties. We also describe other searchable annotations, including target pathogens, molecule-binding partners, post-translational modifications and animal models. Amino acid profiles or signatures of natural AMPs are important for peptide classification, prediction and design. Finally, we summarize various database applications in research and education.","author":[{"dropping-particle":"","family":"Wang","given":"Guangshun","non-dropping-particle":"","parse-names":false,"suffix":""},{"dropping-particle":"","family":"Li","given":"Xia","non-dropping-particle":"","parse-names":false,"suffix":""},{"dropping-particle":"","family":"Wang","given":"Zhe","non-dropping-particle":"","parse-names":false,"suffix":""}],"container-title":"Nucleic Acids Research","id":"ITEM-1","issue":"D1","issued":{"date-parts":[["2016","1","4"]]},"page":"D1087-D1093","publisher":"Oxford University Press","title":"APD3: The antimicrobial peptide database as a tool for research and education","type":"article-journal","volume":"44"},"uris":["http://www.mendeley.com/documents/?uuid=780e9207-4362-3e21-8489-5e87c1016b1d"]}],"mendeley":{"formattedCitation":"&lt;sup&gt;89&lt;/sup&gt;","plainTextFormattedCitation":"89","previouslyFormattedCitation":"&lt;sup&gt;89&lt;/sup&gt;"},"properties":{"noteIndex":0},"schema":"https://github.com/citation-style-language/schema/raw/master/csl-citation.json"}</w:instrText>
            </w:r>
            <w:r>
              <w:rPr>
                <w:rStyle w:val="ListLabel121"/>
              </w:rPr>
              <w:fldChar w:fldCharType="separate"/>
            </w:r>
            <w:r w:rsidR="0019024E" w:rsidRPr="0019024E">
              <w:rPr>
                <w:rStyle w:val="ListLabel121"/>
                <w:noProof/>
              </w:rPr>
              <w:t>89</w:t>
            </w:r>
            <w:r>
              <w:rPr>
                <w:rStyle w:val="ListLabel121"/>
              </w:rPr>
              <w:fldChar w:fldCharType="end"/>
            </w:r>
          </w:p>
        </w:tc>
      </w:tr>
      <w:tr w:rsidR="00605644" w14:paraId="4DD795B8" w14:textId="77777777" w:rsidTr="00D53A98">
        <w:tc>
          <w:tcPr>
            <w:tcW w:w="12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23EED3" w14:textId="77777777" w:rsidR="00605644" w:rsidRDefault="00605644" w:rsidP="008D2D74">
            <w:pPr>
              <w:pStyle w:val="LO-normal"/>
              <w:widowControl w:val="0"/>
              <w:rPr>
                <w:sz w:val="20"/>
                <w:szCs w:val="20"/>
              </w:rPr>
            </w:pPr>
            <w:r>
              <w:rPr>
                <w:sz w:val="20"/>
                <w:szCs w:val="20"/>
              </w:rPr>
              <w:t>YADAMP</w:t>
            </w:r>
          </w:p>
        </w:tc>
        <w:tc>
          <w:tcPr>
            <w:tcW w:w="11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8DFC0D" w14:textId="77777777" w:rsidR="00605644" w:rsidRDefault="00605644" w:rsidP="00D53A98">
            <w:pPr>
              <w:pStyle w:val="LO-normal"/>
              <w:widowControl w:val="0"/>
              <w:rPr>
                <w:sz w:val="20"/>
                <w:szCs w:val="20"/>
              </w:rPr>
            </w:pPr>
            <w:r>
              <w:rPr>
                <w:sz w:val="20"/>
                <w:szCs w:val="20"/>
              </w:rPr>
              <w:t>2525</w:t>
            </w:r>
          </w:p>
        </w:tc>
        <w:tc>
          <w:tcPr>
            <w:tcW w:w="11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0B720A" w14:textId="77777777" w:rsidR="00605644" w:rsidRDefault="00605644" w:rsidP="00D53A98">
            <w:pPr>
              <w:pStyle w:val="LO-normal"/>
              <w:widowControl w:val="0"/>
              <w:rPr>
                <w:sz w:val="20"/>
                <w:szCs w:val="20"/>
              </w:rPr>
            </w:pPr>
            <w:r>
              <w:rPr>
                <w:sz w:val="20"/>
                <w:szCs w:val="20"/>
              </w:rPr>
              <w:t>2525 (predicted)</w:t>
            </w:r>
          </w:p>
        </w:tc>
        <w:tc>
          <w:tcPr>
            <w:tcW w:w="12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22B203" w14:textId="77777777" w:rsidR="00605644" w:rsidRDefault="00605644" w:rsidP="008D2D74">
            <w:pPr>
              <w:pStyle w:val="LO-normal"/>
              <w:widowControl w:val="0"/>
              <w:rPr>
                <w:sz w:val="20"/>
                <w:szCs w:val="20"/>
              </w:rPr>
            </w:pPr>
            <w:r>
              <w:rPr>
                <w:sz w:val="20"/>
                <w:szCs w:val="20"/>
              </w:rPr>
              <w:t>General</w:t>
            </w:r>
          </w:p>
        </w:tc>
        <w:tc>
          <w:tcPr>
            <w:tcW w:w="39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1408C4" w14:textId="77777777" w:rsidR="00605644" w:rsidRDefault="00640BFA" w:rsidP="008D2D74">
            <w:pPr>
              <w:pStyle w:val="LO-normal"/>
              <w:widowControl w:val="0"/>
            </w:pPr>
            <w:hyperlink r:id="rId15">
              <w:r w:rsidR="00605644">
                <w:rPr>
                  <w:rStyle w:val="ListLabel120"/>
                </w:rPr>
                <w:t>yadamp.unisa.it/about.aspx</w:t>
              </w:r>
            </w:hyperlink>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A0FB5B" w14:textId="7F7DE1D0" w:rsidR="00605644" w:rsidRDefault="00605644" w:rsidP="0019024E">
            <w:pPr>
              <w:pStyle w:val="LO-normal"/>
              <w:widowControl w:val="0"/>
              <w:rPr>
                <w:rStyle w:val="ListLabel121"/>
                <w:vertAlign w:val="baseline"/>
              </w:rPr>
            </w:pPr>
            <w:r>
              <w:rPr>
                <w:rStyle w:val="ListLabel121"/>
              </w:rPr>
              <w:fldChar w:fldCharType="begin" w:fldLock="1"/>
            </w:r>
            <w:r w:rsidR="00D217EC">
              <w:rPr>
                <w:rStyle w:val="ListLabel121"/>
              </w:rPr>
              <w:instrText>ADDIN CSL_CITATION {"citationItems":[{"id":"ITEM-1","itemData":{"DOI":"10.1016/j.ijantimicag.2011.12.003","ISSN":"09248579","PMID":"22325123","abstract":"This work presents an antimicrobial peptide database (YADAMP) based on an extensive literature search. This database is focused primarily on bacteria, with detailed information for 2133 peptides active against bacteria. YADAMP was created to facilitate access to critical information on antimicrobial peptides (AMPs). The main difference between YADAMP and other web databases of AMPs is the explicit presence of antimicrobial activity against the most common bacterial strains. YADAMP allows complex queries, easily accessible through a web interface. Peptide information can be retrieved based on peptide name, number of amino acids, net charge, hydrophobic percentage, sequence motif, structure and activity against bacteria. YADAMP is suitable for reviewing information on AMPs and for structure-function analyses of peptides. The database can be accessed via a web-based browser at http://www.yadamp.unisa.it. © 2012 Elsevier B.V. and the International Society of Chemotherapy. All rights reserved.","author":[{"dropping-particle":"","family":"Piotto","given":"Stefano P.","non-dropping-particle":"","parse-names":false,"suffix":""},{"dropping-particle":"","family":"Sessa","given":"Lucia","non-dropping-particle":"","parse-names":false,"suffix":""},{"dropping-particle":"","family":"Concilio","given":"Simona","non-dropping-particle":"","parse-names":false,"suffix":""},{"dropping-particle":"","family":"Iannelli","given":"Pio","non-dropping-particle":"","parse-names":false,"suffix":""}],"container-title":"International Journal of Antimicrobial Agents","id":"ITEM-1","issue":"4","issued":{"date-parts":[["2012","4","1"]]},"page":"346-351","publisher":"Elsevier","title":"YADAMP: Yet another database of antimicrobial peptides","type":"article-journal","volume":"39"},"uris":["http://www.mendeley.com/documents/?uuid=b15e4e57-131e-30af-887d-d6ae267d2b2b"]}],"mendeley":{"formattedCitation":"&lt;sup&gt;90&lt;/sup&gt;","plainTextFormattedCitation":"90","previouslyFormattedCitation":"&lt;sup&gt;90&lt;/sup&gt;"},"properties":{"noteIndex":0},"schema":"https://github.com/citation-style-language/schema/raw/master/csl-citation.json"}</w:instrText>
            </w:r>
            <w:r>
              <w:rPr>
                <w:rStyle w:val="ListLabel121"/>
              </w:rPr>
              <w:fldChar w:fldCharType="separate"/>
            </w:r>
            <w:r w:rsidR="0019024E" w:rsidRPr="0019024E">
              <w:rPr>
                <w:rStyle w:val="ListLabel121"/>
                <w:noProof/>
              </w:rPr>
              <w:t>90</w:t>
            </w:r>
            <w:r>
              <w:rPr>
                <w:rStyle w:val="ListLabel121"/>
              </w:rPr>
              <w:fldChar w:fldCharType="end"/>
            </w:r>
          </w:p>
        </w:tc>
      </w:tr>
      <w:tr w:rsidR="00605644" w14:paraId="4BA1181C" w14:textId="77777777" w:rsidTr="00D53A98">
        <w:tc>
          <w:tcPr>
            <w:tcW w:w="12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978E81" w14:textId="77777777" w:rsidR="00605644" w:rsidRDefault="00605644" w:rsidP="008D2D74">
            <w:pPr>
              <w:pStyle w:val="LO-normal"/>
              <w:widowControl w:val="0"/>
              <w:rPr>
                <w:sz w:val="20"/>
                <w:szCs w:val="20"/>
              </w:rPr>
            </w:pPr>
            <w:r>
              <w:rPr>
                <w:sz w:val="20"/>
                <w:szCs w:val="20"/>
              </w:rPr>
              <w:t>PhytAMP</w:t>
            </w:r>
          </w:p>
        </w:tc>
        <w:tc>
          <w:tcPr>
            <w:tcW w:w="11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42E2D2" w14:textId="77777777" w:rsidR="00605644" w:rsidRDefault="00605644" w:rsidP="00D53A98">
            <w:pPr>
              <w:pStyle w:val="LO-normal"/>
              <w:widowControl w:val="0"/>
              <w:rPr>
                <w:sz w:val="20"/>
                <w:szCs w:val="20"/>
              </w:rPr>
            </w:pPr>
            <w:r>
              <w:rPr>
                <w:sz w:val="20"/>
                <w:szCs w:val="20"/>
              </w:rPr>
              <w:t>271</w:t>
            </w:r>
          </w:p>
        </w:tc>
        <w:tc>
          <w:tcPr>
            <w:tcW w:w="11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48B14" w14:textId="77777777" w:rsidR="00605644" w:rsidRDefault="00605644" w:rsidP="00D53A98">
            <w:pPr>
              <w:pStyle w:val="LO-normal"/>
              <w:widowControl w:val="0"/>
              <w:rPr>
                <w:sz w:val="20"/>
                <w:szCs w:val="20"/>
              </w:rPr>
            </w:pPr>
            <w:r>
              <w:rPr>
                <w:sz w:val="20"/>
                <w:szCs w:val="20"/>
              </w:rPr>
              <w:t>39</w:t>
            </w:r>
          </w:p>
        </w:tc>
        <w:tc>
          <w:tcPr>
            <w:tcW w:w="12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582A40" w14:textId="77777777" w:rsidR="00605644" w:rsidRDefault="00605644" w:rsidP="008D2D74">
            <w:pPr>
              <w:pStyle w:val="LO-normal"/>
              <w:widowControl w:val="0"/>
              <w:rPr>
                <w:sz w:val="20"/>
                <w:szCs w:val="20"/>
              </w:rPr>
            </w:pPr>
            <w:r>
              <w:rPr>
                <w:sz w:val="20"/>
                <w:szCs w:val="20"/>
              </w:rPr>
              <w:t>Plant AMP</w:t>
            </w:r>
          </w:p>
        </w:tc>
        <w:tc>
          <w:tcPr>
            <w:tcW w:w="39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59A4A1" w14:textId="77777777" w:rsidR="00605644" w:rsidRDefault="00640BFA" w:rsidP="008D2D74">
            <w:pPr>
              <w:pStyle w:val="LO-normal"/>
              <w:widowControl w:val="0"/>
            </w:pPr>
            <w:hyperlink r:id="rId16">
              <w:r w:rsidR="00605644">
                <w:rPr>
                  <w:rStyle w:val="ListLabel120"/>
                </w:rPr>
                <w:t>phytamp.pfba-lab-tun.org/main.php</w:t>
              </w:r>
            </w:hyperlink>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0D91D9" w14:textId="40516723" w:rsidR="00605644" w:rsidRDefault="00605644" w:rsidP="0019024E">
            <w:pPr>
              <w:pStyle w:val="LO-normal"/>
              <w:widowControl w:val="0"/>
              <w:rPr>
                <w:rStyle w:val="ListLabel121"/>
                <w:vertAlign w:val="baseline"/>
              </w:rPr>
            </w:pPr>
            <w:r>
              <w:rPr>
                <w:rStyle w:val="ListLabel121"/>
              </w:rPr>
              <w:fldChar w:fldCharType="begin" w:fldLock="1"/>
            </w:r>
            <w:r w:rsidR="00D217EC">
              <w:rPr>
                <w:rStyle w:val="ListLabel121"/>
              </w:rPr>
              <w:instrText>ADDIN CSL_CITATION {"citationItems":[{"id":"ITEM-1","itemData":{"DOI":"10.1093/nar/gkn655","ISSN":"13624962","PMID":"18836196","abstract":"Plants produce small cysteine-rich antimicrobial peptides as an innate defense against pathogens. Based on amino acid sequence homology, these peptides were classified mostly as α-defensins, thionins, lipid transfer proteins, cyclotides, snakins and hevein-like. Although many antimicrobial plant peptides are now well characterized, much information is still missing or is unavailable to potential users. The compilation of such information in one centralized resource, such as a database would therefore facilitate the study of the potential these peptide structures represent, for example, as alternatives in response to increasing antibiotic resistance or for increasing plant resistance to pathogens by genetic engineering. To achieve this goal, we developed a new database, PhytAMP, which contains valuable information on antimicrobial plant peptides, including taxonomic, microbiological and physicochemical data. Information is very easy to extract from this database and allows rapid prediction of structure/function relationships and target organisms and hence better exploitation of plant peptide biological activities in both the pharmaceutical and agricultural sectors. PhytAMP may be accessed free of charge at http://phytamp.pfba-lab.org. © 2008 The Author(s).","author":[{"dropping-particle":"","family":"Hammami","given":"Riadh","non-dropping-particle":"","parse-names":false,"suffix":""},{"dropping-particle":"","family":"Hamida","given":"Jeannette","non-dropping-particle":"Ben","parse-names":false,"suffix":""},{"dropping-particle":"","family":"Vergoten","given":"Gérard","non-dropping-particle":"","parse-names":false,"suffix":""},{"dropping-particle":"","family":"Fliss","given":"Ismail","non-dropping-particle":"","parse-names":false,"suffix":""}],"container-title":"Nucleic Acids Research","id":"ITEM-1","issue":"SUPPL. 1","issued":{"date-parts":[["2009","1","1"]]},"page":"D963-D968","publisher":"Oxford University Press","title":"PhytAMP: A database dedicated to antimicrobial plant peptides","type":"article-journal","volume":"37"},"uris":["http://www.mendeley.com/documents/?uuid=ccccecf7-8a9a-336e-b3a0-5f76e7f5ddfa"]}],"mendeley":{"formattedCitation":"&lt;sup&gt;91&lt;/sup&gt;","plainTextFormattedCitation":"91","previouslyFormattedCitation":"&lt;sup&gt;91&lt;/sup&gt;"},"properties":{"noteIndex":0},"schema":"https://github.com/citation-style-language/schema/raw/master/csl-citation.json"}</w:instrText>
            </w:r>
            <w:r>
              <w:rPr>
                <w:rStyle w:val="ListLabel121"/>
              </w:rPr>
              <w:fldChar w:fldCharType="separate"/>
            </w:r>
            <w:r w:rsidR="0019024E" w:rsidRPr="0019024E">
              <w:rPr>
                <w:rStyle w:val="ListLabel121"/>
                <w:noProof/>
              </w:rPr>
              <w:t>91</w:t>
            </w:r>
            <w:r>
              <w:rPr>
                <w:rStyle w:val="ListLabel121"/>
              </w:rPr>
              <w:fldChar w:fldCharType="end"/>
            </w:r>
          </w:p>
        </w:tc>
      </w:tr>
      <w:tr w:rsidR="00605644" w14:paraId="321802E7" w14:textId="77777777" w:rsidTr="00D53A98">
        <w:tc>
          <w:tcPr>
            <w:tcW w:w="12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26C1AF" w14:textId="77777777" w:rsidR="00605644" w:rsidRDefault="00605644" w:rsidP="008D2D74">
            <w:pPr>
              <w:pStyle w:val="LO-normal"/>
              <w:widowControl w:val="0"/>
              <w:rPr>
                <w:sz w:val="20"/>
                <w:szCs w:val="20"/>
              </w:rPr>
            </w:pPr>
            <w:r>
              <w:rPr>
                <w:sz w:val="20"/>
                <w:szCs w:val="20"/>
              </w:rPr>
              <w:t>DBAASP</w:t>
            </w:r>
          </w:p>
        </w:tc>
        <w:tc>
          <w:tcPr>
            <w:tcW w:w="11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E15CC6" w14:textId="77777777" w:rsidR="00605644" w:rsidRDefault="00605644" w:rsidP="00D53A98">
            <w:pPr>
              <w:pStyle w:val="LO-normal"/>
              <w:widowControl w:val="0"/>
              <w:rPr>
                <w:sz w:val="20"/>
                <w:szCs w:val="20"/>
              </w:rPr>
            </w:pPr>
            <w:r>
              <w:rPr>
                <w:sz w:val="20"/>
                <w:szCs w:val="20"/>
              </w:rPr>
              <w:t>14496</w:t>
            </w:r>
          </w:p>
        </w:tc>
        <w:tc>
          <w:tcPr>
            <w:tcW w:w="11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B0D7B1" w14:textId="77777777" w:rsidR="00605644" w:rsidRDefault="00605644" w:rsidP="00D53A98">
            <w:pPr>
              <w:pStyle w:val="LO-normal"/>
              <w:widowControl w:val="0"/>
              <w:rPr>
                <w:sz w:val="20"/>
                <w:szCs w:val="20"/>
              </w:rPr>
            </w:pPr>
            <w:r>
              <w:rPr>
                <w:sz w:val="20"/>
                <w:szCs w:val="20"/>
              </w:rPr>
              <w:t>1692</w:t>
            </w:r>
          </w:p>
        </w:tc>
        <w:tc>
          <w:tcPr>
            <w:tcW w:w="12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4F913E" w14:textId="77777777" w:rsidR="00605644" w:rsidRDefault="00605644" w:rsidP="008D2D74">
            <w:pPr>
              <w:pStyle w:val="LO-normal"/>
              <w:widowControl w:val="0"/>
              <w:rPr>
                <w:sz w:val="20"/>
                <w:szCs w:val="20"/>
              </w:rPr>
            </w:pPr>
            <w:r>
              <w:rPr>
                <w:sz w:val="20"/>
                <w:szCs w:val="20"/>
              </w:rPr>
              <w:t>General</w:t>
            </w:r>
          </w:p>
        </w:tc>
        <w:tc>
          <w:tcPr>
            <w:tcW w:w="39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83DFC0" w14:textId="77777777" w:rsidR="00605644" w:rsidRDefault="00640BFA" w:rsidP="008D2D74">
            <w:pPr>
              <w:pStyle w:val="LO-normal"/>
              <w:widowControl w:val="0"/>
            </w:pPr>
            <w:hyperlink r:id="rId17">
              <w:r w:rsidR="00605644">
                <w:rPr>
                  <w:rStyle w:val="ListLabel120"/>
                </w:rPr>
                <w:t>dbaasp.org/</w:t>
              </w:r>
            </w:hyperlink>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2B95A0" w14:textId="75DB4AAD" w:rsidR="00605644" w:rsidRDefault="00605644" w:rsidP="0019024E">
            <w:pPr>
              <w:pStyle w:val="LO-normal"/>
              <w:widowControl w:val="0"/>
              <w:rPr>
                <w:rStyle w:val="ListLabel121"/>
                <w:vertAlign w:val="baseline"/>
              </w:rPr>
            </w:pPr>
            <w:r>
              <w:rPr>
                <w:rStyle w:val="ListLabel121"/>
              </w:rPr>
              <w:fldChar w:fldCharType="begin" w:fldLock="1"/>
            </w:r>
            <w:r w:rsidR="0052410F">
              <w:rPr>
                <w:rStyle w:val="ListLabel121"/>
              </w:rPr>
              <w:instrText>ADDIN CSL_CITATION {"citationItems":[{"id":"ITEM-1","itemData":{"DOI":"10.1093/bioinformatics/btw560","ISSN":"1367-4803","abstract":"Motivation: With the rapid increase of infection resistance to antibiotics, it is urgent to find novel infection therapeutics. In recent years, antimicrobial peptides (AMPs) have been utilized as potential alternatives for infection therapeutics. AMPs are key components of the innate immune system and can protect the host from various pathogenic bacteria. Identifying AMPs and their functional types has led to many studies, and various predictors using machine learning have been developed. However, there is room for improvement; in particular, no predictor takes into account the lack of balance among different functional AMPs. Results: In this paper, a new synthetic minority over-sampling technique on imbalanced and multilabel datasets, referred to as ML-SMOTE, was designed for processing and identifying AMPs' functional families. A novel multi-label classifier, MLAMP, was also developed using ML-SMOTE and grey pseudo amino acid composition. The classifier obtained 0.4846 subset accuracy and 0.16 hamming loss.","author":[{"dropping-particle":"","family":"Lin","given":"Weizhong","non-dropping-particle":"","parse-names":false,"suffix":""},{"dropping-particle":"","family":"Xu","given":"Dong","non-dropping-particle":"","parse-names":false,"suffix":""}],"container-title":"Bioinformatics","id":"ITEM-1","issue":"24","issued":{"date-parts":[["2016","12","15"]]},"page":"3745-3752","publisher":"Oxford University Press","title":"Imbalanced multi-label learning for identifying antimicrobial peptides and their functional types","type":"article-journal","volume":"32"},"uris":["http://www.mendeley.com/documents/?uuid=9c331715-15d4-3c18-a2c2-28ad0d760b74"]},{"id":"ITEM-2","itemData":{"DOI":"10.1093/nar/gkaa991","abstract":"The Database of Antimicrobial Activity and Structure of Peptides (DBAASP) is an open-access, comprehensive database containing information on amino acid sequences, chemical modifications, 3D structures, bioactivities and toxicities of pep-tides that possess antimicrobial properties. DBAASP is updated continuously, and at present, version 3.0 (DBAASP v3) contains &gt;15 700 entries (8000 more than the previous version), including &gt;14 500 monomers and nearly 400 homo-and hetero-multimers. Of the monomeric antimicrobial peptides (AMPs), &gt;12 000 are synthetic, about 2700 are ri-bosomally synthesized, and about 170 are non-ribosomally synthesized. Approximately 3/4 of the entries were added after the initial release of the database in 2014 reflecting the recent sharp increase in interest in AMPs. Despite the increased interest, adoption of peptide antimicrobials in clinical practice is still limited as a consequence of several factors including side effects, problems with bioavailability and high production costs. To assist in developing and optimizing de novo peptides with desired biological activities, DBAASP offers several tools including a sophisticated multifactor analysis of relevant physicochemical properties. Furthermore, DBAASP has implemented a structure modelling pipeline that automates the setup, execution and upload of molecular dynamics (MD) simulations of database pep-tides. At present, &gt;3200 peptides have been populated with MD trajectories and related analyses that are both viewable within the web browser and available for download. More than 400 DBAASP entries also have links to experimentally determined structures in the Protein Data Bank. DBAASP v3 is freely accessible at http://dbaasp.org.","author":[{"dropping-particle":"","family":"Pirtskhalava","given":"Malak","non-dropping-particle":"","parse-names":false,"suffix":""},{"dropping-particle":"","family":"Amstrong","given":"Anthony A","non-dropping-particle":"","parse-names":false,"suffix":""},{"dropping-particle":"","family":"Grigolava","given":"Maia","non-dropping-particle":"","parse-names":false,"suffix":""},{"dropping-particle":"","family":"Chubinidze","given":"Mindia","non-dropping-particle":"","parse-names":false,"suffix":""},{"dropping-particle":"","family":"Alimbarashvili","given":"Evgenia","non-dropping-particle":"","parse-names":false,"suffix":""},{"dropping-particle":"","family":"Vishnepolsky","given":"Boris","non-dropping-particle":"","parse-names":false,"suffix":""},{"dropping-particle":"","family":"Gabrielian","given":"Andrei","non-dropping-particle":"","parse-names":false,"suffix":""},{"dropping-particle":"","family":"Rosenthal","given":"Alex","non-dropping-particle":"","parse-names":false,"suffix":""},{"dropping-particle":"","family":"Hurt","given":"Darrell E","non-dropping-particle":"","parse-names":false,"suffix":""},{"dropping-particle":"","family":"Tartakovsky","given":"Michael","non-dropping-particle":"","parse-names":false,"suffix":""}],"container-title":"Nucleic Acids Research","id":"ITEM-2","issue":"D1","issued":{"date-parts":[["2021"]]},"page":"D288-297","title":"DBAASP v3: database of antimicrobial/cytotoxic activity and structure of peptides as a resource for development of new therapeutics","type":"article-journal","volume":"49"},"uris":["http://www.mendeley.com/documents/?uuid=0c7b4517-9d35-3ab1-8b5f-6aee1fe7361f"]},{"id":"ITEM-3","itemData":{"DOI":"10.1021/acs.jcim.8b00118","ISSN":"15205142","PMID":"29716188","abstract":"Antimicrobial peptides (AMPs) have been identified as a potential new class of anti-infectives for drug development. There are a lot of computational methods that try to predict AMPs. Most of them can only predict if a peptide will show any antimicrobial potency, but to the best of our knowledge, there are no tools which can predict antimicrobial potency against particular strains. Here we present a predictive model of linear AMPs being active against particular Gram-negative strains relying on a semi-supervised machine-learning approach with a density-based clustering algorithm. The algorithm can well distinguish peptides active against particular strains from others which may also be active but not against the considered strain. The available AMP prediction tools cannot carry out this task. The prediction tool based on the algorithm suggested herein is available on https://dbaasp.org.","author":[{"dropping-particle":"","family":"Vishnepolsky","given":"Boris","non-dropping-particle":"","parse-names":false,"suffix":""},{"dropping-particle":"","family":"Gabrielian","given":"Andrei","non-dropping-particle":"","parse-names":false,"suffix":""},{"dropping-particle":"","family":"Rosenthal","given":"Alex","non-dropping-particle":"","parse-names":false,"suffix":""},{"dropping-particle":"","family":"Hurt","given":"Darrell E.","non-dropping-particle":"","parse-names":false,"suffix":""},{"dropping-particle":"","family":"Tartakovsky","given":"Michael","non-dropping-particle":"","parse-names":false,"suffix":""},{"dropping-particle":"","family":"Managadze","given":"Grigol","non-dropping-particle":"","parse-names":false,"suffix":""},{"dropping-particle":"","family":"Grigolava","given":"Maya","non-dropping-particle":"","parse-names":false,"suffix":""},{"dropping-particle":"","family":"Makhatadze","given":"George I.","non-dropping-particle":"","parse-names":false,"suffix":""},{"dropping-particle":"","family":"Pirtskhalava","given":"Malak","non-dropping-particle":"","parse-names":false,"suffix":""}],"container-title":"Journal of Chemical Information and Modeling","id":"ITEM-3","issue":"5","issued":{"date-parts":[["2018","5","29"]]},"page":"1141-1151","publisher":"American Chemical Society","title":"Predictive Model of Linear Antimicrobial Peptides Active against Gram-Negative Bacteria","type":"article-journal","volume":"58"},"uris":["http://www.mendeley.com/documents/?uuid=2bdd1c06-1fda-3fe9-b3cd-2ea73122dfe6"]}],"mendeley":{"formattedCitation":"&lt;sup&gt;92–94&lt;/sup&gt;","plainTextFormattedCitation":"92–94","previouslyFormattedCitation":"&lt;sup&gt;92–94&lt;/sup&gt;"},"properties":{"noteIndex":0},"schema":"https://github.com/citation-style-language/schema/raw/master/csl-citation.json"}</w:instrText>
            </w:r>
            <w:r>
              <w:rPr>
                <w:rStyle w:val="ListLabel121"/>
              </w:rPr>
              <w:fldChar w:fldCharType="separate"/>
            </w:r>
            <w:r w:rsidR="0019024E" w:rsidRPr="0019024E">
              <w:rPr>
                <w:rStyle w:val="ListLabel121"/>
                <w:noProof/>
              </w:rPr>
              <w:t>92–94</w:t>
            </w:r>
            <w:r>
              <w:rPr>
                <w:rStyle w:val="ListLabel121"/>
              </w:rPr>
              <w:fldChar w:fldCharType="end"/>
            </w:r>
          </w:p>
        </w:tc>
      </w:tr>
      <w:tr w:rsidR="00605644" w14:paraId="6E63225D" w14:textId="77777777" w:rsidTr="00D53A98">
        <w:tc>
          <w:tcPr>
            <w:tcW w:w="12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342159" w14:textId="77777777" w:rsidR="00605644" w:rsidRDefault="00605644" w:rsidP="008D2D74">
            <w:pPr>
              <w:pStyle w:val="LO-normal"/>
              <w:widowControl w:val="0"/>
              <w:rPr>
                <w:sz w:val="20"/>
                <w:szCs w:val="20"/>
              </w:rPr>
            </w:pPr>
            <w:r>
              <w:rPr>
                <w:sz w:val="20"/>
                <w:szCs w:val="20"/>
              </w:rPr>
              <w:t>MLAMP</w:t>
            </w:r>
          </w:p>
        </w:tc>
        <w:tc>
          <w:tcPr>
            <w:tcW w:w="11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F02D79" w14:textId="77777777" w:rsidR="00605644" w:rsidRDefault="00605644" w:rsidP="00D53A98">
            <w:pPr>
              <w:pStyle w:val="LO-normal"/>
              <w:widowControl w:val="0"/>
              <w:rPr>
                <w:sz w:val="20"/>
                <w:szCs w:val="20"/>
              </w:rPr>
            </w:pPr>
            <w:r>
              <w:rPr>
                <w:sz w:val="20"/>
                <w:szCs w:val="20"/>
              </w:rPr>
              <w:t>878</w:t>
            </w:r>
          </w:p>
        </w:tc>
        <w:tc>
          <w:tcPr>
            <w:tcW w:w="11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0D4223" w14:textId="77777777" w:rsidR="00605644" w:rsidRDefault="00605644" w:rsidP="00D53A98">
            <w:pPr>
              <w:pStyle w:val="LO-normal"/>
              <w:widowControl w:val="0"/>
              <w:rPr>
                <w:sz w:val="20"/>
                <w:szCs w:val="20"/>
              </w:rPr>
            </w:pPr>
            <w:r>
              <w:rPr>
                <w:sz w:val="20"/>
                <w:szCs w:val="20"/>
              </w:rPr>
              <w:t>No</w:t>
            </w:r>
          </w:p>
        </w:tc>
        <w:tc>
          <w:tcPr>
            <w:tcW w:w="12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AF27FC" w14:textId="77777777" w:rsidR="00605644" w:rsidRDefault="00605644" w:rsidP="008D2D74">
            <w:pPr>
              <w:pStyle w:val="LO-normal"/>
              <w:widowControl w:val="0"/>
              <w:rPr>
                <w:sz w:val="20"/>
                <w:szCs w:val="20"/>
              </w:rPr>
            </w:pPr>
            <w:r>
              <w:rPr>
                <w:sz w:val="20"/>
                <w:szCs w:val="20"/>
              </w:rPr>
              <w:t>General</w:t>
            </w:r>
          </w:p>
        </w:tc>
        <w:tc>
          <w:tcPr>
            <w:tcW w:w="39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9DBE46" w14:textId="77777777" w:rsidR="00605644" w:rsidRDefault="00640BFA" w:rsidP="008D2D74">
            <w:pPr>
              <w:pStyle w:val="LO-normal"/>
              <w:widowControl w:val="0"/>
            </w:pPr>
            <w:hyperlink r:id="rId18">
              <w:r w:rsidR="00605644">
                <w:rPr>
                  <w:rStyle w:val="ListLabel120"/>
                </w:rPr>
                <w:t>www.jci-bioinfo.cn/MLAMP</w:t>
              </w:r>
            </w:hyperlink>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994119" w14:textId="0736EFFF" w:rsidR="00605644" w:rsidRDefault="00605644" w:rsidP="0019024E">
            <w:pPr>
              <w:pStyle w:val="LO-normal"/>
              <w:widowControl w:val="0"/>
              <w:rPr>
                <w:rStyle w:val="ListLabel121"/>
                <w:vertAlign w:val="baseline"/>
              </w:rPr>
            </w:pPr>
            <w:r>
              <w:rPr>
                <w:rStyle w:val="ListLabel121"/>
              </w:rPr>
              <w:fldChar w:fldCharType="begin" w:fldLock="1"/>
            </w:r>
            <w:r w:rsidR="00D217EC">
              <w:rPr>
                <w:rStyle w:val="ListLabel121"/>
              </w:rPr>
              <w:instrText>ADDIN CSL_CITATION {"citationItems":[{"id":"ITEM-1","itemData":{"DOI":"10.1093/bioinformatics/btw560","ISSN":"1367-4803","abstract":"Motivation: With the rapid increase of infection resistance to antibiotics, it is urgent to find novel infection therapeutics. In recent years, antimicrobial peptides (AMPs) have been utilized as potential alternatives for infection therapeutics. AMPs are key components of the innate immune system and can protect the host from various pathogenic bacteria. Identifying AMPs and their functional types has led to many studies, and various predictors using machine learning have been developed. However, there is room for improvement; in particular, no predictor takes into account the lack of balance among different functional AMPs. Results: In this paper, a new synthetic minority over-sampling technique on imbalanced and multilabel datasets, referred to as ML-SMOTE, was designed for processing and identifying AMPs' functional families. A novel multi-label classifier, MLAMP, was also developed using ML-SMOTE and grey pseudo amino acid composition. The classifier obtained 0.4846 subset accuracy and 0.16 hamming loss.","author":[{"dropping-particle":"","family":"Lin","given":"Weizhong","non-dropping-particle":"","parse-names":false,"suffix":""},{"dropping-particle":"","family":"Xu","given":"Dong","non-dropping-particle":"","parse-names":false,"suffix":""}],"container-title":"Bioinformatics","id":"ITEM-1","issue":"24","issued":{"date-parts":[["2016","12","15"]]},"page":"3745-3752","publisher":"Oxford University Press","title":"Imbalanced multi-label learning for identifying antimicrobial peptides and their functional types","type":"article-journal","volume":"32"},"uris":["http://www.mendeley.com/documents/?uuid=9c331715-15d4-3c18-a2c2-28ad0d760b74"]}],"mendeley":{"formattedCitation":"&lt;sup&gt;92&lt;/sup&gt;","plainTextFormattedCitation":"92","previouslyFormattedCitation":"&lt;sup&gt;92&lt;/sup&gt;"},"properties":{"noteIndex":0},"schema":"https://github.com/citation-style-language/schema/raw/master/csl-citation.json"}</w:instrText>
            </w:r>
            <w:r>
              <w:rPr>
                <w:rStyle w:val="ListLabel121"/>
              </w:rPr>
              <w:fldChar w:fldCharType="separate"/>
            </w:r>
            <w:r w:rsidR="0019024E" w:rsidRPr="0019024E">
              <w:rPr>
                <w:rStyle w:val="ListLabel121"/>
                <w:noProof/>
              </w:rPr>
              <w:t>92</w:t>
            </w:r>
            <w:r>
              <w:rPr>
                <w:rStyle w:val="ListLabel121"/>
              </w:rPr>
              <w:fldChar w:fldCharType="end"/>
            </w:r>
          </w:p>
        </w:tc>
      </w:tr>
      <w:tr w:rsidR="00605644" w14:paraId="0FC33B1D" w14:textId="77777777" w:rsidTr="00D53A98">
        <w:tc>
          <w:tcPr>
            <w:tcW w:w="12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2A3228" w14:textId="77777777" w:rsidR="00605644" w:rsidRDefault="00605644" w:rsidP="008D2D74">
            <w:pPr>
              <w:pStyle w:val="LO-normal"/>
              <w:widowControl w:val="0"/>
              <w:rPr>
                <w:sz w:val="20"/>
                <w:szCs w:val="20"/>
              </w:rPr>
            </w:pPr>
            <w:r>
              <w:rPr>
                <w:sz w:val="20"/>
                <w:szCs w:val="20"/>
              </w:rPr>
              <w:t>ADAM</w:t>
            </w:r>
          </w:p>
        </w:tc>
        <w:tc>
          <w:tcPr>
            <w:tcW w:w="11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D329C9" w14:textId="77777777" w:rsidR="00605644" w:rsidRDefault="00605644" w:rsidP="00D53A98">
            <w:pPr>
              <w:pStyle w:val="LO-normal"/>
              <w:widowControl w:val="0"/>
              <w:rPr>
                <w:sz w:val="20"/>
                <w:szCs w:val="20"/>
              </w:rPr>
            </w:pPr>
            <w:r>
              <w:rPr>
                <w:sz w:val="20"/>
                <w:szCs w:val="20"/>
              </w:rPr>
              <w:t>7007</w:t>
            </w:r>
          </w:p>
        </w:tc>
        <w:tc>
          <w:tcPr>
            <w:tcW w:w="11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F6C43C" w14:textId="77777777" w:rsidR="00605644" w:rsidRDefault="00605644" w:rsidP="00D53A98">
            <w:pPr>
              <w:pStyle w:val="LO-normal"/>
              <w:widowControl w:val="0"/>
              <w:rPr>
                <w:sz w:val="20"/>
                <w:szCs w:val="20"/>
              </w:rPr>
            </w:pPr>
            <w:r>
              <w:rPr>
                <w:sz w:val="20"/>
                <w:szCs w:val="20"/>
              </w:rPr>
              <w:t>759</w:t>
            </w:r>
          </w:p>
        </w:tc>
        <w:tc>
          <w:tcPr>
            <w:tcW w:w="12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D2FED3" w14:textId="77777777" w:rsidR="00605644" w:rsidRDefault="00605644" w:rsidP="008D2D74">
            <w:pPr>
              <w:pStyle w:val="LO-normal"/>
              <w:widowControl w:val="0"/>
              <w:rPr>
                <w:sz w:val="20"/>
                <w:szCs w:val="20"/>
              </w:rPr>
            </w:pPr>
            <w:r>
              <w:rPr>
                <w:sz w:val="20"/>
                <w:szCs w:val="20"/>
              </w:rPr>
              <w:t>General</w:t>
            </w:r>
          </w:p>
        </w:tc>
        <w:tc>
          <w:tcPr>
            <w:tcW w:w="39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86B401" w14:textId="77777777" w:rsidR="00605644" w:rsidRDefault="00640BFA" w:rsidP="008D2D74">
            <w:pPr>
              <w:pStyle w:val="LO-normal"/>
              <w:widowControl w:val="0"/>
            </w:pPr>
            <w:hyperlink r:id="rId19">
              <w:r w:rsidR="00605644">
                <w:rPr>
                  <w:rStyle w:val="ListLabel120"/>
                </w:rPr>
                <w:t>bioinformatics.cs.ntou.edu.tw/ADAM/index.html</w:t>
              </w:r>
            </w:hyperlink>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B44B8D" w14:textId="03923038" w:rsidR="00605644" w:rsidRDefault="00605644" w:rsidP="0019024E">
            <w:pPr>
              <w:pStyle w:val="LO-normal"/>
              <w:widowControl w:val="0"/>
              <w:rPr>
                <w:rStyle w:val="ListLabel121"/>
                <w:vertAlign w:val="baseline"/>
              </w:rPr>
            </w:pPr>
            <w:r>
              <w:rPr>
                <w:rStyle w:val="ListLabel121"/>
              </w:rPr>
              <w:fldChar w:fldCharType="begin" w:fldLock="1"/>
            </w:r>
            <w:r w:rsidR="0052410F">
              <w:rPr>
                <w:rStyle w:val="ListLabel121"/>
              </w:rPr>
              <w:instrText>ADDIN CSL_CITATION {"citationItems":[{"id":"ITEM-1","itemData":{"DOI":"10.1155/2015/475062","ISSN":"23146141","PMID":"26000295","abstract":"Antimicrobial peptides (AMPs) are potent drug candidates against microbial organisms such as bacteria, fungi, parasites, and viruses. AMPs have abundant sequences and structures, two fundamental resources for bioinformatics researches, but analyses on how they associate with each other are either nonexistent or limited to partial classification and data. We thus present A Database of Anti-Microbial peptides (ADAM), which contains 7,007 unique sequences and 759 structures, to systematically establish comprehensive associations between AMP sequences and structures through structural folds and to provide an easy access to view their relationships. 30 distinct AMP structural fold clusters with more than one structure are detected and about a thousand AMPs are associated with at least one structural fold cluster. According to ADAM, AMP structural folds are limited-AMPs only cover about 3% of the overall protein fold space.","author":[{"dropping-particle":"","family":"Lee","given":"Hao Ting","non-dropping-particle":"","parse-names":false,"suffix":""},{"dropping-particle":"","family":"Lee","given":"Chen Che","non-dropping-particle":"","parse-names":false,"suffix":""},{"dropping-particle":"","family":"Yang","given":"Je Ruei","non-dropping-particle":"","parse-names":false,"suffix":""},{"dropping-particle":"","family":"Lai","given":"Jim Z.C.","non-dropping-particle":"","parse-names":false,"suffix":""},{"dropping-particle":"","family":"Chang","given":"Kuan Y.","non-dropping-particle":"","parse-names":false,"suffix":""},{"dropping-particle":"","family":"Ray","given":"Oliver","non-dropping-particle":"","parse-names":false,"suffix":""}],"container-title":"BioMed Research International","id":"ITEM-1","issued":{"date-parts":[["2015"]]},"page":"475062","publisher":"Hindawi Publishing Corporation","title":"A large-scale structural classification of Antimicrobial peptides","type":"article-journal","volume":"2015"},"uris":["http://www.mendeley.com/documents/?uuid=7c887ddc-5dd0-3180-81eb-f153015e4846"]}],"mendeley":{"formattedCitation":"&lt;sup&gt;95&lt;/sup&gt;","plainTextFormattedCitation":"95","previouslyFormattedCitation":"&lt;sup&gt;95&lt;/sup&gt;"},"properties":{"noteIndex":0},"schema":"https://github.com/citation-style-language/schema/raw/master/csl-citation.json"}</w:instrText>
            </w:r>
            <w:r>
              <w:rPr>
                <w:rStyle w:val="ListLabel121"/>
              </w:rPr>
              <w:fldChar w:fldCharType="separate"/>
            </w:r>
            <w:r w:rsidR="0019024E" w:rsidRPr="0019024E">
              <w:rPr>
                <w:rStyle w:val="ListLabel121"/>
                <w:noProof/>
              </w:rPr>
              <w:t>95</w:t>
            </w:r>
            <w:r>
              <w:rPr>
                <w:rStyle w:val="ListLabel121"/>
              </w:rPr>
              <w:fldChar w:fldCharType="end"/>
            </w:r>
          </w:p>
        </w:tc>
      </w:tr>
      <w:tr w:rsidR="00605644" w14:paraId="552B5213" w14:textId="77777777" w:rsidTr="00D53A98">
        <w:tc>
          <w:tcPr>
            <w:tcW w:w="12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BF87AC" w14:textId="77777777" w:rsidR="00605644" w:rsidRDefault="00605644" w:rsidP="008D2D74">
            <w:pPr>
              <w:pStyle w:val="LO-normal"/>
              <w:widowControl w:val="0"/>
              <w:rPr>
                <w:sz w:val="20"/>
                <w:szCs w:val="20"/>
              </w:rPr>
            </w:pPr>
            <w:r>
              <w:rPr>
                <w:sz w:val="20"/>
                <w:szCs w:val="20"/>
              </w:rPr>
              <w:t>DADP</w:t>
            </w:r>
          </w:p>
        </w:tc>
        <w:tc>
          <w:tcPr>
            <w:tcW w:w="11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C4BDE9" w14:textId="77777777" w:rsidR="00605644" w:rsidRDefault="00605644" w:rsidP="00D53A98">
            <w:pPr>
              <w:pStyle w:val="LO-normal"/>
              <w:widowControl w:val="0"/>
              <w:rPr>
                <w:sz w:val="20"/>
                <w:szCs w:val="20"/>
              </w:rPr>
            </w:pPr>
            <w:r>
              <w:rPr>
                <w:sz w:val="20"/>
                <w:szCs w:val="20"/>
              </w:rPr>
              <w:t>2571</w:t>
            </w:r>
          </w:p>
        </w:tc>
        <w:tc>
          <w:tcPr>
            <w:tcW w:w="11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B640C0" w14:textId="77777777" w:rsidR="00605644" w:rsidRDefault="00605644" w:rsidP="00D53A98">
            <w:pPr>
              <w:pStyle w:val="LO-normal"/>
              <w:widowControl w:val="0"/>
              <w:rPr>
                <w:sz w:val="20"/>
                <w:szCs w:val="20"/>
              </w:rPr>
            </w:pPr>
            <w:r>
              <w:rPr>
                <w:sz w:val="20"/>
                <w:szCs w:val="20"/>
              </w:rPr>
              <w:t>No</w:t>
            </w:r>
          </w:p>
        </w:tc>
        <w:tc>
          <w:tcPr>
            <w:tcW w:w="12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DEECEE" w14:textId="77777777" w:rsidR="00605644" w:rsidRDefault="00605644" w:rsidP="008D2D74">
            <w:pPr>
              <w:pStyle w:val="LO-normal"/>
              <w:widowControl w:val="0"/>
              <w:rPr>
                <w:sz w:val="20"/>
                <w:szCs w:val="20"/>
              </w:rPr>
            </w:pPr>
            <w:r>
              <w:rPr>
                <w:sz w:val="20"/>
                <w:szCs w:val="20"/>
              </w:rPr>
              <w:t>Frog</w:t>
            </w:r>
          </w:p>
        </w:tc>
        <w:tc>
          <w:tcPr>
            <w:tcW w:w="39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343582" w14:textId="77777777" w:rsidR="00605644" w:rsidRDefault="00640BFA" w:rsidP="008D2D74">
            <w:pPr>
              <w:pStyle w:val="LO-normal"/>
              <w:widowControl w:val="0"/>
            </w:pPr>
            <w:hyperlink r:id="rId20">
              <w:r w:rsidR="00605644">
                <w:rPr>
                  <w:rStyle w:val="ListLabel120"/>
                </w:rPr>
                <w:t>split4.pmfst.hr/dadp</w:t>
              </w:r>
            </w:hyperlink>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F5AE44" w14:textId="7B72CAD2" w:rsidR="00605644" w:rsidRDefault="00605644" w:rsidP="0019024E">
            <w:pPr>
              <w:pStyle w:val="LO-normal"/>
              <w:widowControl w:val="0"/>
              <w:rPr>
                <w:rStyle w:val="ListLabel121"/>
                <w:vertAlign w:val="baseline"/>
              </w:rPr>
            </w:pPr>
            <w:r>
              <w:rPr>
                <w:rStyle w:val="ListLabel121"/>
              </w:rPr>
              <w:fldChar w:fldCharType="begin" w:fldLock="1"/>
            </w:r>
            <w:r w:rsidR="00D217EC">
              <w:rPr>
                <w:rStyle w:val="ListLabel121"/>
              </w:rPr>
              <w:instrText>ADDIN CSL_CITATION {"citationItems":[{"id":"ITEM-1","itemData":{"DOI":"10.1093/bioinformatics/bts141","ISSN":"1460-2059","abstract":"Anuran tissues, and especially skin, are a rich source of bioactive peptides and their precursors. We here present a manually curated database of antimicrobial and other defense peptides with a total of 2571 entries, most of them in the precursor form with demarcated signal peptide (SP), acidic proregion(s) and bioactive moiety(s) corresponding to 1923 non-identical bioactive sequences. Search functions on the corresponding web server facilitate the extraction of six distinct SP classes. The more conserved of these can be used for searching cDNA and UniProtKB databases for potential bioactive peptides, for creating PROSITE search patterns, and for phylogenetic analysis. © The Author 2012. Published by Oxford University Press. All rights reserved.","author":[{"dropping-particle":"","family":"Novković","given":"Mario","non-dropping-particle":"","parse-names":false,"suffix":""},{"dropping-particle":"","family":"Simunić","given":"Juraj","non-dropping-particle":"","parse-names":false,"suffix":""},{"dropping-particle":"","family":"Bojović","given":"Viktor","non-dropping-particle":"","parse-names":false,"suffix":""},{"dropping-particle":"","family":"Tossi","given":"Alessandro","non-dropping-particle":"","parse-names":false,"suffix":""},{"dropping-particle":"","family":"Juretić","given":"Davor","non-dropping-particle":"","parse-names":false,"suffix":""}],"container-title":"Bioinformatics","id":"ITEM-1","issue":"10","issued":{"date-parts":[["2012","5","15"]]},"page":"1406-1407","publisher":"Oxford Academic","title":"DADP: the database of anuran defense peptides","type":"article-journal","volume":"28"},"uris":["http://www.mendeley.com/documents/?uuid=66909d47-2dd1-3074-9a43-9e9dd24da8fe"]}],"mendeley":{"formattedCitation":"&lt;sup&gt;96&lt;/sup&gt;","plainTextFormattedCitation":"96","previouslyFormattedCitation":"&lt;sup&gt;96&lt;/sup&gt;"},"properties":{"noteIndex":0},"schema":"https://github.com/citation-style-language/schema/raw/master/csl-citation.json"}</w:instrText>
            </w:r>
            <w:r>
              <w:rPr>
                <w:rStyle w:val="ListLabel121"/>
              </w:rPr>
              <w:fldChar w:fldCharType="separate"/>
            </w:r>
            <w:r w:rsidR="0019024E" w:rsidRPr="0019024E">
              <w:rPr>
                <w:rStyle w:val="ListLabel121"/>
                <w:noProof/>
              </w:rPr>
              <w:t>96</w:t>
            </w:r>
            <w:r>
              <w:rPr>
                <w:rStyle w:val="ListLabel121"/>
              </w:rPr>
              <w:fldChar w:fldCharType="end"/>
            </w:r>
          </w:p>
        </w:tc>
      </w:tr>
      <w:tr w:rsidR="00605644" w14:paraId="2BDD0D37" w14:textId="77777777" w:rsidTr="00D53A98">
        <w:tc>
          <w:tcPr>
            <w:tcW w:w="12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F887FA" w14:textId="77777777" w:rsidR="00605644" w:rsidRDefault="00605644" w:rsidP="008D2D74">
            <w:pPr>
              <w:pStyle w:val="LO-normal"/>
              <w:widowControl w:val="0"/>
              <w:rPr>
                <w:sz w:val="20"/>
                <w:szCs w:val="20"/>
              </w:rPr>
            </w:pPr>
            <w:r>
              <w:rPr>
                <w:sz w:val="20"/>
                <w:szCs w:val="20"/>
              </w:rPr>
              <w:t>Bactibase</w:t>
            </w:r>
          </w:p>
        </w:tc>
        <w:tc>
          <w:tcPr>
            <w:tcW w:w="11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85834C" w14:textId="77777777" w:rsidR="00605644" w:rsidRDefault="00605644" w:rsidP="00D53A98">
            <w:pPr>
              <w:pStyle w:val="LO-normal"/>
              <w:widowControl w:val="0"/>
              <w:rPr>
                <w:sz w:val="20"/>
                <w:szCs w:val="20"/>
              </w:rPr>
            </w:pPr>
            <w:r>
              <w:rPr>
                <w:sz w:val="20"/>
                <w:szCs w:val="20"/>
              </w:rPr>
              <w:t>230</w:t>
            </w:r>
          </w:p>
        </w:tc>
        <w:tc>
          <w:tcPr>
            <w:tcW w:w="11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0ACFA6" w14:textId="77777777" w:rsidR="00605644" w:rsidRDefault="00605644" w:rsidP="00D53A98">
            <w:pPr>
              <w:pStyle w:val="LO-normal"/>
              <w:widowControl w:val="0"/>
              <w:rPr>
                <w:sz w:val="20"/>
                <w:szCs w:val="20"/>
              </w:rPr>
            </w:pPr>
            <w:r>
              <w:rPr>
                <w:sz w:val="20"/>
                <w:szCs w:val="20"/>
              </w:rPr>
              <w:t>53</w:t>
            </w:r>
          </w:p>
        </w:tc>
        <w:tc>
          <w:tcPr>
            <w:tcW w:w="12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CD19BB" w14:textId="77777777" w:rsidR="00605644" w:rsidRDefault="00605644" w:rsidP="008D2D74">
            <w:pPr>
              <w:pStyle w:val="LO-normal"/>
              <w:widowControl w:val="0"/>
              <w:rPr>
                <w:sz w:val="20"/>
                <w:szCs w:val="20"/>
              </w:rPr>
            </w:pPr>
            <w:r>
              <w:rPr>
                <w:sz w:val="20"/>
                <w:szCs w:val="20"/>
              </w:rPr>
              <w:t>Bacteriocins</w:t>
            </w:r>
          </w:p>
        </w:tc>
        <w:tc>
          <w:tcPr>
            <w:tcW w:w="39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60C950" w14:textId="77777777" w:rsidR="00605644" w:rsidRDefault="00640BFA" w:rsidP="008D2D74">
            <w:pPr>
              <w:pStyle w:val="LO-normal"/>
              <w:widowControl w:val="0"/>
            </w:pPr>
            <w:hyperlink r:id="rId21">
              <w:r w:rsidR="00605644">
                <w:rPr>
                  <w:rStyle w:val="ListLabel120"/>
                </w:rPr>
                <w:t>bactibase.hammamilab.org/main.php</w:t>
              </w:r>
            </w:hyperlink>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17EC9D" w14:textId="498F91A2" w:rsidR="00605644" w:rsidRDefault="00605644" w:rsidP="00D53A98">
            <w:pPr>
              <w:pStyle w:val="LO-normal"/>
              <w:widowControl w:val="0"/>
              <w:rPr>
                <w:rStyle w:val="ListLabel121"/>
                <w:vertAlign w:val="baseline"/>
              </w:rPr>
            </w:pPr>
            <w:r>
              <w:rPr>
                <w:rStyle w:val="ListLabel121"/>
              </w:rPr>
              <w:fldChar w:fldCharType="begin" w:fldLock="1"/>
            </w:r>
            <w:r w:rsidR="00D217EC">
              <w:rPr>
                <w:rStyle w:val="ListLabel121"/>
              </w:rPr>
              <w:instrText>ADDIN CSL_CITATION {"citationItems":[{"id":"ITEM-1","itemData":{"DOI":"10.1007/s10930-010-9270-4","ISSN":"15723887","PMID":"20676925","abstract":"Bacteriocins are ribosomally-synthesized peptides or proteins produced by a wide range of bacteria. The antimicrobial activity of this group of natural substances against foodborne pathogenic and spoilage bacteria has raised considerable interest for their application in food preservation. Classifying these bacteriocins in well defined classes according to their biochemical properties is a major step towards characterizing these anti-infective peptides and understanding their mode of action. Actually, the chosen criteria for bacteriocins' classification lack consistency and coherence. So, various classification schemes of bacteriocins resulted various levels of contradiction and sorting inefficiencies leading to bacteriocins belonging to more than one class at the same time and to a general lack of classification of many bacteriocins. Establishing a coherent and adequate classification scheme for these bacteriocins is sought after by several researchers in the field. It is not straightforward to formulate an efficient classification scheme that encompasses all of the existing bacteriocins. In the light of the structural data, here we revisit the previously proposed contradictory classification and we define new structure-based sequence fingerprints that support a subdivision of the bacteriocins into 12 groups. The paper lays down a resourceful and consistent classification approach that resulted in classifying more than 70% of bacteriocins known to date and with potential to identify distinct classes for the remaining unclassified bacteriocins. Identified groups are characterized by the presence of highly conserved short amino acid motifs. Furthermore, unclassified bacteriocins are expected to form an identified group when there will be sufficient sequences. © 2010 Springer Science+Business Media, LLC.","author":[{"dropping-particle":"","family":"Zouhir","given":"Abdelmajid","non-dropping-particle":"","parse-names":false,"suffix":""},{"dropping-particle":"","family":"Hammami","given":"Riadh","non-dropping-particle":"","parse-names":false,"suffix":""},{"dropping-particle":"","family":"Fliss","given":"Ismail","non-dropping-particle":"","parse-names":false,"suffix":""},{"dropping-particle":"Ben","family":"Hamida","given":"Jeannette","non-dropping-particle":"","parse-names":false,"suffix":""}],"container-title":"Protein Journal","id":"ITEM-1","issue":"6","issued":{"date-parts":[["2010","8","31"]]},"page":"432-439","publisher":"Springer","title":"A new structure-based classification of gram-positive bacteriocins","type":"article-journal","volume":"29"},"uris":["http://www.mendeley.com/documents/?uuid=baeb9c28-8d5a-38f6-8035-8eda38a0460d"]}],"mendeley":{"formattedCitation":"&lt;sup&gt;97&lt;/sup&gt;","plainTextFormattedCitation":"97","previouslyFormattedCitation":"&lt;sup&gt;97&lt;/sup&gt;"},"properties":{"noteIndex":0},"schema":"https://github.com/citation-style-language/schema/raw/master/csl-citation.json"}</w:instrText>
            </w:r>
            <w:r>
              <w:rPr>
                <w:rStyle w:val="ListLabel121"/>
              </w:rPr>
              <w:fldChar w:fldCharType="separate"/>
            </w:r>
            <w:r w:rsidR="0019024E" w:rsidRPr="0019024E">
              <w:rPr>
                <w:rStyle w:val="ListLabel121"/>
                <w:noProof/>
              </w:rPr>
              <w:t>97</w:t>
            </w:r>
            <w:r>
              <w:rPr>
                <w:rStyle w:val="ListLabel121"/>
              </w:rPr>
              <w:fldChar w:fldCharType="end"/>
            </w:r>
          </w:p>
        </w:tc>
      </w:tr>
      <w:tr w:rsidR="00605644" w14:paraId="37307EDA" w14:textId="77777777" w:rsidTr="00D53A98">
        <w:tc>
          <w:tcPr>
            <w:tcW w:w="12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50CA13" w14:textId="77777777" w:rsidR="00605644" w:rsidRDefault="00605644" w:rsidP="008D2D74">
            <w:pPr>
              <w:pStyle w:val="LO-normal"/>
              <w:widowControl w:val="0"/>
              <w:rPr>
                <w:sz w:val="20"/>
                <w:szCs w:val="20"/>
              </w:rPr>
            </w:pPr>
            <w:r>
              <w:rPr>
                <w:sz w:val="20"/>
                <w:szCs w:val="20"/>
              </w:rPr>
              <w:t>Peptaibol Database</w:t>
            </w:r>
          </w:p>
        </w:tc>
        <w:tc>
          <w:tcPr>
            <w:tcW w:w="11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52599" w14:textId="77777777" w:rsidR="00605644" w:rsidRDefault="00605644" w:rsidP="00D53A98">
            <w:pPr>
              <w:pStyle w:val="LO-normal"/>
              <w:widowControl w:val="0"/>
              <w:rPr>
                <w:sz w:val="20"/>
                <w:szCs w:val="20"/>
              </w:rPr>
            </w:pPr>
            <w:r>
              <w:rPr>
                <w:sz w:val="20"/>
                <w:szCs w:val="20"/>
              </w:rPr>
              <w:t>317</w:t>
            </w:r>
          </w:p>
        </w:tc>
        <w:tc>
          <w:tcPr>
            <w:tcW w:w="11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60519A" w14:textId="77777777" w:rsidR="00605644" w:rsidRDefault="00605644" w:rsidP="00D53A98">
            <w:pPr>
              <w:pStyle w:val="LO-normal"/>
              <w:widowControl w:val="0"/>
              <w:rPr>
                <w:sz w:val="20"/>
                <w:szCs w:val="20"/>
              </w:rPr>
            </w:pPr>
            <w:r>
              <w:rPr>
                <w:sz w:val="20"/>
                <w:szCs w:val="20"/>
              </w:rPr>
              <w:t>7</w:t>
            </w:r>
          </w:p>
        </w:tc>
        <w:tc>
          <w:tcPr>
            <w:tcW w:w="12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272D75" w14:textId="77777777" w:rsidR="00605644" w:rsidRDefault="00605644" w:rsidP="008D2D74">
            <w:pPr>
              <w:pStyle w:val="LO-normal"/>
              <w:widowControl w:val="0"/>
              <w:rPr>
                <w:sz w:val="20"/>
                <w:szCs w:val="20"/>
              </w:rPr>
            </w:pPr>
            <w:r>
              <w:rPr>
                <w:sz w:val="20"/>
                <w:szCs w:val="20"/>
              </w:rPr>
              <w:t>Peptaibols</w:t>
            </w:r>
          </w:p>
        </w:tc>
        <w:tc>
          <w:tcPr>
            <w:tcW w:w="39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0790EF" w14:textId="77777777" w:rsidR="00605644" w:rsidRDefault="00640BFA" w:rsidP="008D2D74">
            <w:pPr>
              <w:pStyle w:val="LO-normal"/>
              <w:widowControl w:val="0"/>
            </w:pPr>
            <w:hyperlink r:id="rId22">
              <w:r w:rsidR="00605644">
                <w:rPr>
                  <w:rStyle w:val="ListLabel120"/>
                </w:rPr>
                <w:t>peptaibol.cryst.bbk.ac.uk/home.shtml</w:t>
              </w:r>
            </w:hyperlink>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4FF9D7" w14:textId="25240FB0" w:rsidR="00605644" w:rsidRDefault="00605644" w:rsidP="0019024E">
            <w:pPr>
              <w:pStyle w:val="LO-normal"/>
              <w:widowControl w:val="0"/>
              <w:rPr>
                <w:rStyle w:val="ListLabel121"/>
              </w:rPr>
            </w:pPr>
            <w:r>
              <w:rPr>
                <w:rStyle w:val="ListLabel121"/>
              </w:rPr>
              <w:fldChar w:fldCharType="begin" w:fldLock="1"/>
            </w:r>
            <w:r w:rsidR="0052410F">
              <w:rPr>
                <w:rStyle w:val="ListLabel121"/>
              </w:rPr>
              <w:instrText>ADDIN CSL_CITATION {"citationItems":[{"id":"ITEM-1","itemData":{"DOI":"10.1093/nar/gkh077","ISSN":"03051048","PMID":"14681489","abstract":"The Peptaibol Database is a sequence and structure resource for the unusual class of peptides known as peptaibols. These peptides exhibit antibiotic and membrane channel-forming activities. The database includes sequence, biological source and bibliographical data for the naturally occurring peptaibols. Information is also collated for the growing number of peptaibol 3D structures determined by either crystallography or NMR spectroscopy. The database can be obtained as a whole or can be queried by name, group, sequence motif, biological origin and/or literature reference. The Peptaibol Database can be freely accessed at http://www.cryst.bbk.ac.uk/peptaibol.","author":[{"dropping-particle":"","family":"Whitmore","given":"Lee","non-dropping-particle":"","parse-names":false,"suffix":""},{"dropping-particle":"","family":"Wallace","given":"B. A.","non-dropping-particle":"","parse-names":false,"suffix":""}],"container-title":"Nucleic Acids Research","id":"ITEM-1","issue":"Database issue","issued":{"date-parts":[["2004","1","1"]]},"page":"D593-4","publisher":"Nucleic Acids Res","title":"The Peptaibol Database: A database for sequences and structures of naturally occurring peptaibols","type":"article-journal","volume":"32"},"uris":["http://www.mendeley.com/documents/?uuid=0fb9c725-2ad0-3038-acb6-3386270c8e30"]}],"mendeley":{"formattedCitation":"&lt;sup&gt;98&lt;/sup&gt;","plainTextFormattedCitation":"98","previouslyFormattedCitation":"&lt;sup&gt;98&lt;/sup&gt;"},"properties":{"noteIndex":0},"schema":"https://github.com/citation-style-language/schema/raw/master/csl-citation.json"}</w:instrText>
            </w:r>
            <w:r>
              <w:rPr>
                <w:rStyle w:val="ListLabel121"/>
              </w:rPr>
              <w:fldChar w:fldCharType="separate"/>
            </w:r>
            <w:r w:rsidR="0019024E" w:rsidRPr="0019024E">
              <w:rPr>
                <w:rStyle w:val="ListLabel121"/>
                <w:noProof/>
              </w:rPr>
              <w:t>98</w:t>
            </w:r>
            <w:r>
              <w:rPr>
                <w:rStyle w:val="ListLabel121"/>
              </w:rPr>
              <w:fldChar w:fldCharType="end"/>
            </w:r>
          </w:p>
        </w:tc>
      </w:tr>
      <w:tr w:rsidR="00605644" w14:paraId="6CADA5A5" w14:textId="77777777" w:rsidTr="00D53A98">
        <w:tc>
          <w:tcPr>
            <w:tcW w:w="12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7F518D" w14:textId="77777777" w:rsidR="00605644" w:rsidRDefault="00605644" w:rsidP="008D2D74">
            <w:pPr>
              <w:pStyle w:val="LO-normal"/>
              <w:widowControl w:val="0"/>
              <w:rPr>
                <w:sz w:val="20"/>
                <w:szCs w:val="20"/>
              </w:rPr>
            </w:pPr>
            <w:r>
              <w:rPr>
                <w:sz w:val="20"/>
                <w:szCs w:val="20"/>
              </w:rPr>
              <w:t>DRAMP</w:t>
            </w:r>
          </w:p>
        </w:tc>
        <w:tc>
          <w:tcPr>
            <w:tcW w:w="11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687EB0" w14:textId="77777777" w:rsidR="00605644" w:rsidRDefault="00605644" w:rsidP="00D53A98">
            <w:pPr>
              <w:pStyle w:val="LO-normal"/>
              <w:widowControl w:val="0"/>
              <w:rPr>
                <w:sz w:val="20"/>
                <w:szCs w:val="20"/>
              </w:rPr>
            </w:pPr>
            <w:r>
              <w:rPr>
                <w:sz w:val="20"/>
                <w:szCs w:val="20"/>
              </w:rPr>
              <w:t>20227</w:t>
            </w:r>
          </w:p>
        </w:tc>
        <w:tc>
          <w:tcPr>
            <w:tcW w:w="11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D1186F" w14:textId="77777777" w:rsidR="00605644" w:rsidRDefault="00605644" w:rsidP="00D53A98">
            <w:pPr>
              <w:pStyle w:val="LO-normal"/>
              <w:widowControl w:val="0"/>
              <w:rPr>
                <w:sz w:val="20"/>
                <w:szCs w:val="20"/>
              </w:rPr>
            </w:pPr>
            <w:r>
              <w:rPr>
                <w:sz w:val="20"/>
                <w:szCs w:val="20"/>
              </w:rPr>
              <w:t>Present (statistics unavailable)</w:t>
            </w:r>
          </w:p>
        </w:tc>
        <w:tc>
          <w:tcPr>
            <w:tcW w:w="12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A2FC6A" w14:textId="77777777" w:rsidR="00605644" w:rsidRDefault="00605644" w:rsidP="008D2D74">
            <w:pPr>
              <w:pStyle w:val="LO-normal"/>
              <w:widowControl w:val="0"/>
              <w:rPr>
                <w:sz w:val="20"/>
                <w:szCs w:val="20"/>
              </w:rPr>
            </w:pPr>
            <w:r>
              <w:rPr>
                <w:sz w:val="20"/>
                <w:szCs w:val="20"/>
              </w:rPr>
              <w:t>General</w:t>
            </w:r>
          </w:p>
        </w:tc>
        <w:tc>
          <w:tcPr>
            <w:tcW w:w="39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BA6126" w14:textId="77777777" w:rsidR="00605644" w:rsidRDefault="00640BFA" w:rsidP="008D2D74">
            <w:pPr>
              <w:pStyle w:val="LO-normal"/>
              <w:widowControl w:val="0"/>
            </w:pPr>
            <w:hyperlink r:id="rId23">
              <w:r w:rsidR="00605644">
                <w:rPr>
                  <w:rStyle w:val="ListLabel120"/>
                </w:rPr>
                <w:t>dramp.cpu-bioinfor.org/</w:t>
              </w:r>
            </w:hyperlink>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2DD0BD" w14:textId="037FAF28" w:rsidR="00605644" w:rsidRDefault="00605644" w:rsidP="0019024E">
            <w:pPr>
              <w:pStyle w:val="LO-normal"/>
              <w:widowControl w:val="0"/>
              <w:rPr>
                <w:rStyle w:val="ListLabel121"/>
              </w:rPr>
            </w:pPr>
            <w:r>
              <w:rPr>
                <w:rStyle w:val="ListLabel121"/>
              </w:rPr>
              <w:fldChar w:fldCharType="begin" w:fldLock="1"/>
            </w:r>
            <w:r w:rsidR="00D217EC">
              <w:rPr>
                <w:rStyle w:val="ListLabel121"/>
              </w:rPr>
              <w:instrText>ADDIN CSL_CITATION {"citationItems":[{"id":"ITEM-1","itemData":{"DOI":"10.1038/srep24482","ISSN":"20452322","PMID":"27075512","abstract":"The growing problem of antibiotic-resistant microorganisms results in an urgent need for substitutes to conventional antibiotics with novel modes of action and effective activities. Antimicrobial peptides (AMPs), produced by a wide variety of living organisms acting as a defense mechanism against invading pathogenic microbes, are considered to be such promising alternatives. AMPs display a broad spectrum of antimicrobial activity and a low propensity for developing resistance. Therefore, a thorough understanding of AMPs is essential to exploit them as antimicrobial drugs. Considering this, we developed a comprehensive user-friendly data repository of antimicrobial peptides (DRAMP), which holds 17349 antimicrobial sequences, including 4571 general AMPs, 12704 patented sequences and 74 peptides in drug development. Entries in the database have detailed annotations, especially detailed antimicrobial activity data (shown as target organism with MIC value) and structure information. Annotations also include accession numbers crosslinking to Pubmed, Swiss-prot and Protein Data Bank (PDB). The website of the database comes with easy-to-operate browsing as well as searching with sorting and filtering functionalities. Several useful sequence analysis tools are provided, including similarity search, sequence alignment and conserved domain search (CD-Search). DRAMP should be a useful resource for the development of novel antimicrobial peptide drugs.","author":[{"dropping-particle":"","family":"Fan","given":"Linlin","non-dropping-particle":"","parse-names":false,"suffix":""},{"dropping-particle":"","family":"Sun","given":"Jian","non-dropping-particle":"","parse-names":false,"suffix":""},{"dropping-particle":"","family":"Zhou","given":"Meifeng","non-dropping-particle":"","parse-names":false,"suffix":""},{"dropping-particle":"","family":"Zhou","given":"Jie","non-dropping-particle":"","parse-names":false,"suffix":""},{"dropping-particle":"","family":"Lao","given":"Xingzhen","non-dropping-particle":"","parse-names":false,"suffix":""},{"dropping-particle":"","family":"Zheng","given":"Heng","non-dropping-particle":"","parse-names":false,"suffix":""},{"dropping-particle":"","family":"Xu","given":"Hanmei","non-dropping-particle":"","parse-names":false,"suffix":""}],"container-title":"Scientific Reports","id":"ITEM-1","issue":"1","issued":{"date-parts":[["2016","4","14"]]},"page":"1-7","publisher":"Nature Publishing Group","title":"DRAMP: A comprehensive data repository of antimicrobial peptides","type":"article-journal","volume":"6"},"uris":["http://www.mendeley.com/documents/?uuid=5eedfa28-3ebe-351d-b7d7-e3ef50458f09"]},{"id":"ITEM-2","itemData":{"DOI":"10.1038/s41597-019-0154-y","ISSN":"20524463","PMID":"31409791","abstract":"Data Repository of Antimicrobial Peptides (DRAMP, http://dramp.cpu-bioinfor.org/) is an open-access comprehensive database containing general, patent and clinical antimicrobial peptides (AMPs). Currently DRAMP has been updated to version 2.0, it contains a total of 19,899 entries (newly added 2,550 entries), including 5,084 general entries, 14,739 patent entries, and 76 clinical entries. The update covers new entries, structures, annotations, classifications and downloads. Compared with APD and CAMP, DRAMP contains 14,040 (70.56% in DRAMP) non-overlapping sequences. In order to facilitate users to trace original references, PubMed_ID of references have been contained in activity information. The data of DRAMP can be downloaded by dataset and activity, and the website source code is also available on dedicatedly designed download webpage. Although thousands of AMPs have been reported, only a few parts have entered clinical stage. In the paper, we described several AMPs in clinical trials, including their properties, indications and clinicaltrials.gov identifiers. Finally, we provide the applications of DRAMP in the development of AMPs.","author":[{"dropping-particle":"","family":"Kang","given":"Xinyue","non-dropping-particle":"","parse-names":false,"suffix":""},{"dropping-particle":"","family":"Dong","given":"Fanyi","non-dropping-particle":"","parse-names":false,"suffix":""},{"dropping-particle":"","family":"Shi","given":"Cheng","non-dropping-particle":"","parse-names":false,"suffix":""},{"dropping-particle":"","family":"Liu","given":"Shicai","non-dropping-particle":"","parse-names":false,"suffix":""},{"dropping-particle":"","family":"Sun","given":"Jian","non-dropping-particle":"","parse-names":false,"suffix":""},{"dropping-particle":"","family":"Chen","given":"Jiaxin","non-dropping-particle":"","parse-names":false,"suffix":""},{"dropping-particle":"","family":"Li","given":"Haiqi","non-dropping-particle":"","parse-names":false,"suffix":""},{"dropping-particle":"","family":"Xu","given":"Hanmei","non-dropping-particle":"","parse-names":false,"suffix":""},{"dropping-particle":"","family":"Lao","given":"Xingzhen","non-dropping-particle":"","parse-names":false,"suffix":""},{"dropping-particle":"","family":"Zheng","given":"Heng","non-dropping-particle":"","parse-names":false,"suffix":""}],"container-title":"Scientific Data","id":"ITEM-2","issue":"1","issued":{"date-parts":[["2019","12","1"]]},"page":"1-10","publisher":"Nature Research","title":"DRAMP 2.0, an updated data repository of antimicrobial peptides","type":"article-journal","volume":"6"},"uris":["http://www.mendeley.com/documents/?uuid=359d539d-c739-320b-b08e-35e1b701aa5b"]}],"mendeley":{"formattedCitation":"&lt;sup&gt;99,100&lt;/sup&gt;","plainTextFormattedCitation":"99,100","previouslyFormattedCitation":"&lt;sup&gt;99,100&lt;/sup&gt;"},"properties":{"noteIndex":0},"schema":"https://github.com/citation-style-language/schema/raw/master/csl-citation.json"}</w:instrText>
            </w:r>
            <w:r>
              <w:rPr>
                <w:rStyle w:val="ListLabel121"/>
              </w:rPr>
              <w:fldChar w:fldCharType="separate"/>
            </w:r>
            <w:r w:rsidR="0019024E" w:rsidRPr="0019024E">
              <w:rPr>
                <w:rStyle w:val="ListLabel121"/>
                <w:noProof/>
              </w:rPr>
              <w:t>99,100</w:t>
            </w:r>
            <w:r>
              <w:rPr>
                <w:rStyle w:val="ListLabel121"/>
              </w:rPr>
              <w:fldChar w:fldCharType="end"/>
            </w:r>
          </w:p>
        </w:tc>
      </w:tr>
      <w:tr w:rsidR="00605644" w14:paraId="7C156156" w14:textId="77777777" w:rsidTr="00D53A98">
        <w:tc>
          <w:tcPr>
            <w:tcW w:w="12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B8939D" w14:textId="77777777" w:rsidR="00605644" w:rsidRDefault="00605644" w:rsidP="008D2D74">
            <w:pPr>
              <w:pStyle w:val="LO-normal"/>
              <w:widowControl w:val="0"/>
              <w:rPr>
                <w:sz w:val="20"/>
                <w:szCs w:val="20"/>
              </w:rPr>
            </w:pPr>
            <w:r>
              <w:rPr>
                <w:sz w:val="20"/>
                <w:szCs w:val="20"/>
              </w:rPr>
              <w:t>BAGEL</w:t>
            </w:r>
          </w:p>
        </w:tc>
        <w:tc>
          <w:tcPr>
            <w:tcW w:w="11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03E4CC" w14:textId="77777777" w:rsidR="00605644" w:rsidRDefault="00605644" w:rsidP="00D53A98">
            <w:pPr>
              <w:pStyle w:val="LO-normal"/>
              <w:widowControl w:val="0"/>
              <w:rPr>
                <w:sz w:val="20"/>
                <w:szCs w:val="20"/>
              </w:rPr>
            </w:pPr>
            <w:r>
              <w:rPr>
                <w:sz w:val="20"/>
                <w:szCs w:val="20"/>
              </w:rPr>
              <w:t>814</w:t>
            </w:r>
          </w:p>
        </w:tc>
        <w:tc>
          <w:tcPr>
            <w:tcW w:w="11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6D3C21" w14:textId="77777777" w:rsidR="00605644" w:rsidRDefault="00605644" w:rsidP="00D53A98">
            <w:pPr>
              <w:pStyle w:val="LO-normal"/>
              <w:widowControl w:val="0"/>
              <w:rPr>
                <w:sz w:val="20"/>
                <w:szCs w:val="20"/>
              </w:rPr>
            </w:pPr>
            <w:r>
              <w:rPr>
                <w:sz w:val="20"/>
                <w:szCs w:val="20"/>
              </w:rPr>
              <w:t>Present (statistics unavailable)</w:t>
            </w:r>
          </w:p>
        </w:tc>
        <w:tc>
          <w:tcPr>
            <w:tcW w:w="12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A8858C" w14:textId="77777777" w:rsidR="00605644" w:rsidRDefault="00605644" w:rsidP="008D2D74">
            <w:pPr>
              <w:pStyle w:val="LO-normal"/>
              <w:widowControl w:val="0"/>
              <w:rPr>
                <w:sz w:val="20"/>
                <w:szCs w:val="20"/>
              </w:rPr>
            </w:pPr>
            <w:r>
              <w:rPr>
                <w:sz w:val="20"/>
                <w:szCs w:val="20"/>
              </w:rPr>
              <w:t>Bacteriocins</w:t>
            </w:r>
          </w:p>
        </w:tc>
        <w:tc>
          <w:tcPr>
            <w:tcW w:w="39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18113E" w14:textId="77777777" w:rsidR="00605644" w:rsidRDefault="00640BFA" w:rsidP="008D2D74">
            <w:pPr>
              <w:pStyle w:val="LO-normal"/>
              <w:widowControl w:val="0"/>
            </w:pPr>
            <w:hyperlink r:id="rId24">
              <w:r w:rsidR="00605644">
                <w:rPr>
                  <w:rStyle w:val="ListLabel120"/>
                </w:rPr>
                <w:t>bagel4.molgenrug.nl/index.php</w:t>
              </w:r>
            </w:hyperlink>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5A5901" w14:textId="7146393B" w:rsidR="00605644" w:rsidRDefault="00605644" w:rsidP="0019024E">
            <w:pPr>
              <w:pStyle w:val="LO-normal"/>
              <w:widowControl w:val="0"/>
              <w:rPr>
                <w:rStyle w:val="ListLabel121"/>
              </w:rPr>
            </w:pPr>
            <w:r>
              <w:rPr>
                <w:rStyle w:val="ListLabel121"/>
              </w:rPr>
              <w:fldChar w:fldCharType="begin" w:fldLock="1"/>
            </w:r>
            <w:r w:rsidR="00D217EC">
              <w:rPr>
                <w:rStyle w:val="ListLabel121"/>
              </w:rPr>
              <w:instrText>ADDIN CSL_CITATION {"citationItems":[{"id":"ITEM-1","itemData":{"DOI":"10.1093/nar/gky383","ISSN":"13624962","PMID":"29788290","abstract":"Interest in secondary metabolites such as RiPPs (ribosomally synthesized and posttranslationally modified peptides) is increasing worldwide. To facilitate the research in this field we have updated our mining web server. BAGEL4 is faster than its predecessor and is now fully independent from ORF-calling. Gene clusters of interest are discovered using the core-peptide database and/or through HMM motifs that are present in associated context genes. The databases used for mining have been updated and extended with literature references and links to UniProt and NCBI. Additionally, we have included automated promoter and terminator prediction and the option to upload RNA expression data, which can be displayed along with the identified clusters. Further improvements include the annotation of the context genes, which is now based on a fast blast against the prokaryote part of the UniRef90 database, and the improved web-BLAST feature that dynamically loads structural data such as internal cross-linking from UniProt. Overall BAGEL4 provides the user with more information through a user-friendly web-interface which simplifies data evaluation. BAGEL4 is freely accessible at http://bagel4.molgenrug.nl.","author":[{"dropping-particle":"","family":"Heel","given":"Auke J.","non-dropping-particle":"Van","parse-names":false,"suffix":""},{"dropping-particle":"","family":"Jong","given":"Anne","non-dropping-particle":"De","parse-names":false,"suffix":""},{"dropping-particle":"","family":"Song","given":"Chunxu","non-dropping-particle":"","parse-names":false,"suffix":""},{"dropping-particle":"","family":"Viel","given":"Jakob H.","non-dropping-particle":"","parse-names":false,"suffix":""},{"dropping-particle":"","family":"Kok","given":"Jan","non-dropping-particle":"","parse-names":false,"suffix":""},{"dropping-particle":"","family":"Kuipers","given":"Oscar P.","non-dropping-particle":"","parse-names":false,"suffix":""}],"container-title":"Nucleic Acids Research","id":"ITEM-1","issue":"W1","issued":{"date-parts":[["2018","7","2"]]},"page":"W278-W281","publisher":"Oxford University Press","title":"BAGEL4: A user-friendly web server to thoroughly mine RiPPs and bacteriocins","type":"article-journal","volume":"46"},"uris":["http://www.mendeley.com/documents/?uuid=887f9fa1-40c3-3e08-a61d-41be273901fd"]}],"mendeley":{"formattedCitation":"&lt;sup&gt;101&lt;/sup&gt;","plainTextFormattedCitation":"101","previouslyFormattedCitation":"&lt;sup&gt;101&lt;/sup&gt;"},"properties":{"noteIndex":0},"schema":"https://github.com/citation-style-language/schema/raw/master/csl-citation.json"}</w:instrText>
            </w:r>
            <w:r>
              <w:rPr>
                <w:rStyle w:val="ListLabel121"/>
              </w:rPr>
              <w:fldChar w:fldCharType="separate"/>
            </w:r>
            <w:r w:rsidR="0019024E" w:rsidRPr="0019024E">
              <w:rPr>
                <w:rStyle w:val="ListLabel121"/>
                <w:noProof/>
              </w:rPr>
              <w:t>101</w:t>
            </w:r>
            <w:r>
              <w:rPr>
                <w:rStyle w:val="ListLabel121"/>
              </w:rPr>
              <w:fldChar w:fldCharType="end"/>
            </w:r>
          </w:p>
        </w:tc>
      </w:tr>
      <w:tr w:rsidR="00605644" w14:paraId="0AE6A438" w14:textId="77777777" w:rsidTr="00D53A98">
        <w:tc>
          <w:tcPr>
            <w:tcW w:w="12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44289C" w14:textId="77777777" w:rsidR="00605644" w:rsidRDefault="00605644" w:rsidP="008D2D74">
            <w:pPr>
              <w:pStyle w:val="LO-normal"/>
              <w:widowControl w:val="0"/>
              <w:rPr>
                <w:sz w:val="20"/>
                <w:szCs w:val="20"/>
              </w:rPr>
            </w:pPr>
            <w:r>
              <w:rPr>
                <w:sz w:val="20"/>
                <w:szCs w:val="20"/>
              </w:rPr>
              <w:t>ADAPTABLE</w:t>
            </w:r>
          </w:p>
        </w:tc>
        <w:tc>
          <w:tcPr>
            <w:tcW w:w="11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D6D8FD" w14:textId="77777777" w:rsidR="00605644" w:rsidRDefault="00605644" w:rsidP="00D53A98">
            <w:pPr>
              <w:pStyle w:val="LO-normal"/>
              <w:widowControl w:val="0"/>
              <w:rPr>
                <w:sz w:val="20"/>
                <w:szCs w:val="20"/>
              </w:rPr>
            </w:pPr>
            <w:r>
              <w:rPr>
                <w:sz w:val="20"/>
                <w:szCs w:val="20"/>
              </w:rPr>
              <w:t>&gt;40,000</w:t>
            </w:r>
          </w:p>
        </w:tc>
        <w:tc>
          <w:tcPr>
            <w:tcW w:w="11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4F4677" w14:textId="77777777" w:rsidR="00605644" w:rsidRDefault="00605644" w:rsidP="00D53A98">
            <w:pPr>
              <w:pStyle w:val="LO-normal"/>
              <w:widowControl w:val="0"/>
              <w:rPr>
                <w:sz w:val="20"/>
                <w:szCs w:val="20"/>
              </w:rPr>
            </w:pPr>
            <w:r>
              <w:rPr>
                <w:sz w:val="20"/>
                <w:szCs w:val="20"/>
              </w:rPr>
              <w:t>Present (statistics unavailable)</w:t>
            </w:r>
          </w:p>
        </w:tc>
        <w:tc>
          <w:tcPr>
            <w:tcW w:w="12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4F13ED" w14:textId="77777777" w:rsidR="00605644" w:rsidRDefault="00605644" w:rsidP="008D2D74">
            <w:pPr>
              <w:pStyle w:val="LO-normal"/>
              <w:widowControl w:val="0"/>
              <w:rPr>
                <w:sz w:val="20"/>
                <w:szCs w:val="20"/>
              </w:rPr>
            </w:pPr>
            <w:r>
              <w:rPr>
                <w:sz w:val="20"/>
                <w:szCs w:val="20"/>
              </w:rPr>
              <w:t>General</w:t>
            </w:r>
          </w:p>
        </w:tc>
        <w:tc>
          <w:tcPr>
            <w:tcW w:w="39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BC5CFD" w14:textId="77777777" w:rsidR="00605644" w:rsidRDefault="00640BFA" w:rsidP="008D2D74">
            <w:pPr>
              <w:pStyle w:val="LO-normal"/>
              <w:widowControl w:val="0"/>
              <w:rPr>
                <w:rStyle w:val="ListLabel120"/>
              </w:rPr>
            </w:pPr>
            <w:hyperlink r:id="rId25" w:history="1">
              <w:r w:rsidR="00605644">
                <w:rPr>
                  <w:rStyle w:val="Hyperlink"/>
                  <w:sz w:val="20"/>
                  <w:szCs w:val="20"/>
                </w:rPr>
                <w:t>http://gec.u-picardie.fr/adaptable</w:t>
              </w:r>
            </w:hyperlink>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483359" w14:textId="68A9FB61" w:rsidR="00605644" w:rsidRDefault="00605644" w:rsidP="0019024E">
            <w:pPr>
              <w:pStyle w:val="LO-normal"/>
              <w:widowControl w:val="0"/>
              <w:rPr>
                <w:rStyle w:val="ListLabel121"/>
              </w:rPr>
            </w:pPr>
            <w:r>
              <w:rPr>
                <w:rStyle w:val="ListLabel121"/>
              </w:rPr>
              <w:fldChar w:fldCharType="begin" w:fldLock="1"/>
            </w:r>
            <w:r w:rsidR="0052410F">
              <w:rPr>
                <w:rStyle w:val="ListLabel121"/>
              </w:rPr>
              <w:instrText>ADDIN CSL_CITATION {"citationItems":[{"id":"ITEM-1","itemData":{"DOI":"10.26508/lsa.201900512","ISSN":"25751077","PMID":"31740563","abstract":"Antimicrobial peptides (AMPs) are part of the innate immune response to pathogens in all of the kingdoms of life. They have received significant attention because of their extraordinary variety of activities, in particular, as candidate drugs against the threat of super-bacteria. A systematic study of the relation between the sequence and the mechanism of action is urgently needed, given the thousands of sequences already in multiple web resources. ADAPTABLE web platform (http://gec.u-picardie.fr/adaptable) introduces the concept of “property alignment” to create families of property and sequence-related peptides (SR families). This feature provides the researcher with a tool to select those AMPs meaningful to their research from among more than 40,000 nonredundant sequences. Selectable properties include the target organism and experimental activity concentration, allowing selection of peptides with multiple simultaneous actions. This is made possible by ADAPTABLE because it not only merges sequences of AMP databases but also merges their data, thereby standardizing values and handling non-proteinogenic amino acids. In this unified platform, SR families allow the creation of peptide scaffolds based on common traits in peptides with similar activity, independently of their source.","author":[{"dropping-particle":"","family":"Ramos-Martín","given":"Francisco","non-dropping-particle":"","parse-names":false,"suffix":""},{"dropping-particle":"","family":"Annaval","given":"Thibault","non-dropping-particle":"","parse-names":false,"suffix":""},{"dropping-particle":"","family":"Buchoux","given":"Sébastien","non-dropping-particle":"","parse-names":false,"suffix":""},{"dropping-particle":"","family":"Sarazin","given":"Catherine","non-dropping-particle":"","parse-names":false,"suffix":""},{"dropping-particle":"","family":"D’Amelio","given":"Nicola","non-dropping-particle":"","parse-names":false,"suffix":""}],"container-title":"Life Science Alliance","id":"ITEM-1","issue":"6","issued":{"date-parts":[["2019"]]},"page":"e201900512","publisher":"Rockefeller University Press","title":"Adaptable: A comprehensive web platform of antimicrobial peptides tailored to the user’s research","type":"article-journal","volume":"2"},"uris":["http://www.mendeley.com/documents/?uuid=07b32965-a5ae-3d7e-8172-273341be1bb6"]}],"mendeley":{"formattedCitation":"&lt;sup&gt;102&lt;/sup&gt;","plainTextFormattedCitation":"102","previouslyFormattedCitation":"&lt;sup&gt;102&lt;/sup&gt;"},"properties":{"noteIndex":0},"schema":"https://github.com/citation-style-language/schema/raw/master/csl-citation.json"}</w:instrText>
            </w:r>
            <w:r>
              <w:rPr>
                <w:rStyle w:val="ListLabel121"/>
              </w:rPr>
              <w:fldChar w:fldCharType="separate"/>
            </w:r>
            <w:r w:rsidR="0019024E" w:rsidRPr="0019024E">
              <w:rPr>
                <w:rStyle w:val="ListLabel121"/>
                <w:noProof/>
              </w:rPr>
              <w:t>102</w:t>
            </w:r>
            <w:r>
              <w:rPr>
                <w:rStyle w:val="ListLabel121"/>
              </w:rPr>
              <w:fldChar w:fldCharType="end"/>
            </w:r>
          </w:p>
        </w:tc>
      </w:tr>
      <w:tr w:rsidR="00605644" w14:paraId="64E5E278" w14:textId="77777777" w:rsidTr="00D53A98">
        <w:tc>
          <w:tcPr>
            <w:tcW w:w="12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36A560" w14:textId="77777777" w:rsidR="00605644" w:rsidRDefault="00605644" w:rsidP="008D2D74">
            <w:pPr>
              <w:pStyle w:val="LO-normal"/>
              <w:widowControl w:val="0"/>
              <w:rPr>
                <w:sz w:val="20"/>
                <w:szCs w:val="20"/>
              </w:rPr>
            </w:pPr>
            <w:r>
              <w:rPr>
                <w:sz w:val="20"/>
                <w:szCs w:val="20"/>
              </w:rPr>
              <w:t>InverPEP</w:t>
            </w:r>
          </w:p>
        </w:tc>
        <w:tc>
          <w:tcPr>
            <w:tcW w:w="11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733415" w14:textId="77777777" w:rsidR="00605644" w:rsidRDefault="00605644" w:rsidP="00D53A98">
            <w:pPr>
              <w:pStyle w:val="LO-normal"/>
              <w:widowControl w:val="0"/>
              <w:rPr>
                <w:sz w:val="20"/>
                <w:szCs w:val="20"/>
              </w:rPr>
            </w:pPr>
            <w:r>
              <w:rPr>
                <w:sz w:val="20"/>
                <w:szCs w:val="20"/>
              </w:rPr>
              <w:t>774</w:t>
            </w:r>
          </w:p>
        </w:tc>
        <w:tc>
          <w:tcPr>
            <w:tcW w:w="11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A1EC2A" w14:textId="77777777" w:rsidR="00605644" w:rsidRDefault="00605644" w:rsidP="00D53A98">
            <w:pPr>
              <w:pStyle w:val="LO-normal"/>
              <w:widowControl w:val="0"/>
              <w:rPr>
                <w:sz w:val="20"/>
                <w:szCs w:val="20"/>
              </w:rPr>
            </w:pPr>
            <w:r>
              <w:rPr>
                <w:sz w:val="20"/>
                <w:szCs w:val="20"/>
              </w:rPr>
              <w:t xml:space="preserve">Description only, if it is known (statistics </w:t>
            </w:r>
            <w:r>
              <w:rPr>
                <w:sz w:val="20"/>
                <w:szCs w:val="20"/>
              </w:rPr>
              <w:lastRenderedPageBreak/>
              <w:t>unavailable)</w:t>
            </w:r>
          </w:p>
        </w:tc>
        <w:tc>
          <w:tcPr>
            <w:tcW w:w="12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EDB543" w14:textId="77777777" w:rsidR="00605644" w:rsidRDefault="00605644" w:rsidP="008D2D74">
            <w:pPr>
              <w:pStyle w:val="LO-normal"/>
              <w:widowControl w:val="0"/>
              <w:rPr>
                <w:sz w:val="20"/>
                <w:szCs w:val="20"/>
              </w:rPr>
            </w:pPr>
            <w:r>
              <w:rPr>
                <w:sz w:val="20"/>
                <w:szCs w:val="20"/>
              </w:rPr>
              <w:lastRenderedPageBreak/>
              <w:t>Invertebrates</w:t>
            </w:r>
          </w:p>
        </w:tc>
        <w:tc>
          <w:tcPr>
            <w:tcW w:w="39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4FB96A" w14:textId="77777777" w:rsidR="00605644" w:rsidRDefault="00605644" w:rsidP="008D2D74">
            <w:pPr>
              <w:pStyle w:val="LO-normal"/>
              <w:widowControl w:val="0"/>
              <w:rPr>
                <w:rStyle w:val="ListLabel120"/>
              </w:rPr>
            </w:pPr>
            <w:r w:rsidRPr="00F56248">
              <w:rPr>
                <w:rStyle w:val="ListLabel120"/>
              </w:rPr>
              <w:t>https://ciencias.medellin.unal.edu.co/gruposdeinvestigacion/prospeccionydisenobiomoleculas/InverPep/public/home_en</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88C477" w14:textId="28889CA4" w:rsidR="00605644" w:rsidRDefault="00605644" w:rsidP="0019024E">
            <w:pPr>
              <w:pStyle w:val="LO-normal"/>
              <w:widowControl w:val="0"/>
              <w:rPr>
                <w:rStyle w:val="ListLabel121"/>
              </w:rPr>
            </w:pPr>
            <w:r>
              <w:rPr>
                <w:rStyle w:val="ListLabel121"/>
              </w:rPr>
              <w:fldChar w:fldCharType="begin" w:fldLock="1"/>
            </w:r>
            <w:r w:rsidR="00D217EC">
              <w:rPr>
                <w:rStyle w:val="ListLabel121"/>
              </w:rPr>
              <w:instrText>ADDIN CSL_CITATION {"citationItems":[{"id":"ITEM-1","itemData":{"DOI":"10.1016/j.jgar.2016.10.003","ISSN":"22137173","PMID":"27888793","abstract":"Objectives The aim of this work was to construct InverPep, a database specialised in experimentally validated antimicrobial peptides (AMPs) from invertebrates. Methods AMP data contained in InverPep were manually curated from other databases and the scientific literature. MySQL was integrated with the development platform Laravel; this framework allows to integrate programming in PHP with HTML and was used to design the InverPep web page's interface. InverPep contains 18 separated fields, including InverPep code, phylum and species source, peptide name, sequence, peptide length, secondary structure, molar mass, charge, isoelectric point, hydrophobicity, Boman index, aliphatic index and percentage of hydrophobic amino acids. CALCAMPI, an algorithm to calculate the physicochemical properties of multiple peptides simultaneously, was programmed in PERL language. Results To date, InverPep contains 702 experimentally validated AMPs from invertebrate species. All of the peptides contain information associated with their source, physicochemical properties, secondary structure, biological activity and links to external literature. Most AMPs in InverPep have a length between 10 and 50 amino acids, a positive charge, a Boman index between 0 and 2 kcal/mol, and 30–50% hydrophobic amino acids. InverPep includes 33 AMPs not reported in other databases. Besides, CALCAMPI and statistical analysis of InverPep data is presented. The InverPep database is available in English and Spanish. Conclusions InverPep is a useful database to study invertebrate AMPs and its information could be used for the design of new peptides. The user-friendly interface of InverPep and its information can be freely accessed via a web-based browser at http://ciencias.medellin.unal.edu.co/gruposdeinvestigacion/prospeccionydisenobiomoleculas/InverPep/public/home_en.","author":[{"dropping-particle":"","family":"Gómez","given":"Esteban A.","non-dropping-particle":"","parse-names":false,"suffix":""},{"dropping-particle":"","family":"Giraldo","given":"Paula","non-dropping-particle":"","parse-names":false,"suffix":""},{"dropping-particle":"","family":"Orduz","given":"Sergio","non-dropping-particle":"","parse-names":false,"suffix":""}],"container-title":"Journal of Global Antimicrobial Resistance","id":"ITEM-1","issued":{"date-parts":[["2017","3","1"]]},"page":"13-17","publisher":"Elsevier Ltd","title":"InverPep: A database of invertebrate antimicrobial peptides","type":"article-journal","volume":"8"},"uris":["http://www.mendeley.com/documents/?uuid=5ef39ccb-6ab9-3f23-915b-3811d59a1e97"]}],"mendeley":{"formattedCitation":"&lt;sup&gt;103&lt;/sup&gt;","plainTextFormattedCitation":"103","previouslyFormattedCitation":"&lt;sup&gt;103&lt;/sup&gt;"},"properties":{"noteIndex":0},"schema":"https://github.com/citation-style-language/schema/raw/master/csl-citation.json"}</w:instrText>
            </w:r>
            <w:r>
              <w:rPr>
                <w:rStyle w:val="ListLabel121"/>
              </w:rPr>
              <w:fldChar w:fldCharType="separate"/>
            </w:r>
            <w:r w:rsidR="0019024E" w:rsidRPr="0019024E">
              <w:rPr>
                <w:rStyle w:val="ListLabel121"/>
                <w:noProof/>
              </w:rPr>
              <w:t>103</w:t>
            </w:r>
            <w:r>
              <w:rPr>
                <w:rStyle w:val="ListLabel121"/>
              </w:rPr>
              <w:fldChar w:fldCharType="end"/>
            </w:r>
          </w:p>
        </w:tc>
      </w:tr>
    </w:tbl>
    <w:p w14:paraId="1BF26CFF" w14:textId="77777777" w:rsidR="00605644" w:rsidRDefault="00605644" w:rsidP="00605644">
      <w:pPr>
        <w:pStyle w:val="LO-normal"/>
        <w:jc w:val="both"/>
      </w:pPr>
    </w:p>
    <w:p w14:paraId="324DED5E" w14:textId="603809FC" w:rsidR="00FA4C23" w:rsidRDefault="00034C86" w:rsidP="00605644">
      <w:pPr>
        <w:pStyle w:val="LO-normal"/>
        <w:jc w:val="both"/>
      </w:pPr>
      <w:r>
        <w:t xml:space="preserve">These databases provide a vast collection of sequences that can be used </w:t>
      </w:r>
      <w:r w:rsidR="00107604">
        <w:t>to guide</w:t>
      </w:r>
      <w:r>
        <w:t xml:space="preserve"> the</w:t>
      </w:r>
      <w:r w:rsidR="00F2725A">
        <w:t xml:space="preserve"> rational design of AMPs, </w:t>
      </w:r>
      <w:r w:rsidR="00107604">
        <w:t>including optimising</w:t>
      </w:r>
      <w:r w:rsidR="00F2725A">
        <w:t xml:space="preserve"> a known peptide</w:t>
      </w:r>
      <w:r w:rsidR="00107604">
        <w:t>, or generating</w:t>
      </w:r>
      <w:r w:rsidR="00F2725A">
        <w:t xml:space="preserve"> a </w:t>
      </w:r>
      <w:r w:rsidR="00F2725A" w:rsidRPr="00D53A98">
        <w:rPr>
          <w:i/>
        </w:rPr>
        <w:t>de novo</w:t>
      </w:r>
      <w:r w:rsidR="00F2725A">
        <w:t xml:space="preserve"> sequence</w:t>
      </w:r>
      <w:r w:rsidR="00FA4C23">
        <w:fldChar w:fldCharType="begin" w:fldLock="1"/>
      </w:r>
      <w:r w:rsidR="00C1591C">
        <w:instrText>ADDIN CSL_CITATION {"citationItems":[{"id":"ITEM-1","itemData":{"DOI":"10.5772/38023","abstract":"In recent decades the activity of conventional antibiotics against pathogenic bacteria has decreased due to the development of resistance. This phenomenon has generated the so-called ‘superbugs’, which are multi-resistant bacteria. In this context, antimicrobial peptides (AMP) appear as an alternative to control them. AMPs have been found in several sources, including animals, plants and fungi, constituting the first line of host defence against pathogens. However, the use of AMPs as therapeutic agents has some limitations, such as stability, cytotoxicity and mainly their amino acid length, since amino acids are expensive building blocks. Despite these limitations they have compensatory properties, including secondary activities such as immunomodulation or antitumor ones. Several methods have been applied since the 1990s for rational AMPs design, in order to generate analogues with improved activity, looking to reduce limitations and increase advantages. Computer-aided identification and design of AMPs play a crucial role in this area. The discovery of AMP properties, through the first rational design studies, will allow the development of methods for prediction of AMPs, which in turn, should lead to identification prior to synthesis of novel analogues. Thus, this chapter will be dedicated to describing important techniques in prediction and rational design of AMPs and their applications for drug development.","author":[{"dropping-particle":"","family":"Porto","given":"William F.","non-dropping-particle":"","parse-names":false,"suffix":""},{"dropping-particle":"","family":"Silva","given":"Osmar N.","non-dropping-particle":"","parse-names":false,"suffix":""},{"dropping-particle":"","family":"Franco","given":"Octávio L.","non-dropping-particle":"","parse-names":false,"suffix":""}],"container-title":"Protein Structure","id":"ITEM-1","issued":{"date-parts":[["2012","4","20"]]},"page":"377-396","publisher":"InTech","title":"Prediction and Rational Design of Antimicrobial Peptides","type":"chapter"},"uris":["http://www.mendeley.com/documents/?uuid=473170f0-6743-3ed9-8d13-a0c3d8c7849b"]}],"mendeley":{"formattedCitation":"&lt;sup&gt;104&lt;/sup&gt;","plainTextFormattedCitation":"104","previouslyFormattedCitation":"&lt;sup&gt;104&lt;/sup&gt;"},"properties":{"noteIndex":0},"schema":"https://github.com/citation-style-language/schema/raw/master/csl-citation.json"}</w:instrText>
      </w:r>
      <w:r w:rsidR="00FA4C23">
        <w:fldChar w:fldCharType="separate"/>
      </w:r>
      <w:r w:rsidR="0019024E" w:rsidRPr="0019024E">
        <w:rPr>
          <w:noProof/>
          <w:vertAlign w:val="superscript"/>
        </w:rPr>
        <w:t>104</w:t>
      </w:r>
      <w:r w:rsidR="00FA4C23">
        <w:fldChar w:fldCharType="end"/>
      </w:r>
      <w:r w:rsidR="00FA4C23">
        <w:t xml:space="preserve">. </w:t>
      </w:r>
      <w:r w:rsidR="00D331D5">
        <w:t>Peptide optimisation relies on understanding p</w:t>
      </w:r>
      <w:r>
        <w:t>hysico-chemical parameters, specifically those that affect the membrane-disrupting properties of many AMPs</w:t>
      </w:r>
      <w:r w:rsidR="00D331D5">
        <w:t>.</w:t>
      </w:r>
      <w:r w:rsidR="00B67720">
        <w:t xml:space="preserve"> </w:t>
      </w:r>
      <w:r w:rsidR="00D331D5">
        <w:t>P</w:t>
      </w:r>
      <w:r w:rsidR="00B67720">
        <w:t>eptides that adopt α-helical conformations</w:t>
      </w:r>
      <w:r w:rsidR="00D331D5">
        <w:t xml:space="preserve"> lend themselves well for this purpose, as the</w:t>
      </w:r>
      <w:r w:rsidR="00B67720">
        <w:t xml:space="preserve"> charge</w:t>
      </w:r>
      <w:r w:rsidR="00D331D5">
        <w:t xml:space="preserve"> distribution</w:t>
      </w:r>
      <w:r w:rsidR="00B67720">
        <w:t xml:space="preserve">, hydrophobicity and amphipathicity </w:t>
      </w:r>
      <w:r w:rsidR="00D331D5">
        <w:t xml:space="preserve">of helices </w:t>
      </w:r>
      <w:r w:rsidR="00B67720">
        <w:t>correlate with membrane activity</w:t>
      </w:r>
      <w:r w:rsidR="00D331D5">
        <w:fldChar w:fldCharType="begin" w:fldLock="1"/>
      </w:r>
      <w:r w:rsidR="00D217EC">
        <w:instrText>ADDIN CSL_CITATION {"citationItems":[{"id":"ITEM-1","itemData":{"DOI":"10.1016/j.febslet.2009.10.022","ISSN":"00145793","abstract":"Numerous data have been collected on lipid-binding amphipathic helices involved in membrane-remodeling machineries and vesicular transport. Here we describe how, with regard to lipid composition, the physicochemical features of some amphipathic helices explain their ability to recognize membrane curvature or to participate in membrane remodeling. We propose that sensing highly-curved membranes requires that the polar and hydrophobic faces of the helix do not cooperate in lipid binding. A more detailed description of the interaction between amphipathic helices and lipids is however needed; notably to explain how new helices contribute to detection of modest changes in curvature or even negative curvature. © 2009 Federation of European Biochemical Societies.","author":[{"dropping-particle":"","family":"Drin","given":"Guillaume","non-dropping-particle":"","parse-names":false,"suffix":""},{"dropping-particle":"","family":"Antonny","given":"Bruno","non-dropping-particle":"","parse-names":false,"suffix":""}],"container-title":"FEBS Letters","id":"ITEM-1","issue":"9","issued":{"date-parts":[["2010","5","3"]]},"page":"1840-1847","publisher":"John Wiley &amp; Sons, Ltd","title":"Amphipathic helices and membrane curvature","type":"article-journal","volume":"584"},"uris":["http://www.mendeley.com/documents/?uuid=04113c24-cbc3-3af8-b9ac-626a42866d0c"]}],"mendeley":{"formattedCitation":"&lt;sup&gt;105&lt;/sup&gt;","plainTextFormattedCitation":"105","previouslyFormattedCitation":"&lt;sup&gt;105&lt;/sup&gt;"},"properties":{"noteIndex":0},"schema":"https://github.com/citation-style-language/schema/raw/master/csl-citation.json"}</w:instrText>
      </w:r>
      <w:r w:rsidR="00D331D5">
        <w:fldChar w:fldCharType="separate"/>
      </w:r>
      <w:r w:rsidR="0019024E" w:rsidRPr="0019024E">
        <w:rPr>
          <w:noProof/>
          <w:vertAlign w:val="superscript"/>
        </w:rPr>
        <w:t>105</w:t>
      </w:r>
      <w:r w:rsidR="00D331D5">
        <w:fldChar w:fldCharType="end"/>
      </w:r>
      <w:r w:rsidR="00B67720">
        <w:t>. By understanding how individual amino acid mutations change those properties, researchers can modulate the AMP character of peptides, and generate new sequences. Dathe and al.</w:t>
      </w:r>
      <w:r w:rsidR="00525980">
        <w:t>, for example</w:t>
      </w:r>
      <w:r w:rsidR="00592C79">
        <w:t xml:space="preserve">, </w:t>
      </w:r>
      <w:r w:rsidR="00F2725A">
        <w:t>obtained</w:t>
      </w:r>
      <w:r w:rsidR="00525980">
        <w:t xml:space="preserve"> several </w:t>
      </w:r>
      <w:r w:rsidR="00346A94">
        <w:t xml:space="preserve">KLA-1 </w:t>
      </w:r>
      <w:r w:rsidR="00525980">
        <w:t>analogues by modifying the overall cationic charge of the peptide</w:t>
      </w:r>
      <w:r w:rsidR="00346A94">
        <w:fldChar w:fldCharType="begin" w:fldLock="1"/>
      </w:r>
      <w:r w:rsidR="00D217EC">
        <w:instrText>ADDIN CSL_CITATION {"citationItems":[{"id":"ITEM-1","itemData":{"DOI":"10.1016/S0014-5793(97)00055-0","ISSN":"00145793","abstract":"The hydrophobicity (H), hydrophobic moment (μ) and the angle subtended by the positively charged helix face (Φ of a set of model and magainin 2 amide peptides with conserved charge and helix propensity have been shown to be effective modulators of antibacterial and haemolytic activity. Except peptides of low hydrophobicity which are inactive, changing the parameters has little influence on the activity against Gram-negative bacteria, thus revealing the dominance of electrostatic interactions for the effect, However, the increase of H, μ and Φ substantially enhances haemolytic and Gram-positive antibacterial activity and is related to a reduction of peptide specificity for Gram-negative bacteria.","author":[{"dropping-particle":"","family":"Dathe","given":"Margitta","non-dropping-particle":"","parse-names":false,"suffix":""},{"dropping-particle":"","family":"Wieprecht","given":"Torsten","non-dropping-particle":"","parse-names":false,"suffix":""},{"dropping-particle":"","family":"Nikolenko","given":"Heike","non-dropping-particle":"","parse-names":false,"suffix":""},{"dropping-particle":"","family":"Handel","given":"Liselotte","non-dropping-particle":"","parse-names":false,"suffix":""},{"dropping-particle":"","family":"Maloy","given":"W.Lee","non-dropping-particle":"","parse-names":false,"suffix":""},{"dropping-particle":"","family":"MacDonald","given":"Dorothy L","non-dropping-particle":"","parse-names":false,"suffix":""},{"dropping-particle":"","family":"Beyermann","given":"Michael","non-dropping-particle":"","parse-names":false,"suffix":""},{"dropping-particle":"","family":"Bienert","given":"Michael","non-dropping-particle":"","parse-names":false,"suffix":""}],"container-title":"FEBS Letters","id":"ITEM-1","issue":"2","issued":{"date-parts":[["1997","2","17"]]},"page":"208-212","publisher":"John Wiley &amp; Sons, Ltd","title":"Hydrophobicity, hydrophobic moment and angle subtended by charged residues modulate antibacterial and haemolytic activity of amphipathic helical peptides","type":"article-journal","volume":"403"},"uris":["http://www.mendeley.com/documents/?uuid=d187109b-02d0-3ab5-acf6-aadb50374c1f"]}],"mendeley":{"formattedCitation":"&lt;sup&gt;87&lt;/sup&gt;","plainTextFormattedCitation":"87","previouslyFormattedCitation":"&lt;sup&gt;87&lt;/sup&gt;"},"properties":{"noteIndex":0},"schema":"https://github.com/citation-style-language/schema/raw/master/csl-citation.json"}</w:instrText>
      </w:r>
      <w:r w:rsidR="00346A94">
        <w:fldChar w:fldCharType="separate"/>
      </w:r>
      <w:r w:rsidR="00D217EC" w:rsidRPr="00D217EC">
        <w:rPr>
          <w:noProof/>
          <w:vertAlign w:val="superscript"/>
        </w:rPr>
        <w:t>87</w:t>
      </w:r>
      <w:r w:rsidR="00346A94">
        <w:fldChar w:fldCharType="end"/>
      </w:r>
      <w:r w:rsidR="009D7478">
        <w:t xml:space="preserve"> </w:t>
      </w:r>
      <w:r w:rsidR="00D217EC">
        <w:t>probing in this way the effect of the hydrophobic moment on hemolytic activity; they also obtained magainin II analogues with improved antimicrobial activity through mutations of the parent peptide that changed the overall charge and related properties</w:t>
      </w:r>
      <w:r w:rsidR="00D217EC">
        <w:fldChar w:fldCharType="begin" w:fldLock="1"/>
      </w:r>
      <w:r w:rsidR="00AB6F80">
        <w:instrText>ADDIN CSL_CITATION {"citationItems":[{"id":"ITEM-1","itemData":{"DOI":"10.1016/S0014-5793(01)02648-5","ISSN":"00145793","abstract":"Investigation of magainin II amide analogs with cationic charges ranging between +3 and +7 showed that enhancement of the peptide charge up to a threshold value of +5 and conservation of appropriate hydrophobic properties optimized the antimicrobial activity and selectivity. High selectivity was the result of both enhanced antimicrobial and reduced hemolytic activity. Charge increase beyond +5 with retention of other structural motifs led to a dramatic increase of hemolytic activity and loss of antimicrobial selectivity. Selectivity could be restored by reduction of the hydrophobicity of the hydrophobic helix surface (Hhd), a structural parameter not previously considered to modulate activity. Dye release experiments with lipid vesicles revealed that the potential of peptide charge to modulate membrane activity is limited: on highly negatively charged 1-palmitoyl-2-oleoylphosphatidyl-DL-glycerol bilayers, reinforcement of electrostatic interactions had an activity-reducing effect. On neutral 1-palmitoyl-2-oleoylphosphatidylcholine bilayers, the high activity was determined by Hhd. Hhd values above a certain threshold led to effective permeabilization of all lipid systems and even compensated for the activity-reducing effect of charge increase on highly negatively charged membranes. © 2001 Federation of European Biochemical Societies. Published by Elsevier Science B.V. All rights reserved.","author":[{"dropping-particle":"","family":"Dathe","given":"Margitta","non-dropping-particle":"","parse-names":false,"suffix":""},{"dropping-particle":"","family":"Nikolenko","given":"Heike","non-dropping-particle":"","parse-names":false,"suffix":""},{"dropping-particle":"","family":"Meyer","given":"Jana","non-dropping-particle":"","parse-names":false,"suffix":""},{"dropping-particle":"","family":"Beyermann","given":"Michael","non-dropping-particle":"","parse-names":false,"suffix":""},{"dropping-particle":"","family":"Bienert","given":"Michael","non-dropping-particle":"","parse-names":false,"suffix":""}],"container-title":"FEBS Letters","id":"ITEM-1","issue":"2-3","issued":{"date-parts":[["2001","7","20"]]},"page":"146-150","publisher":"Elsevier","title":"Optimization of the antimicrobial activity of magainin peptides by modification of charge","type":"article-journal","volume":"501"},"uris":["http://www.mendeley.com/documents/?uuid=84f9e69a-ff77-39a9-9724-59b5a5a04f7d"]}],"mendeley":{"formattedCitation":"&lt;sup&gt;106&lt;/sup&gt;","plainTextFormattedCitation":"106","previouslyFormattedCitation":"&lt;sup&gt;106&lt;/sup&gt;"},"properties":{"noteIndex":0},"schema":"https://github.com/citation-style-language/schema/raw/master/csl-citation.json"}</w:instrText>
      </w:r>
      <w:r w:rsidR="00D217EC">
        <w:fldChar w:fldCharType="separate"/>
      </w:r>
      <w:r w:rsidR="00D217EC" w:rsidRPr="00D217EC">
        <w:rPr>
          <w:noProof/>
          <w:vertAlign w:val="superscript"/>
        </w:rPr>
        <w:t>106</w:t>
      </w:r>
      <w:r w:rsidR="00D217EC">
        <w:fldChar w:fldCharType="end"/>
      </w:r>
      <w:r w:rsidR="00D217EC">
        <w:t>.</w:t>
      </w:r>
      <w:r w:rsidR="009D7478">
        <w:t xml:space="preserve"> </w:t>
      </w:r>
      <w:r w:rsidR="00AB6F80">
        <w:t>S</w:t>
      </w:r>
      <w:r w:rsidR="00F2725A">
        <w:t>imilarly, Giangaspero et al. investigated the effect of sequence length and chirality, among others, on a template helical AMP sequence</w:t>
      </w:r>
      <w:r w:rsidR="00F2725A">
        <w:fldChar w:fldCharType="begin" w:fldLock="1"/>
      </w:r>
      <w:r w:rsidR="00AB6F80">
        <w:instrText>ADDIN CSL_CITATION {"citationItems":[{"id":"ITEM-1","itemData":{"DOI":"10.1046/j.1432-1033.2001.02494.x","ISSN":"00142956","abstract":"Antimicrobial peptides (AMPs) that assume an amphipathic α helical structure are widespread in nature. Their activity depends on several parameters including the sequence, size, degree of structure formation, cationicity, hydrophobicity and amphipathicity. The analysis of numerous natural AMPs provided representative values for these parameters and led to a sequence template with which to generate potent artificial lead AMPs. Sequences were then varied in a rational manner, using both natural and nonproteinogenic amino acids, to probe the individual roles of each parameter in modulating biological activity. A high cationicity combined with a stabilized amphipathic α helical structure conferred enhanced cidal activity towards all the cell types considered, and was a requirement for Gram-positive bacteria and fungi. An elevated helicity also correlated with increased hemolytic activity. The structural requirements for activity against several Gram-negative bacteria were instead considerably less stringent, so that it persisted in peptides in which formation of a helical structure and/or amphipathicity were impeded. Either a reduced charge or a reduced hydrophobicity resulted in generally inactive peptides. These observations, combined with the kinetics of bacterial membrane permeabilization and time-killing are discussed in terms of currently accepted models of action for this type of peptide. The simple guidelines obtained in this study allowed the design of highly active shortened AMPs and may be generally useful in the development of this type of peptides as anti-infective agents.","author":[{"dropping-particle":"","family":"Giangaspero","given":"Anna","non-dropping-particle":"","parse-names":false,"suffix":""},{"dropping-particle":"","family":"Sandri","given":"Luca","non-dropping-particle":"","parse-names":false,"suffix":""},{"dropping-particle":"","family":"Tossi","given":"Alessandro","non-dropping-particle":"","parse-names":false,"suffix":""}],"container-title":"European Journal of Biochemistry","id":"ITEM-1","issue":"21","issued":{"date-parts":[["2001","11","1"]]},"page":"5589-5600","publisher":"Blackwell Publishing Ltd.","title":"Amphipathic α helical antimicrobial peptides. ","type":"article-journal","volume":"268"},"uris":["http://www.mendeley.com/documents/?uuid=f60e7b7b-982c-3b97-afa9-68d3e3984f82"]}],"mendeley":{"formattedCitation":"&lt;sup&gt;107&lt;/sup&gt;","plainTextFormattedCitation":"107","previouslyFormattedCitation":"&lt;sup&gt;107&lt;/sup&gt;"},"properties":{"noteIndex":0},"schema":"https://github.com/citation-style-language/schema/raw/master/csl-citation.json"}</w:instrText>
      </w:r>
      <w:r w:rsidR="00F2725A">
        <w:fldChar w:fldCharType="separate"/>
      </w:r>
      <w:r w:rsidR="00D217EC" w:rsidRPr="00D217EC">
        <w:rPr>
          <w:noProof/>
          <w:vertAlign w:val="superscript"/>
        </w:rPr>
        <w:t>107</w:t>
      </w:r>
      <w:r w:rsidR="00F2725A">
        <w:fldChar w:fldCharType="end"/>
      </w:r>
      <w:r w:rsidR="00AB6F80">
        <w:t>, optimising antimicrobial activity while balancing cytotoxicity.</w:t>
      </w:r>
      <w:r w:rsidR="00F2725A">
        <w:t xml:space="preserve"> This sort of approach often makes use of helical wheel projections as a way to visualise the amphipathicity of a peptide.</w:t>
      </w:r>
      <w:r w:rsidR="00D331D5">
        <w:t xml:space="preserve"> </w:t>
      </w:r>
      <w:r w:rsidR="007338FC">
        <w:t>AMP sequence optimisation can also involve the use of non-natural amino acids</w:t>
      </w:r>
      <w:r w:rsidR="007338FC">
        <w:fldChar w:fldCharType="begin" w:fldLock="1"/>
      </w:r>
      <w:r w:rsidR="00D217EC">
        <w:instrText>ADDIN CSL_CITATION {"citationItems":[{"id":"ITEM-1","itemData":{"DOI":"10.1016/j.febslet.2009.10.022","ISSN":"00145793","abstract":"Numerous data have been collected on lipid-binding amphipathic helices involved in membrane-remodeling machineries and vesicular transport. Here we describe how, with regard to lipid composition, the physicochemical features of some amphipathic helices explain their ability to recognize membrane curvature or to participate in membrane remodeling. We propose that sensing highly-curved membranes requires that the polar and hydrophobic faces of the helix do not cooperate in lipid binding. A more detailed description of the interaction between amphipathic helices and lipids is however needed; notably to explain how new helices contribute to detection of modest changes in curvature or even negative curvature. © 2009 Federation of European Biochemical Societies.","author":[{"dropping-particle":"","family":"Drin","given":"Guillaume","non-dropping-particle":"","parse-names":false,"suffix":""},{"dropping-particle":"","family":"Antonny","given":"Bruno","non-dropping-particle":"","parse-names":false,"suffix":""}],"container-title":"FEBS Letters","id":"ITEM-1","issue":"9","issued":{"date-parts":[["2010","5","3"]]},"page":"1840-1847","publisher":"John Wiley &amp; Sons, Ltd","title":"Amphipathic helices and membrane curvature","type":"article-journal","volume":"584"},"uris":["http://www.mendeley.com/documents/?uuid=04113c24-cbc3-3af8-b9ac-626a42866d0c"]}],"mendeley":{"formattedCitation":"&lt;sup&gt;105&lt;/sup&gt;","plainTextFormattedCitation":"105","previouslyFormattedCitation":"&lt;sup&gt;105&lt;/sup&gt;"},"properties":{"noteIndex":0},"schema":"https://github.com/citation-style-language/schema/raw/master/csl-citation.json"}</w:instrText>
      </w:r>
      <w:r w:rsidR="007338FC">
        <w:fldChar w:fldCharType="separate"/>
      </w:r>
      <w:r w:rsidR="0019024E" w:rsidRPr="0019024E">
        <w:rPr>
          <w:noProof/>
          <w:vertAlign w:val="superscript"/>
        </w:rPr>
        <w:t>105</w:t>
      </w:r>
      <w:r w:rsidR="007338FC">
        <w:fldChar w:fldCharType="end"/>
      </w:r>
      <w:r w:rsidR="007338FC">
        <w:t xml:space="preserve"> and staples</w:t>
      </w:r>
      <w:r w:rsidR="007338FC">
        <w:fldChar w:fldCharType="begin" w:fldLock="1"/>
      </w:r>
      <w:r w:rsidR="00AB6F80">
        <w:instrText>ADDIN CSL_CITATION {"citationItems":[{"id":"ITEM-1","itemData":{"DOI":"10.1038/s41587-019-0222-z","ISSN":"15461696","PMID":"31427820","abstract":"The clinical translation of cationic α-helical antimicrobial peptides (AMPs) has been hindered by structural instability, proteolytic degradation and in vivo toxicity from nonspecific membrane lysis. Although analyses of hydrophobic content and charge distribution have informed the design of synthetic AMPs with increased potency and reduced in vitro hemolysis, nonspecific membrane toxicity in vivo continues to impede AMP drug development. Here, we analyzed a 58-member library of stapled AMPs (StAMPs) based on magainin II and applied the insights from structure–function–toxicity measurements to devise an algorithm for the design of stable, protease-resistant, potent and nontoxic StAMP prototypes. We show that a lead double-stapled StAMP named Mag(i+4)1,15(A9K,B21A,N22K,S23K) can kill multidrug-resistant Gram-negative pathogens, such as colistin-resistant Acinetobacter baumannii in a mouse peritonitis–sepsis model, without observed hemolysis or renal injury in murine toxicity studies. Inputting the amino acid sequences alone, we further generated membrane-selective StAMPs of pleurocidin, CAP18 and esculentin, highlighting the generalizability of our design platform.","author":[{"dropping-particle":"","family":"Mourtada","given":"Rida","non-dropping-particle":"","parse-names":false,"suffix":""},{"dropping-particle":"","family":"Herce","given":"Henry D.","non-dropping-particle":"","parse-names":false,"suffix":""},{"dropping-particle":"","family":"Yin","given":"Daniel J.","non-dropping-particle":"","parse-names":false,"suffix":""},{"dropping-particle":"","family":"Moroco","given":"Jamie A.","non-dropping-particle":"","parse-names":false,"suffix":""},{"dropping-particle":"","family":"Wales","given":"Thomas E.","non-dropping-particle":"","parse-names":false,"suffix":""},{"dropping-particle":"","family":"Engen","given":"John R.","non-dropping-particle":"","parse-names":false,"suffix":""},{"dropping-particle":"","family":"Walensky","given":"Loren D.","non-dropping-particle":"","parse-names":false,"suffix":""}],"container-title":"Nature Biotechnology","id":"ITEM-1","issue":"10","issued":{"date-parts":[["2019","10","1"]]},"page":"1186-1197","publisher":"Nature Publishing Group","title":"Design of stapled antimicrobial peptides that are stable, nontoxic and kill antibiotic-resistant bacteria in mice","type":"article-journal","volume":"37"},"uris":["http://www.mendeley.com/documents/?uuid=96983353-5aa8-3870-ac97-1f02bb2d12f8"]}],"mendeley":{"formattedCitation":"&lt;sup&gt;108&lt;/sup&gt;","plainTextFormattedCitation":"108","previouslyFormattedCitation":"&lt;sup&gt;108&lt;/sup&gt;"},"properties":{"noteIndex":0},"schema":"https://github.com/citation-style-language/schema/raw/master/csl-citation.json"}</w:instrText>
      </w:r>
      <w:r w:rsidR="007338FC">
        <w:fldChar w:fldCharType="separate"/>
      </w:r>
      <w:r w:rsidR="00D217EC" w:rsidRPr="00D217EC">
        <w:rPr>
          <w:noProof/>
          <w:vertAlign w:val="superscript"/>
        </w:rPr>
        <w:t>108</w:t>
      </w:r>
      <w:r w:rsidR="007338FC">
        <w:fldChar w:fldCharType="end"/>
      </w:r>
      <w:r w:rsidR="007338FC">
        <w:t xml:space="preserve">. Generally speaking, optimising a sequence relies on “chemical intuition” and experiment, </w:t>
      </w:r>
      <w:r w:rsidR="001C591B">
        <w:t>and</w:t>
      </w:r>
      <w:r w:rsidR="007338FC">
        <w:t xml:space="preserve"> </w:t>
      </w:r>
      <w:r w:rsidR="007338FC">
        <w:rPr>
          <w:i/>
        </w:rPr>
        <w:t>in silico</w:t>
      </w:r>
      <w:r w:rsidR="007338FC">
        <w:t xml:space="preserve"> tools </w:t>
      </w:r>
      <w:r w:rsidR="001C591B">
        <w:t xml:space="preserve">are often </w:t>
      </w:r>
      <w:r w:rsidR="007338FC">
        <w:t>used to understand molecular modes of action, which are described in the second portion of this review.</w:t>
      </w:r>
    </w:p>
    <w:p w14:paraId="7DF39091" w14:textId="4110EDC2" w:rsidR="005E05A6" w:rsidRDefault="007338FC" w:rsidP="00605644">
      <w:pPr>
        <w:pStyle w:val="LO-normal"/>
        <w:jc w:val="both"/>
      </w:pPr>
      <w:r>
        <w:t xml:space="preserve">Where computational methods truly shine in AMP design is in the identification of </w:t>
      </w:r>
      <w:r>
        <w:rPr>
          <w:i/>
        </w:rPr>
        <w:t>de novo</w:t>
      </w:r>
      <w:r>
        <w:t xml:space="preserve"> sequences. </w:t>
      </w:r>
      <w:r w:rsidR="001C591B">
        <w:t>Thanks to the availability of large datasets, researchers can build sophisticated models that tease out patterns and fundamental principles where the human eye would fail.</w:t>
      </w:r>
      <w:r w:rsidR="005158F5">
        <w:t xml:space="preserve"> These models train on thousands of known AMPs to infer relationships and correlations between sequence and properties, so that users may submit a putative seque</w:t>
      </w:r>
      <w:r w:rsidR="001D25F5">
        <w:t>nce and obtain the likelihood of their sequence possessing</w:t>
      </w:r>
      <w:r w:rsidR="005158F5">
        <w:t xml:space="preserve"> antimicrobial activity; they can also try to predict the specific mode of action</w:t>
      </w:r>
      <w:r w:rsidR="00AB6F80">
        <w:fldChar w:fldCharType="begin" w:fldLock="1"/>
      </w:r>
      <w:r w:rsidR="00AB6F80">
        <w:instrText>ADDIN CSL_CITATION {"citationItems":[{"id":"ITEM-1","itemData":{"DOI":"10.1186/s12859-019-2766-9","ISSN":"14712105","PMID":"31182007","abstract":"Background: Antimicrobial peptides (AMPs) are essential components of the innate immune system and can protect the host from various pathogenic bacteria. The marine environment is known to be one of the richest sources for AMPs. Effective usage of AMPs and their derivatives can greatly improve the immunity and breeding survival rate of aquatic products. It is highly desirable to develop computational tools for rapidly and accurately identifying AMPs and their functional types, for the purpose of helping design new and more effective antimicrobial agents. Results: In this study, we made an attempt to develop an advanced machine learning based computational approach, MAMPs-Pred, for identification of AMPs and its function types. Initially, SVM-prot 188-D features were extracted that were subsequently used as input to a two-layer multi-label classifier. In specific, the first layer is to identify whether it is an AMP by applying RF classifier, and the second layer addresses the multi-type problem by identifying the activites or function types of AMPs by applying PS-RF and LC-RF classifiers. To benchmark the methods,the MAMPs-Pred method is also compared with existing best-performing methods in literature and has shown an improved identification accuracy. Conclusions: The results reported in this study indicate that the MAMP-Pred method achieves high performance for identifying AMPs and its functional types.The proposed approach is believed to supplement the tools and techniques that have been developed in the past for predicting AMPs and their function types.","author":[{"dropping-particle":"","family":"Lin","given":"Yuan","non-dropping-particle":"","parse-names":false,"suffix":""},{"dropping-particle":"","family":"Cai","given":"Yinyin","non-dropping-particle":"","parse-names":false,"suffix":""},{"dropping-particle":"","family":"Liu","given":"Juan","non-dropping-particle":"","parse-names":false,"suffix":""},{"dropping-particle":"","family":"Lin","given":"Chen","non-dropping-particle":"","parse-names":false,"suffix":""},{"dropping-particle":"","family":"Liu","given":"Xiangrong","non-dropping-particle":"","parse-names":false,"suffix":""}],"container-title":"BMC Bioinformatics","id":"ITEM-1","issue":"S8","issued":{"date-parts":[["2019","6","10"]]},"page":"291","publisher":"BioMed Central Ltd.","title":"An advanced approach to identify antimicrobial peptides and their function types for penaeus through machine learning strategies","type":"article-journal","volume":"20"},"uris":["http://www.mendeley.com/documents/?uuid=1f01652b-4b8a-303a-99f7-2504f64ccaf3"]}],"mendeley":{"formattedCitation":"&lt;sup&gt;109&lt;/sup&gt;","plainTextFormattedCitation":"109","previouslyFormattedCitation":"&lt;sup&gt;109&lt;/sup&gt;"},"properties":{"noteIndex":0},"schema":"https://github.com/citation-style-language/schema/raw/master/csl-citation.json"}</w:instrText>
      </w:r>
      <w:r w:rsidR="00AB6F80">
        <w:fldChar w:fldCharType="separate"/>
      </w:r>
      <w:r w:rsidR="00AB6F80" w:rsidRPr="00AB6F80">
        <w:rPr>
          <w:noProof/>
          <w:vertAlign w:val="superscript"/>
        </w:rPr>
        <w:t>109</w:t>
      </w:r>
      <w:r w:rsidR="00AB6F80">
        <w:fldChar w:fldCharType="end"/>
      </w:r>
      <w:r w:rsidR="005158F5">
        <w:t xml:space="preserve"> or the target organism</w:t>
      </w:r>
      <w:r w:rsidR="00AB6F80">
        <w:fldChar w:fldCharType="begin" w:fldLock="1"/>
      </w:r>
      <w:r w:rsidR="00AE3E77">
        <w:instrText>ADDIN CSL_CITATION {"citationItems":[{"id":"ITEM-1","itemData":{"DOI":"10.1038/srep42362","ISSN":"20452322","PMID":"28205576","abstract":"Antimicrobial peptides (AMPs) are important components of the innate immune system that have been found to be effective against disease causing pathogens. Identification of AMPs through wet-lab experiment is expensive. Therefore, development of efficient computational tool is essential to identify the best candidate AMP prior to the in vitro experimentation. In this study, we made an attempt to develop a support vector machine (SVM) based computational approach for prediction of AMPs with improved accuracy. Initially, compositional, physico-chemical and structural features of the peptides were generated that were subsequently used as input in SVM for prediction of AMPs. The proposed approach achieved higher accuracy than several existing approaches, while compared using benchmark dataset. Based on the proposed approach, an online prediction server iAMPpred has also been developed to help the scientific community in predicting AMPs, which is freely accessible at http://cabgrid.res.in:8080/amppred/. The proposed approach is believed to supplement the tools and techniques that have been developed in the past for prediction of AMPs.","author":[{"dropping-particle":"","family":"Meher","given":"Prabina Kumar","non-dropping-particle":"","parse-names":false,"suffix":""},{"dropping-particle":"","family":"Sahu","given":"Tanmaya Kumar","non-dropping-particle":"","parse-names":false,"suffix":""},{"dropping-particle":"","family":"Saini","given":"Varsha","non-dropping-particle":"","parse-names":false,"suffix":""},{"dropping-particle":"","family":"Rao","given":"Atmakuri Ramakrishna","non-dropping-particle":"","parse-names":false,"suffix":""}],"container-title":"Scientific Reports","id":"ITEM-1","issue":"1","issued":{"date-parts":[["2017","2","13"]]},"page":"1-12","publisher":"Nature Publishing Group","title":"Predicting antimicrobial peptides with improved accuracy by incorporating the compositional, physico-chemical and structural features into Chou's general PseAAC","type":"article-journal","volume":"7"},"uris":["http://www.mendeley.com/documents/?uuid=6086f2f1-bafd-3864-91c8-c2887b5e6e02"]}],"mendeley":{"formattedCitation":"&lt;sup&gt;110&lt;/sup&gt;","plainTextFormattedCitation":"110","previouslyFormattedCitation":"&lt;sup&gt;110&lt;/sup&gt;"},"properties":{"noteIndex":0},"schema":"https://github.com/citation-style-language/schema/raw/master/csl-citation.json"}</w:instrText>
      </w:r>
      <w:r w:rsidR="00AB6F80">
        <w:fldChar w:fldCharType="separate"/>
      </w:r>
      <w:r w:rsidR="00AB6F80" w:rsidRPr="00AB6F80">
        <w:rPr>
          <w:noProof/>
          <w:vertAlign w:val="superscript"/>
        </w:rPr>
        <w:t>110</w:t>
      </w:r>
      <w:r w:rsidR="00AB6F80">
        <w:fldChar w:fldCharType="end"/>
      </w:r>
      <w:r w:rsidR="005158F5">
        <w:t xml:space="preserve">. </w:t>
      </w:r>
      <w:r w:rsidR="001C591B">
        <w:t xml:space="preserve">Some </w:t>
      </w:r>
      <w:r w:rsidR="00605644">
        <w:t xml:space="preserve">developers </w:t>
      </w:r>
      <w:r w:rsidR="001C591B">
        <w:t>of AMP databases</w:t>
      </w:r>
      <w:r w:rsidR="003409AC">
        <w:t xml:space="preserve"> offer </w:t>
      </w:r>
      <w:r w:rsidR="005158F5">
        <w:t>this</w:t>
      </w:r>
      <w:r w:rsidR="00605644">
        <w:t xml:space="preserve"> data-mining</w:t>
      </w:r>
      <w:r w:rsidR="005158F5">
        <w:t xml:space="preserve">-based </w:t>
      </w:r>
      <w:r w:rsidR="00605644">
        <w:t xml:space="preserve">prediction as an extra feature, </w:t>
      </w:r>
      <w:r w:rsidR="005158F5">
        <w:t>as do</w:t>
      </w:r>
      <w:r w:rsidR="00605644">
        <w:t xml:space="preserve"> CAMPR3</w:t>
      </w:r>
      <w:r w:rsidR="00605644">
        <w:fldChar w:fldCharType="begin" w:fldLock="1"/>
      </w:r>
      <w:r w:rsidR="00D217EC">
        <w:instrText>ADDIN CSL_CITATION {"citationItems":[{"id":"ITEM-1","itemData":{"DOI":"10.1093/nar/gkv1051","ISSN":"13624962","PMID":"26467475","abstract":"Antimicrobial peptides (AMPs) are known to have family-specific sequence composition, which can be mined for discovery and design of AMPs. Here, we present CAMPR3; an update to the existing CAMP database available online at www.camp3.bicnirrh. res.in. It is a database of sequences, structures and family-specific signatures of prokaryotic and eukaryotic AMPs. Family-specific sequence signatures comprising of patterns and Hidden Markov Models were generated for 45 AMP families by analysing 1386 experimentally studied AMPs. These were further used to retrieve AMPs from online sequence databases. More than 4000 AMPs could be identified using these signatures. AMP family signatures provided in CAMPR3 can thus be used to accelerate and expand the discovery of AMPs. CAMPR3 presently holds 10247 sequences, 757 structures and 114 family-specific signatures of AMPs. Users can avail the sequence optimization algorithm for rational design of AMPs. The database integrated with tools for AMP sequence and structure analysis will be a valuable resource for family-based studies on AMPs.","author":[{"dropping-particle":"","family":"Waghu","given":"Faiza Hanif","non-dropping-particle":"","parse-names":false,"suffix":""},{"dropping-particle":"","family":"Barai","given":"Ram Shankar","non-dropping-particle":"","parse-names":false,"suffix":""},{"dropping-particle":"","family":"Gurung","given":"Pratima","non-dropping-particle":"","parse-names":false,"suffix":""},{"dropping-particle":"","family":"Idicula-Thomas","given":"Susan","non-dropping-particle":"","parse-names":false,"suffix":""}],"container-title":"Nucleic Acids Research","id":"ITEM-1","issue":"D1","issued":{"date-parts":[["2016","1","4"]]},"page":"D1094-D1097","publisher":"Oxford University Press","title":"CAMPR3: A database on sequences, structures and signatures of antimicrobial peptides","type":"article-journal","volume":"44"},"uris":["http://www.mendeley.com/documents/?uuid=d364bf0c-8bc0-3cf8-8030-3e7e6900c18c"]}],"mendeley":{"formattedCitation":"&lt;sup&gt;88&lt;/sup&gt;","plainTextFormattedCitation":"88","previouslyFormattedCitation":"&lt;sup&gt;88&lt;/sup&gt;"},"properties":{"noteIndex":0},"schema":"https://github.com/citation-style-language/schema/raw/master/csl-citation.json"}</w:instrText>
      </w:r>
      <w:r w:rsidR="00605644">
        <w:fldChar w:fldCharType="separate"/>
      </w:r>
      <w:r w:rsidR="0019024E" w:rsidRPr="0019024E">
        <w:rPr>
          <w:noProof/>
          <w:vertAlign w:val="superscript"/>
        </w:rPr>
        <w:t>88</w:t>
      </w:r>
      <w:r w:rsidR="00605644">
        <w:fldChar w:fldCharType="end"/>
      </w:r>
      <w:r w:rsidR="00605644">
        <w:t>, ADAM</w:t>
      </w:r>
      <w:r w:rsidR="00605644">
        <w:fldChar w:fldCharType="begin" w:fldLock="1"/>
      </w:r>
      <w:r w:rsidR="0052410F">
        <w:instrText>ADDIN CSL_CITATION {"citationItems":[{"id":"ITEM-1","itemData":{"DOI":"10.1155/2015/475062","ISSN":"23146141","PMID":"26000295","abstract":"Antimicrobial peptides (AMPs) are potent drug candidates against microbial organisms such as bacteria, fungi, parasites, and viruses. AMPs have abundant sequences and structures, two fundamental resources for bioinformatics researches, but analyses on how they associate with each other are either nonexistent or limited to partial classification and data. We thus present A Database of Anti-Microbial peptides (ADAM), which contains 7,007 unique sequences and 759 structures, to systematically establish comprehensive associations between AMP sequences and structures through structural folds and to provide an easy access to view their relationships. 30 distinct AMP structural fold clusters with more than one structure are detected and about a thousand AMPs are associated with at least one structural fold cluster. According to ADAM, AMP structural folds are limited-AMPs only cover about 3% of the overall protein fold space.","author":[{"dropping-particle":"","family":"Lee","given":"Hao Ting","non-dropping-particle":"","parse-names":false,"suffix":""},{"dropping-particle":"","family":"Lee","given":"Chen Che","non-dropping-particle":"","parse-names":false,"suffix":""},{"dropping-particle":"","family":"Yang","given":"Je Ruei","non-dropping-particle":"","parse-names":false,"suffix":""},{"dropping-particle":"","family":"Lai","given":"Jim Z.C.","non-dropping-particle":"","parse-names":false,"suffix":""},{"dropping-particle":"","family":"Chang","given":"Kuan Y.","non-dropping-particle":"","parse-names":false,"suffix":""},{"dropping-particle":"","family":"Ray","given":"Oliver","non-dropping-particle":"","parse-names":false,"suffix":""}],"container-title":"BioMed Research International","id":"ITEM-1","issued":{"date-parts":[["2015"]]},"page":"475062","publisher":"Hindawi Publishing Corporation","title":"A large-scale structural classification of Antimicrobial peptides","type":"article-journal","volume":"2015"},"uris":["http://www.mendeley.com/documents/?uuid=7c887ddc-5dd0-3180-81eb-f153015e4846"]}],"mendeley":{"formattedCitation":"&lt;sup&gt;95&lt;/sup&gt;","plainTextFormattedCitation":"95","previouslyFormattedCitation":"&lt;sup&gt;95&lt;/sup&gt;"},"properties":{"noteIndex":0},"schema":"https://github.com/citation-style-language/schema/raw/master/csl-citation.json"}</w:instrText>
      </w:r>
      <w:r w:rsidR="00605644">
        <w:fldChar w:fldCharType="separate"/>
      </w:r>
      <w:r w:rsidR="0019024E" w:rsidRPr="0019024E">
        <w:rPr>
          <w:noProof/>
          <w:vertAlign w:val="superscript"/>
        </w:rPr>
        <w:t>95</w:t>
      </w:r>
      <w:r w:rsidR="00605644">
        <w:fldChar w:fldCharType="end"/>
      </w:r>
      <w:r w:rsidR="00605644">
        <w:t>, or BAGEL4 (specifically for bacteriocins</w:t>
      </w:r>
      <w:r w:rsidR="00605644">
        <w:fldChar w:fldCharType="begin" w:fldLock="1"/>
      </w:r>
      <w:r w:rsidR="00AE3E77">
        <w:instrText>ADDIN CSL_CITATION {"citationItems":[{"id":"ITEM-1","itemData":{"DOI":"10.1093/nar/gkt391","ISSN":"13624962","PMID":"23677608","abstract":"Identifying genes encoding bacteriocins and ribosomally synthesized and posttranslationally modified peptides (RiPPs) can be a challenging task. Especially those peptides that do not have strong homology to previously identified peptides can easily be overlooked. Extensive use of BAGEL2 and user feedback has led us to develop BAGEL3. BAGEL3 features genome mining of prokaryotes, which is largely independent of open reading frame (ORF) predictions and has been extended to cover more (novel) classes of posttranslationally modified peptides. BAGEL3 uses an identification approach that combines direct mining for the gene and indirect mining via context genes. Especially for heavily modified peptides like lanthipeptides, sactipeptides, glycocins and others, this genetic context harbors valuable information that is used for mining purposes. The bacteriocin and context protein databases have been updated and it is now easy for users to submit novel bacteriocins or RiPPs. The output has been simplified to allow user-friendly analysis of the results, in particular for large (meta-genomic) datasets. The genetic context of identified candidate genes is fully annotated. As input, BAGEL3 uses FASTA DNA sequences or folders containing multiple FASTA formatted files. BAGEL3 is freely accessible at http://bagel.molgenrug.nl.","author":[{"dropping-particle":"","family":"Heel","given":"Auke J.","non-dropping-particle":"van","parse-names":false,"suffix":""},{"dropping-particle":"","family":"Jong","given":"Anne","non-dropping-particle":"de","parse-names":false,"suffix":""},{"dropping-particle":"","family":"Montalbán-López","given":"Manuel","non-dropping-particle":"","parse-names":false,"suffix":""},{"dropping-particle":"","family":"Kok","given":"Jan","non-dropping-particle":"","parse-names":false,"suffix":""},{"dropping-particle":"","family":"Kuipers","given":"Oscar P.","non-dropping-particle":"","parse-names":false,"suffix":""}],"container-title":"Nucleic acids research","id":"ITEM-1","issue":"Web Server issue","issued":{"date-parts":[["2013","7","1"]]},"page":"W448-W453","publisher":"Oxford Academic","title":"BAGEL3: Automated identification of genes encoding bacteriocins and (non-)bactericidal posttranslationally modified peptides.","type":"article-journal","volume":"41"},"uris":["http://www.mendeley.com/documents/?uuid=d7d021de-ed64-3cfb-bdbb-81a9dbe51c64"]}],"mendeley":{"formattedCitation":"&lt;sup&gt;111&lt;/sup&gt;","plainTextFormattedCitation":"111","previouslyFormattedCitation":"&lt;sup&gt;111&lt;/sup&gt;"},"properties":{"noteIndex":0},"schema":"https://github.com/citation-style-language/schema/raw/master/csl-citation.json"}</w:instrText>
      </w:r>
      <w:r w:rsidR="00605644">
        <w:fldChar w:fldCharType="separate"/>
      </w:r>
      <w:r w:rsidR="00AB6F80" w:rsidRPr="00AB6F80">
        <w:rPr>
          <w:noProof/>
          <w:vertAlign w:val="superscript"/>
        </w:rPr>
        <w:t>111</w:t>
      </w:r>
      <w:r w:rsidR="00605644">
        <w:fldChar w:fldCharType="end"/>
      </w:r>
      <w:r w:rsidR="00242E2D">
        <w:t>), using</w:t>
      </w:r>
      <w:r w:rsidR="00605644">
        <w:t xml:space="preserve"> machine learning methods </w:t>
      </w:r>
      <w:r w:rsidR="005E05A6">
        <w:t>that we will outline in the next section</w:t>
      </w:r>
      <w:r w:rsidR="00605644">
        <w:t xml:space="preserve">. </w:t>
      </w:r>
      <w:r w:rsidR="005158F5">
        <w:t>Some web servers, generally using the databases mentioned above as a training set, provide a more streamlined approach if all one requires is a simple activity prediction:</w:t>
      </w:r>
      <w:r w:rsidR="00605644">
        <w:t xml:space="preserve"> </w:t>
      </w:r>
      <w:r w:rsidR="005E05A6">
        <w:t xml:space="preserve">we have listed </w:t>
      </w:r>
      <w:r w:rsidR="005158F5">
        <w:t xml:space="preserve">them </w:t>
      </w:r>
      <w:r w:rsidR="00034C86">
        <w:t xml:space="preserve">in table </w:t>
      </w:r>
      <w:r w:rsidR="00686AFA">
        <w:t>3</w:t>
      </w:r>
      <w:r w:rsidR="00605644">
        <w:t xml:space="preserve">. </w:t>
      </w:r>
      <w:r w:rsidR="001F1C82">
        <w:t xml:space="preserve">Each </w:t>
      </w:r>
      <w:r w:rsidR="005158F5">
        <w:t>tool</w:t>
      </w:r>
      <w:r w:rsidR="001F1C82">
        <w:t xml:space="preserve"> tends to claim higher accuracy than comparable methods, so meta-analyses of different </w:t>
      </w:r>
      <w:r w:rsidR="005158F5">
        <w:t>approaches</w:t>
      </w:r>
      <w:r w:rsidR="001F1C82">
        <w:t xml:space="preserve"> are valuable. </w:t>
      </w:r>
      <w:r w:rsidR="00605644">
        <w:t>A previous study has found that the CAMPR3 prediction tool generally performed the best</w:t>
      </w:r>
      <w:r w:rsidR="00605644">
        <w:fldChar w:fldCharType="begin" w:fldLock="1"/>
      </w:r>
      <w:r w:rsidR="00AE3E77">
        <w:instrText>ADDIN CSL_CITATION {"citationItems":[{"id":"ITEM-1","itemData":{"DOI":"10.1093/bioinformatics/btx081","ISSN":"1367-4803","abstract":"Motivation: Antimicrobial peptides (AMPs) are innate immune molecules that exhibit activities against a range of microbes, including bacteria, fungi, viruses and protozoa. Recent increases in microbial resistance against current drugs has led to a concomitant increase in the need for novel antimicrobial agents. Over the last decade, a number of AMP prediction tools have been designed and made freely available online. These AMP prediction tools show potential to discriminate AMPs from non-AMPs, but the relative quality of the predictions produced by the various tools is difficult to quantify. Results: We compiled two sets of AMP and non-AMP peptides, separated into three categories- A ntimicrobial, antibacterial and bacteriocins. Using these benchmark data sets, we carried out a systematic evaluation of ten publicly available AMP prediction methods. Among the six general AMP prediction tools-ADAM, CAMPR3(RF), CAMPR3(SVM), MLAMP, DBAASP and MLAMP-we find that CAMPR3(RF) provides a statistically significant improvement in performance, as measured by the area under the receiver operating characteristic (ROC) curve, relative to the other five methods. Surprisingly, for antibacterial prediction, the original AntiBP method significantly outperforms its successor, AntiBP2 based on one benchmark dataset. The two bacteriocin prediction tools, BAGEL3 and BACTIBASE, both provide very good performance and BAGEL3 outperforms its predecessor, BACTIBASE, on the larger of the two benchmarks.","author":[{"dropping-particle":"","family":"Gabere","given":"Musa Nur","non-dropping-particle":"","parse-names":false,"suffix":""},{"dropping-particle":"","family":"Noble","given":"William Stafford","non-dropping-particle":"","parse-names":false,"suffix":""}],"container-title":"Bioinformatics","editor":[{"dropping-particle":"","family":"Valencia","given":"Alfonso","non-dropping-particle":"","parse-names":false,"suffix":""}],"id":"ITEM-1","issue":"13","issued":{"date-parts":[["2017","7","1"]]},"page":"1921-1929","publisher":"Oxford University Press","title":"Empirical comparison of web-based antimicrobial peptide prediction tools","type":"article-journal","volume":"33"},"uris":["http://www.mendeley.com/documents/?uuid=033fc209-0c86-312a-a771-70bc891f73bc"]}],"mendeley":{"formattedCitation":"&lt;sup&gt;112&lt;/sup&gt;","plainTextFormattedCitation":"112","previouslyFormattedCitation":"&lt;sup&gt;112&lt;/sup&gt;"},"properties":{"noteIndex":0},"schema":"https://github.com/citation-style-language/schema/raw/master/csl-citation.json"}</w:instrText>
      </w:r>
      <w:r w:rsidR="00605644">
        <w:fldChar w:fldCharType="separate"/>
      </w:r>
      <w:r w:rsidR="00AB6F80" w:rsidRPr="00AB6F80">
        <w:rPr>
          <w:noProof/>
          <w:vertAlign w:val="superscript"/>
        </w:rPr>
        <w:t>112</w:t>
      </w:r>
      <w:r w:rsidR="00605644">
        <w:fldChar w:fldCharType="end"/>
      </w:r>
      <w:r w:rsidR="00605644">
        <w:t>, although follow-up studies suggest that certain databases are more suited to more narrow tasks, such as predicting linear peptides or specific classes of AMPs</w:t>
      </w:r>
      <w:r w:rsidR="00605644">
        <w:fldChar w:fldCharType="begin" w:fldLock="1"/>
      </w:r>
      <w:r w:rsidR="00AE3E77">
        <w:instrText>ADDIN CSL_CITATION {"citationItems":[{"id":"ITEM-1","itemData":{"DOI":"10.1093/bioinformatics/bty1023","ISSN":"1367-4803","abstract":"&lt;p&gt;Supplementary information: Supplementary data are available at Bioinformatics online.&lt;/p&gt;","author":[{"dropping-particle":"","family":"Vishnepolsky","given":"Boris","non-dropping-particle":"","parse-names":false,"suffix":""},{"dropping-particle":"","family":"Pirtskhalava","given":"Malak","non-dropping-particle":"","parse-names":false,"suffix":""}],"container-title":"Bioinformatics","editor":[{"dropping-particle":"","family":"Valencia","given":"Alfonso","non-dropping-particle":"","parse-names":false,"suffix":""}],"id":"ITEM-1","issue":"15","issued":{"date-parts":[["2019","8","1"]]},"page":"2692-2694","publisher":"Oxford University Press","title":"Comment on: ‘Empirical comparison of web-based antimicrobial peptide prediction tools’","type":"article-journal","volume":"35"},"uris":["http://www.mendeley.com/documents/?uuid=3c5357b9-647d-36f4-a6be-3289adee9486"]}],"mendeley":{"formattedCitation":"&lt;sup&gt;113&lt;/sup&gt;","plainTextFormattedCitation":"113","previouslyFormattedCitation":"&lt;sup&gt;113&lt;/sup&gt;"},"properties":{"noteIndex":0},"schema":"https://github.com/citation-style-language/schema/raw/master/csl-citation.json"}</w:instrText>
      </w:r>
      <w:r w:rsidR="00605644">
        <w:fldChar w:fldCharType="separate"/>
      </w:r>
      <w:r w:rsidR="00AB6F80" w:rsidRPr="00AB6F80">
        <w:rPr>
          <w:noProof/>
          <w:vertAlign w:val="superscript"/>
        </w:rPr>
        <w:t>113</w:t>
      </w:r>
      <w:r w:rsidR="00605644">
        <w:fldChar w:fldCharType="end"/>
      </w:r>
      <w:r w:rsidR="00605644">
        <w:t>.</w:t>
      </w:r>
      <w:r w:rsidR="008D2D74">
        <w:t xml:space="preserve"> A m</w:t>
      </w:r>
      <w:r w:rsidR="00224C28">
        <w:t>ore recent comparison</w:t>
      </w:r>
      <w:r w:rsidR="008D2D74">
        <w:t xml:space="preserve"> published in the last year by the developers of the AmpGram prediction tool</w:t>
      </w:r>
      <w:r w:rsidR="008D2D74">
        <w:fldChar w:fldCharType="begin" w:fldLock="1"/>
      </w:r>
      <w:r w:rsidR="00AE3E77">
        <w:instrText>ADDIN CSL_CITATION {"citationItems":[{"id":"ITEM-1","itemData":{"DOI":"10.3390/ijms21124310","ISSN":"14220067","PMID":"32560350","abstract":"Antimicrobial peptides (AMPs) are molecules widespread in all branches of the tree of life that participate in host defense and/or microbial competition. Due to their positive charge, hydrophobicity and amphipathicity, they preferentially disrupt negatively charged bacterial membranes. AMPs are considered an important alternative to traditional antibiotics, especially at the time when multidrug-resistant bacteria being on the rise. Therefore, to reduce the costs of experimental research, robust computational tools for AMP prediction and identification of the best AMP candidates are essential. AmpGram is our novel tool for AMP prediction; it outperforms top-ranking AMP classifiers, including AMPScanner, CAMPR3R and iAMPpred. It is the first AMP prediction tool created for longer AMPs and for high-throughput proteomic screening. AmpGram prediction reliability was confirmed on the example of lactoferrin and thrombin. The former is a well known antimicrobial protein and the latter a cryptic one. Both proteins produce (after protease treatment) functional AMPs that have been experimentally validated at molecular level. The lactoferrin and thrombin AMPs were located in the antimicrobial regions clearly detected by AmpGram. Moreover, AmpGram also provides a list of shot 10 amino acid fragments in the antimicrobial regions, along with their probability predictions; these can be used for further studies and the rational design of new AMPs. AmpGram is available as a web-server, and an easy-to-use R package for proteomic analysis at CRAN repository.","author":[{"dropping-particle":"","family":"Burdukiewicz","given":"Michał","non-dropping-particle":"","parse-names":false,"suffix":""},{"dropping-particle":"","family":"Sidorczuk","given":"Katarzyna","non-dropping-particle":"","parse-names":false,"suffix":""},{"dropping-particle":"","family":"Rafacz","given":"Dominik","non-dropping-particle":"","parse-names":false,"suffix":""},{"dropping-particle":"","family":"Pietluch","given":"Filip","non-dropping-particle":"","parse-names":false,"suffix":""},{"dropping-particle":"","family":"Chilimoniuk","given":"Jarosław","non-dropping-particle":"","parse-names":false,"suffix":""},{"dropping-particle":"","family":"Rödiger","given":"Stefan","non-dropping-particle":"","parse-names":false,"suffix":""},{"dropping-particle":"","family":"Gagat","given":"Przemysław","non-dropping-particle":"","parse-names":false,"suffix":""}],"container-title":"International Journal of Molecular Sciences","id":"ITEM-1","issue":"12","issued":{"date-parts":[["2020","6","2"]]},"page":"1-13","publisher":"MDPI AG","title":"Proteomic screening for prediction and design of antimicrobial peptides with ampgram","type":"article-journal","volume":"21"},"uris":["http://www.mendeley.com/documents/?uuid=c32cdf69-51f3-3dbb-92f7-d1ae3ad165c8"]}],"mendeley":{"formattedCitation":"&lt;sup&gt;114&lt;/sup&gt;","plainTextFormattedCitation":"114","previouslyFormattedCitation":"&lt;sup&gt;114&lt;/sup&gt;"},"properties":{"noteIndex":0},"schema":"https://github.com/citation-style-language/schema/raw/master/csl-citation.json"}</w:instrText>
      </w:r>
      <w:r w:rsidR="008D2D74">
        <w:fldChar w:fldCharType="separate"/>
      </w:r>
      <w:r w:rsidR="00AB6F80" w:rsidRPr="00AB6F80">
        <w:rPr>
          <w:noProof/>
          <w:vertAlign w:val="superscript"/>
        </w:rPr>
        <w:t>114</w:t>
      </w:r>
      <w:r w:rsidR="008D2D74">
        <w:fldChar w:fldCharType="end"/>
      </w:r>
      <w:r w:rsidR="008D2D74">
        <w:t xml:space="preserve"> naturally suggests that their own </w:t>
      </w:r>
      <w:r w:rsidR="00224C28">
        <w:t>method</w:t>
      </w:r>
      <w:r w:rsidR="008D2D74">
        <w:t xml:space="preserve"> is more accurate, but it should be noted that the different </w:t>
      </w:r>
      <w:r w:rsidR="00224C28">
        <w:t xml:space="preserve">analysed predictors, which include CAMPR3, AMPScanner, ADAM, iAMPpred and iAMP-2L, </w:t>
      </w:r>
      <w:r w:rsidR="001D25F5">
        <w:t>have largely yielded</w:t>
      </w:r>
      <w:r w:rsidR="00224C28">
        <w:t xml:space="preserve"> high performances</w:t>
      </w:r>
      <w:r w:rsidR="001D25F5">
        <w:t xml:space="preserve"> across different data sets</w:t>
      </w:r>
      <w:r w:rsidR="00224C28">
        <w:t>.</w:t>
      </w:r>
      <w:r w:rsidR="00A74090">
        <w:t xml:space="preserve"> </w:t>
      </w:r>
      <w:r w:rsidR="009C477A">
        <w:t>The most recent review of AMP prediction tools available in the literature</w:t>
      </w:r>
      <w:r w:rsidR="009C477A">
        <w:fldChar w:fldCharType="begin" w:fldLock="1"/>
      </w:r>
      <w:r w:rsidR="00AE3E77">
        <w:instrText>ADDIN CSL_CITATION {"citationItems":[{"id":"ITEM-1","itemData":{"DOI":"10.1093/bib/bbab083","ISSN":"1467-5463","abstract":"&lt;p&gt;Antimicrobial peptides (AMPs) are a unique and diverse group of molecules that play a crucial role in a myriad of biological processes and cellular functions. AMP-related studies have become increasingly popular in recent years due to antimicrobial resistance, which is becoming an emerging global concern. Systematic experimental identification of AMPs faces many difficulties due to the limitations of current methods. Given its significance, more than 30 computational methods have been developed for accurate prediction of AMPs. These approaches show high diversity in their data set size, data quality, core algorithms, feature extraction, feature selection techniques and evaluation strategies. Here, we provide a comprehensive survey on a variety of current approaches for AMP identification and point at the differences between these methods. In addition, we evaluate the predictive performance of the surveyed tools based on an independent test data set containing 1536 AMPs and 1536 non-AMPs. Furthermore, we construct six validation data sets based on six different common AMP databases and compare different computational methods based on these data sets. The results indicate that amPEPpy achieves the best predictive performance and outperforms the other compared methods. As the predictive performances are affected by the different data sets used by different methods, we additionally perform the 5-fold cross-validation test to benchmark different traditional machine learning methods on the same data set. These cross-validation results indicate that random forest, support vector machine and eXtreme Gradient Boosting achieve comparatively better performances than other machine learning methods and are often the algorithms of choice of multiple AMP prediction tools.&lt;/p&gt;","author":[{"dropping-particle":"","family":"Xu","given":"Jing","non-dropping-particle":"","parse-names":false,"suffix":""},{"dropping-particle":"","family":"Li","given":"Fuyi","non-dropping-particle":"","parse-names":false,"suffix":""},{"dropping-particle":"","family":"Leier","given":"André","non-dropping-particle":"","parse-names":false,"suffix":""},{"dropping-particle":"","family":"Xiang","given":"Dongxu","non-dropping-particle":"","parse-names":false,"suffix":""},{"dropping-particle":"","family":"Shen","given":"Hsin-Hui","non-dropping-particle":"","parse-names":false,"suffix":""},{"dropping-particle":"","family":"Marquez Lago","given":"Tatiana T","non-dropping-particle":"","parse-names":false,"suffix":""},{"dropping-particle":"","family":"Li","given":"Jian","non-dropping-particle":"","parse-names":false,"suffix":""},{"dropping-particle":"","family":"Yu","given":"Dong-Jun","non-dropping-particle":"","parse-names":false,"suffix":""},{"dropping-particle":"","family":"Song","given":"Jiangning","non-dropping-particle":"","parse-names":false,"suffix":""}],"container-title":"Briefings in Bioinformatics","id":"ITEM-1","issue":"00","issued":{"date-parts":[["2021","3","27"]]},"page":"1-22","publisher":"Oxford University Press (OUP)","title":"Comprehensive assessment of machine learning-based methods for predicting antimicrobial peptides","type":"article-journal","volume":"2021"},"uris":["http://www.mendeley.com/documents/?uuid=3d48e509-72ed-3bf3-952f-b55aefc2f7cd"]}],"mendeley":{"formattedCitation":"&lt;sup&gt;115&lt;/sup&gt;","plainTextFormattedCitation":"115","previouslyFormattedCitation":"&lt;sup&gt;115&lt;/sup&gt;"},"properties":{"noteIndex":0},"schema":"https://github.com/citation-style-language/schema/raw/master/csl-citation.json"}</w:instrText>
      </w:r>
      <w:r w:rsidR="009C477A">
        <w:fldChar w:fldCharType="separate"/>
      </w:r>
      <w:r w:rsidR="00AB6F80" w:rsidRPr="00AB6F80">
        <w:rPr>
          <w:noProof/>
          <w:vertAlign w:val="superscript"/>
        </w:rPr>
        <w:t>115</w:t>
      </w:r>
      <w:r w:rsidR="009C477A">
        <w:fldChar w:fldCharType="end"/>
      </w:r>
      <w:r w:rsidR="009C477A">
        <w:t xml:space="preserve"> reaches a similar conclusion, with several tools having</w:t>
      </w:r>
      <w:r w:rsidR="007E4835">
        <w:t xml:space="preserve"> comparable accuracy; the one</w:t>
      </w:r>
      <w:r w:rsidR="009B3C49">
        <w:t>s</w:t>
      </w:r>
      <w:r w:rsidR="007E4835">
        <w:t xml:space="preserve"> that performed the best, across multiple data sets, w</w:t>
      </w:r>
      <w:r w:rsidR="009B3C49">
        <w:t>ere</w:t>
      </w:r>
      <w:r w:rsidR="007E4835">
        <w:t xml:space="preserve"> amPEPpy</w:t>
      </w:r>
      <w:r w:rsidR="007E4835">
        <w:fldChar w:fldCharType="begin" w:fldLock="1"/>
      </w:r>
      <w:r w:rsidR="0052410F">
        <w:instrText>ADDIN CSL_CITATION {"citationItems":[{"id":"ITEM-1","itemData":{"DOI":"10.1093/bioinformatics/btaa917","ISSN":"1367-4803","abstract":"MOTIVATION Antimicrobial peptides (AMPs) are promising alternative antimicrobial agents. Currently, however, portable, user-friendly, and efficient methods for predicting AMP sequences from genome-scale data are not readily available. Here we present amPEPpy, an open-source, multi-threaded command-line application for predicting AMP sequences using a random forest classifier. AVAILABILITY amPEPpy is implemented in Python 3 and is freely available through GitHub (https://github.com/tlawrence3/amPEPpy). CONTACT lawrencetj@ornl.gov or labbejj@ornl.gov. SUPPLEMENTARY INFORMATION Supplementary data are available at Bioinformatics online.","author":[{"dropping-particle":"","family":"Lawrence","given":"Travis J","non-dropping-particle":"","parse-names":false,"suffix":""},{"dropping-particle":"","family":"Carper","given":"Dana L","non-dropping-particle":"","parse-names":false,"suffix":""},{"dropping-particle":"","family":"Spangler","given":"Margaret K","non-dropping-particle":"","parse-names":false,"suffix":""},{"dropping-particle":"","family":"Carrell","given":"Alyssa A","non-dropping-particle":"","parse-names":false,"suffix":""},{"dropping-particle":"","family":"Rush","given":"Tomás A","non-dropping-particle":"","parse-names":false,"suffix":""},{"dropping-particle":"","family":"Minter","given":"Stephen J","non-dropping-particle":"","parse-names":false,"suffix":""},{"dropping-particle":"","family":"Weston","given":"David J","non-dropping-particle":"","parse-names":false,"suffix":""},{"dropping-particle":"","family":"Labbé","given":"Jessy L","non-dropping-particle":"","parse-names":false,"suffix":""}],"container-title":"Bioinformatics","editor":[{"dropping-particle":"","family":"Pier Luigi","given":"Martelli","non-dropping-particle":"","parse-names":false,"suffix":""}],"id":"ITEM-1","issued":{"date-parts":[["2020","11","2"]]},"page":"1-3","publisher":"Oxford University Press (OUP)","title":"amPEPpy 1.0: a portable and accurate antimicrobial peptide prediction tool","type":"article-journal"},"uris":["http://www.mendeley.com/documents/?uuid=3e60317f-b772-304f-888e-463144ed8e7a"]}],"mendeley":{"formattedCitation":"&lt;sup&gt;116&lt;/sup&gt;","plainTextFormattedCitation":"116","previouslyFormattedCitation":"&lt;sup&gt;116&lt;/sup&gt;"},"properties":{"noteIndex":0},"schema":"https://github.com/citation-style-language/schema/raw/master/csl-citation.json"}</w:instrText>
      </w:r>
      <w:r w:rsidR="007E4835">
        <w:fldChar w:fldCharType="separate"/>
      </w:r>
      <w:r w:rsidR="00AB6F80" w:rsidRPr="00AB6F80">
        <w:rPr>
          <w:noProof/>
          <w:vertAlign w:val="superscript"/>
        </w:rPr>
        <w:t>116</w:t>
      </w:r>
      <w:r w:rsidR="007E4835">
        <w:fldChar w:fldCharType="end"/>
      </w:r>
      <w:r w:rsidR="009B3C49">
        <w:t xml:space="preserve"> and AMPfun</w:t>
      </w:r>
      <w:r w:rsidR="009B3C49">
        <w:fldChar w:fldCharType="begin" w:fldLock="1"/>
      </w:r>
      <w:r w:rsidR="00CD66A0">
        <w:instrText>ADDIN CSL_CITATION {"citationItems":[{"id":"ITEM-1","itemData":{"DOI":"10.1093/bib/bbz043","ISSN":"1467-5463","abstract":"In recent years, antimicrobial peptides (AMPs) have become an emerging area of focus when developing therapeutics hot spot residues of proteins are dominant against infections. Importantly, AMPs are produced by virtually all known living organisms and are able to target a wide range of pathogenic microorganisms, including viruses, parasites, bacteria and fungi. Although several studies have proposed different machine learning methods to predict peptides as being AMPs, most do not consider the diversity of AMP activities. On this basis, we specifically investigated the sequence features of AMPs with a range of functional activities, including anti-parasitic, anti-viral, anti-cancer and anti-fungal activities and those that target mammals, Gram-positive and Gram-negative bacteria. A new scheme is proposed to systematically characterize and identify AMPs and their functional activities. The 1st stage of the proposed approach is to identify the AMPs, while the 2nd involves further characterization of their functional activities. Sequential forward selection was employed to extract potentially informative features that are possibly associated with the functional activities of the AMPs. These features include hydrophobicity, the normalized van der Waals volume, polarity, charge and solvent accessibility—all of which are essential attributes in classifying between AMPs and non-AMPs. The results revealed the 1st stage AMP classifier was able to achieve an area under the receiver operating characteristic curve (AUC) value of 0.9894. During the 2nd stage, we found pseudo amino acid composition to be an informative attribute when differentiating between AMPs in terms of their functional activities. The independent testing results demonstrated that the AUCs of the multi-class models were 0.7773, 0.9404, 0.8231, 0.8578, 0.8648, 0.8745 and 0.8672 for anti-parasitic, anti-viral, anti-cancer, anti-fungal AMPs and those that target mammals, Gram-positive and Gram-negative bacteria, respectively. The proposed scheme helps facilitate biological experiments related to the functional analysis of AMPs. Additionally, it was implemented as a user-friendly web server (AMPfun, http://fdblab.csie.ncu.edu.tw/AMPfun/index.html) that allows individuals to explore the antimicrobial functions of peptides of interest.","author":[{"dropping-particle":"","family":"Chung","given":"Chia Ru","non-dropping-particle":"","parse-names":false,"suffix":""},{"dropping-particle":"","family":"Kuo","given":"Ting Rung","non-dropping-particle":"","parse-names":false,"suffix":""},{"dropping-particle":"","family":"Wu","given":"Li Ching","non-dropping-particle":"","parse-names":false,"suffix":""},{"dropping-particle":"","family":"Lee","given":"Tzong Yi","non-dropping-particle":"","parse-names":false,"suffix":""},{"dropping-particle":"","family":"Horng","given":"Jorng Tzong","non-dropping-particle":"","parse-names":false,"suffix":""}],"container-title":"Briefings in Bioinformatics","id":"ITEM-1","issue":"3","issued":{"date-parts":[["2020","5","21"]]},"page":"1098-1114","publisher":"Oxford University Press","title":"Characterization and identification of antimicrobial peptides with different functional activities","type":"article-journal","volume":"21"},"uris":["http://www.mendeley.com/documents/?uuid=f1dc885c-ae61-3ea8-9b6e-8409cc397d3d"]}],"mendeley":{"formattedCitation":"&lt;sup&gt;117&lt;/sup&gt;","plainTextFormattedCitation":"117","previouslyFormattedCitation":"&lt;sup&gt;117&lt;/sup&gt;"},"properties":{"noteIndex":0},"schema":"https://github.com/citation-style-language/schema/raw/master/csl-citation.json"}</w:instrText>
      </w:r>
      <w:r w:rsidR="009B3C49">
        <w:fldChar w:fldCharType="separate"/>
      </w:r>
      <w:r w:rsidR="00AB6F80" w:rsidRPr="00AB6F80">
        <w:rPr>
          <w:noProof/>
          <w:vertAlign w:val="superscript"/>
        </w:rPr>
        <w:t>117</w:t>
      </w:r>
      <w:r w:rsidR="009B3C49">
        <w:fldChar w:fldCharType="end"/>
      </w:r>
      <w:r w:rsidR="007E4835">
        <w:t>, although on a set of ten more recent AMPs, IAMPE</w:t>
      </w:r>
      <w:r w:rsidR="000D5091">
        <w:fldChar w:fldCharType="begin" w:fldLock="1"/>
      </w:r>
      <w:r w:rsidR="00AE3E77">
        <w:instrText>ADDIN CSL_CITATION {"citationItems":[{"id":"ITEM-1","itemData":{"DOI":"10.1021/acs.jcim.0c00841","ISSN":"15205142","PMID":"32946226","abstract":"Antimicrobial peptides (AMPs) are at the focus of attention due to their therapeutic importance and developing computational tools for the identification of efficient antibiotics from the primary structure. Here, we utilized the 13CNMR spectral of amino acids and clustered them into various groups. These clusters were used to build feature vectors for the AMP sequences based on the composition, transition, and distribution of cluster members. These features, along with the physicochemical properties of AMPs were exploited to learn computational models to predict active AMPs solely from their sequences. Naive Bayes (NB), k-nearest neighbors (KNN), support-vector machine (SVM), random forest (RF), and eXtreme Gradient Boosting (XGBoost) were employed to build the classification system using the collected AMP datasets from the CAMP, LAMP, ADAM, and AntiBP databases. Our results were validated and compared with the CAMP and ADAM prediction systems and indicated that the synergistic combination of the 13CNMR features with the physicochemical descriptors enables the proposed ensemble mechanism to improve the prediction performance of active AMP sequences. Our web-based AMP prediction platform, IAMPE, is available at http://cbb1.ut.ac.ir/.","author":[{"dropping-particle":"","family":"Kavousi","given":"Kaveh","non-dropping-particle":"","parse-names":false,"suffix":""},{"dropping-particle":"","family":"Bagheri","given":"Mojtaba","non-dropping-particle":"","parse-names":false,"suffix":""},{"dropping-particle":"","family":"Behrouzi","given":"Saman","non-dropping-particle":"","parse-names":false,"suffix":""},{"dropping-particle":"","family":"Vafadar","given":"Safar","non-dropping-particle":"","parse-names":false,"suffix":""},{"dropping-particle":"","family":"Atanaki","given":"Fereshteh Fallah","non-dropping-particle":"","parse-names":false,"suffix":""},{"dropping-particle":"","family":"Lotfabadi","given":"Bahareh Teimouri","non-dropping-particle":"","parse-names":false,"suffix":""},{"dropping-particle":"","family":"Ariaeenejad","given":"Shohreh","non-dropping-particle":"","parse-names":false,"suffix":""},{"dropping-particle":"","family":"Shockravi","given":"Abbas","non-dropping-particle":"","parse-names":false,"suffix":""},{"dropping-particle":"","family":"Moosavi-Movahedi","given":"Ali Akbar","non-dropping-particle":"","parse-names":false,"suffix":""}],"container-title":"Journal of Chemical Information and Modeling","id":"ITEM-1","issue":"10","issued":{"date-parts":[["2020","10","26"]]},"page":"4691-4701","publisher":"American Chemical Society","title":"IAMPE: NMR-assisted computational prediction of antimicrobial peptides","type":"article-journal","volume":"60"},"uris":["http://www.mendeley.com/documents/?uuid=fb9e26bf-e5db-3bcc-94a9-9d3d24ff78a7"]}],"mendeley":{"formattedCitation":"&lt;sup&gt;118&lt;/sup&gt;","plainTextFormattedCitation":"118","previouslyFormattedCitation":"&lt;sup&gt;118&lt;/sup&gt;"},"properties":{"noteIndex":0},"schema":"https://github.com/citation-style-language/schema/raw/master/csl-citation.json"}</w:instrText>
      </w:r>
      <w:r w:rsidR="000D5091">
        <w:fldChar w:fldCharType="separate"/>
      </w:r>
      <w:r w:rsidR="00AB6F80" w:rsidRPr="00AB6F80">
        <w:rPr>
          <w:noProof/>
          <w:vertAlign w:val="superscript"/>
        </w:rPr>
        <w:t>118</w:t>
      </w:r>
      <w:r w:rsidR="000D5091">
        <w:fldChar w:fldCharType="end"/>
      </w:r>
      <w:r w:rsidR="007E4835">
        <w:t xml:space="preserve"> had the highest </w:t>
      </w:r>
      <w:r w:rsidR="000D5091">
        <w:t>correct prediction rate.</w:t>
      </w:r>
    </w:p>
    <w:p w14:paraId="369E32AA" w14:textId="77777777" w:rsidR="00D6767C" w:rsidRDefault="00D6767C" w:rsidP="00D6767C">
      <w:pPr>
        <w:pStyle w:val="LO-normal"/>
        <w:jc w:val="both"/>
      </w:pPr>
    </w:p>
    <w:p w14:paraId="4A4DD490" w14:textId="74D1F8A1" w:rsidR="00B67720" w:rsidRDefault="00D6767C" w:rsidP="00B67720">
      <w:pPr>
        <w:pStyle w:val="LO-normal"/>
        <w:jc w:val="both"/>
      </w:pPr>
      <w:r>
        <w:t xml:space="preserve">Table </w:t>
      </w:r>
      <w:r w:rsidR="00686AFA">
        <w:t>3</w:t>
      </w:r>
      <w:r>
        <w:t>: Publicly available AMP activity prediction tools.</w:t>
      </w:r>
    </w:p>
    <w:tbl>
      <w:tblPr>
        <w:tblW w:w="9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40" w:type="dxa"/>
          <w:left w:w="23" w:type="dxa"/>
          <w:bottom w:w="40" w:type="dxa"/>
          <w:right w:w="40" w:type="dxa"/>
        </w:tblCellMar>
        <w:tblLook w:val="04A0" w:firstRow="1" w:lastRow="0" w:firstColumn="1" w:lastColumn="0" w:noHBand="0" w:noVBand="1"/>
      </w:tblPr>
      <w:tblGrid>
        <w:gridCol w:w="2969"/>
        <w:gridCol w:w="5528"/>
        <w:gridCol w:w="567"/>
      </w:tblGrid>
      <w:tr w:rsidR="00B67720" w14:paraId="5A0246A3" w14:textId="77777777" w:rsidTr="00B67720">
        <w:tc>
          <w:tcPr>
            <w:tcW w:w="29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E06963" w14:textId="77777777" w:rsidR="00B67720" w:rsidRPr="00153861" w:rsidRDefault="00B67720" w:rsidP="00B67720">
            <w:pPr>
              <w:pStyle w:val="LO-normal"/>
              <w:widowControl w:val="0"/>
              <w:rPr>
                <w:b/>
                <w:sz w:val="20"/>
                <w:szCs w:val="20"/>
              </w:rPr>
            </w:pPr>
            <w:r w:rsidRPr="00153861">
              <w:rPr>
                <w:b/>
                <w:sz w:val="20"/>
                <w:szCs w:val="20"/>
              </w:rPr>
              <w:t>Name</w:t>
            </w:r>
          </w:p>
        </w:tc>
        <w:tc>
          <w:tcPr>
            <w:tcW w:w="552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37C2F9" w14:textId="77777777" w:rsidR="00B67720" w:rsidRPr="00153861" w:rsidRDefault="00B67720" w:rsidP="00B67720">
            <w:pPr>
              <w:pStyle w:val="LO-normal"/>
              <w:widowControl w:val="0"/>
              <w:rPr>
                <w:rStyle w:val="ListLabel120"/>
                <w:b/>
              </w:rPr>
            </w:pPr>
            <w:r w:rsidRPr="00153861">
              <w:rPr>
                <w:rStyle w:val="ListLabel120"/>
                <w:b/>
              </w:rPr>
              <w:t>Website</w:t>
            </w: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3F934A" w14:textId="77777777" w:rsidR="00B67720" w:rsidRPr="00153861" w:rsidRDefault="00B67720" w:rsidP="00B67720">
            <w:pPr>
              <w:pStyle w:val="LO-normal"/>
              <w:widowControl w:val="0"/>
              <w:rPr>
                <w:rStyle w:val="ListLabel121"/>
                <w:b/>
                <w:vertAlign w:val="baseline"/>
              </w:rPr>
            </w:pPr>
            <w:r w:rsidRPr="00153861">
              <w:rPr>
                <w:rStyle w:val="ListLabel121"/>
                <w:b/>
                <w:vertAlign w:val="baseline"/>
              </w:rPr>
              <w:t>Ref.</w:t>
            </w:r>
          </w:p>
        </w:tc>
      </w:tr>
      <w:tr w:rsidR="00A74090" w14:paraId="3FAFF8A5" w14:textId="77777777" w:rsidTr="00B67720">
        <w:tc>
          <w:tcPr>
            <w:tcW w:w="29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43EF03" w14:textId="3AC4E560" w:rsidR="00A74090" w:rsidRDefault="00A74090" w:rsidP="00A74090">
            <w:pPr>
              <w:pStyle w:val="LO-normal"/>
              <w:widowControl w:val="0"/>
              <w:rPr>
                <w:sz w:val="20"/>
                <w:szCs w:val="20"/>
              </w:rPr>
            </w:pPr>
            <w:r>
              <w:rPr>
                <w:sz w:val="20"/>
                <w:szCs w:val="20"/>
              </w:rPr>
              <w:t>AmpGram</w:t>
            </w:r>
          </w:p>
        </w:tc>
        <w:tc>
          <w:tcPr>
            <w:tcW w:w="552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34FFCA" w14:textId="2EA05C7B" w:rsidR="00A74090" w:rsidRDefault="00A74090" w:rsidP="00A74090">
            <w:pPr>
              <w:pStyle w:val="LO-normal"/>
              <w:widowControl w:val="0"/>
              <w:rPr>
                <w:rStyle w:val="ListLabel120"/>
              </w:rPr>
            </w:pPr>
            <w:r w:rsidRPr="006D4147">
              <w:rPr>
                <w:rStyle w:val="ListLabel120"/>
              </w:rPr>
              <w:t>http://biongram.biotech.uni.wroc.pl/AmpGram/</w:t>
            </w: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45969E" w14:textId="2DEB9F50" w:rsidR="00A74090" w:rsidRDefault="00A74090" w:rsidP="00AB6F80">
            <w:pPr>
              <w:pStyle w:val="LO-normal"/>
              <w:widowControl w:val="0"/>
              <w:rPr>
                <w:rStyle w:val="ListLabel121"/>
              </w:rPr>
            </w:pPr>
            <w:r>
              <w:rPr>
                <w:rStyle w:val="ListLabel121"/>
              </w:rPr>
              <w:fldChar w:fldCharType="begin" w:fldLock="1"/>
            </w:r>
            <w:r w:rsidR="00AE3E77">
              <w:rPr>
                <w:rStyle w:val="ListLabel121"/>
              </w:rPr>
              <w:instrText>ADDIN CSL_CITATION {"citationItems":[{"id":"ITEM-1","itemData":{"DOI":"10.3390/ijms21124310","ISSN":"14220067","PMID":"32560350","abstract":"Antimicrobial peptides (AMPs) are molecules widespread in all branches of the tree of life that participate in host defense and/or microbial competition. Due to their positive charge, hydrophobicity and amphipathicity, they preferentially disrupt negatively charged bacterial membranes. AMPs are considered an important alternative to traditional antibiotics, especially at the time when multidrug-resistant bacteria being on the rise. Therefore, to reduce the costs of experimental research, robust computational tools for AMP prediction and identification of the best AMP candidates are essential. AmpGram is our novel tool for AMP prediction; it outperforms top-ranking AMP classifiers, including AMPScanner, CAMPR3R and iAMPpred. It is the first AMP prediction tool created for longer AMPs and for high-throughput proteomic screening. AmpGram prediction reliability was confirmed on the example of lactoferrin and thrombin. The former is a well known antimicrobial protein and the latter a cryptic one. Both proteins produce (after protease treatment) functional AMPs that have been experimentally validated at molecular level. The lactoferrin and thrombin AMPs were located in the antimicrobial regions clearly detected by AmpGram. Moreover, AmpGram also provides a list of shot 10 amino acid fragments in the antimicrobial regions, along with their probability predictions; these can be used for further studies and the rational design of new AMPs. AmpGram is available as a web-server, and an easy-to-use R package for proteomic analysis at CRAN repository.","author":[{"dropping-particle":"","family":"Burdukiewicz","given":"Michał","non-dropping-particle":"","parse-names":false,"suffix":""},{"dropping-particle":"","family":"Sidorczuk","given":"Katarzyna","non-dropping-particle":"","parse-names":false,"suffix":""},{"dropping-particle":"","family":"Rafacz","given":"Dominik","non-dropping-particle":"","parse-names":false,"suffix":""},{"dropping-particle":"","family":"Pietluch","given":"Filip","non-dropping-particle":"","parse-names":false,"suffix":""},{"dropping-particle":"","family":"Chilimoniuk","given":"Jarosław","non-dropping-particle":"","parse-names":false,"suffix":""},{"dropping-particle":"","family":"Rödiger","given":"Stefan","non-dropping-particle":"","parse-names":false,"suffix":""},{"dropping-particle":"","family":"Gagat","given":"Przemysław","non-dropping-particle":"","parse-names":false,"suffix":""}],"container-title":"International Journal of Molecular Sciences","id":"ITEM-1","issue":"12","issued":{"date-parts":[["2020","6","2"]]},"page":"1-13","publisher":"MDPI AG","title":"Proteomic screening for prediction and design of antimicrobial peptides with ampgram","type":"article-journal","volume":"21"},"uris":["http://www.mendeley.com/documents/?uuid=c32cdf69-51f3-3dbb-92f7-d1ae3ad165c8"]}],"mendeley":{"formattedCitation":"&lt;sup&gt;114&lt;/sup&gt;","plainTextFormattedCitation":"114","previouslyFormattedCitation":"&lt;sup&gt;114&lt;/sup&gt;"},"properties":{"noteIndex":0},"schema":"https://github.com/citation-style-language/schema/raw/master/csl-citation.json"}</w:instrText>
            </w:r>
            <w:r>
              <w:rPr>
                <w:rStyle w:val="ListLabel121"/>
              </w:rPr>
              <w:fldChar w:fldCharType="separate"/>
            </w:r>
            <w:r w:rsidR="00AB6F80" w:rsidRPr="00AB6F80">
              <w:rPr>
                <w:rStyle w:val="ListLabel121"/>
                <w:noProof/>
              </w:rPr>
              <w:t>114</w:t>
            </w:r>
            <w:r>
              <w:rPr>
                <w:rStyle w:val="ListLabel121"/>
              </w:rPr>
              <w:fldChar w:fldCharType="end"/>
            </w:r>
          </w:p>
        </w:tc>
      </w:tr>
      <w:tr w:rsidR="00B67720" w14:paraId="51E98B9A" w14:textId="77777777" w:rsidTr="00B67720">
        <w:tc>
          <w:tcPr>
            <w:tcW w:w="29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5CC35E" w14:textId="77777777" w:rsidR="00B67720" w:rsidRDefault="00B67720" w:rsidP="00B67720">
            <w:pPr>
              <w:pStyle w:val="LO-normal"/>
              <w:widowControl w:val="0"/>
              <w:rPr>
                <w:sz w:val="20"/>
                <w:szCs w:val="20"/>
              </w:rPr>
            </w:pPr>
            <w:r>
              <w:rPr>
                <w:sz w:val="20"/>
                <w:szCs w:val="20"/>
              </w:rPr>
              <w:t>AntiBP Server</w:t>
            </w:r>
          </w:p>
        </w:tc>
        <w:tc>
          <w:tcPr>
            <w:tcW w:w="552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BFB30F" w14:textId="77777777" w:rsidR="00B67720" w:rsidRDefault="00640BFA" w:rsidP="00B67720">
            <w:pPr>
              <w:pStyle w:val="LO-normal"/>
              <w:widowControl w:val="0"/>
            </w:pPr>
            <w:hyperlink r:id="rId26">
              <w:r w:rsidR="00B67720">
                <w:rPr>
                  <w:rStyle w:val="ListLabel120"/>
                </w:rPr>
                <w:t>webs.iiitd.edu.in/raghava/antibp2/help.html</w:t>
              </w:r>
            </w:hyperlink>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450BFB" w14:textId="168ECAAE" w:rsidR="00B67720" w:rsidRDefault="00B67720" w:rsidP="00AB6F80">
            <w:pPr>
              <w:pStyle w:val="LO-normal"/>
              <w:widowControl w:val="0"/>
              <w:rPr>
                <w:rStyle w:val="ListLabel121"/>
              </w:rPr>
            </w:pPr>
            <w:r>
              <w:rPr>
                <w:rStyle w:val="ListLabel121"/>
              </w:rPr>
              <w:fldChar w:fldCharType="begin" w:fldLock="1"/>
            </w:r>
            <w:r w:rsidR="00AE3E77">
              <w:rPr>
                <w:rStyle w:val="ListLabel121"/>
              </w:rPr>
              <w:instrText>ADDIN CSL_CITATION {"citationItems":[{"id":"ITEM-1","itemData":{"DOI":"10.1186/1471-2105-8-263","ISSN":"14712105","PMID":"17645800","abstract":"Background: Antibacterial peptides are important components of the innate immune system, used by the host to protect itself from different types of pathogenic bacteria. Over the last few decades, the search for new drugs and drug targets has prompted an interest in these antibacterial peptides. We analyzed 486 antibacterial peptides, obtained from antimicrobial peptide database APD, in order to understand the preference of amino acid residues at specific positions in these peptides. Results: It was observed that certain types of residues are preferred over others in antibacterial peptides, particularly at the N and C terminus. These observations encouraged us to develop a method for predicting antibacterial peptides in proteins from their amino acid sequence. First, the N-terminal residues were used for predicting antibacterial peptides using Artificial Neural Network (ANN), Quantitative Matrices (QM) and Support Vector Machine (SVM), which resulted in an accuracy of 83.63%, 84.78% and 87.85%, respectively. Then, the C-terminal residues were used for developing prediction methods, which resulted in an accuracy of 77.34%, 82.03% and 85.16% using ANN, QM and SVM, respectively. Finally, ANN, QM and SVM models were developed using N and C terminal residues, which achieved an accuracy of 88.17%, 90.37% and 92.11%, respectively. All the models developed in this study were evaluated using five-fold cross validation technique. These models were also tested on an independent or blind dataset. Conclusion: Among antibacterial peptides, there is preference for certain residues at N and C termini, which helps to demarcate them from non-antibacterial peptides. Both the termini play a crucial role in imparting the antibacterial property to these peptides. Among the methods developed, SVM shows the best performance in predicting antibacterial peptides followed by QM and ANN, in that order. AntiBP (Antibacterial peptides) will help in discovering efficacious antibacterial peptides, which we hope will prove to be a boon to combat the dreadful antibiotic resistant bacteria. A user friendly web server has also been developed to help the biological community, which is accessible at http://www.imtech.res.in/raghava/antibp/. © 2007 Lata et al; licensee BioMed Central Ltd.","author":[{"dropping-particle":"","family":"Lata","given":"Sneh","non-dropping-particle":"","parse-names":false,"suffix":""},{"dropping-particle":"","family":"Sharma","given":"B. K.","non-dropping-particle":"","parse-names":false,"suffix":""},{"dropping-particle":"","family":"Raghava","given":"G. P.S.","non-dropping-particle":"","parse-names":false,"suffix":""}],"container-title":"BMC Bioinformatics","id":"ITEM-1","issue":"1","issued":{"date-parts":[["2007","7","23"]]},"page":"263","publisher":"BioMed Central","title":"Analysis and prediction of antibacterial peptides","type":"article-journal","volume":"8"},"uris":["http://www.mendeley.com/documents/?uuid=43c25f3a-3cf0-317b-ae46-9a8bda643460"]}],"mendeley":{"formattedCitation":"&lt;sup&gt;119&lt;/sup&gt;","plainTextFormattedCitation":"119","previouslyFormattedCitation":"&lt;sup&gt;119&lt;/sup&gt;"},"properties":{"noteIndex":0},"schema":"https://github.com/citation-style-language/schema/raw/master/csl-citation.json"}</w:instrText>
            </w:r>
            <w:r>
              <w:rPr>
                <w:rStyle w:val="ListLabel121"/>
              </w:rPr>
              <w:fldChar w:fldCharType="separate"/>
            </w:r>
            <w:r w:rsidR="00AB6F80" w:rsidRPr="00AB6F80">
              <w:rPr>
                <w:rStyle w:val="ListLabel121"/>
                <w:noProof/>
              </w:rPr>
              <w:t>119</w:t>
            </w:r>
            <w:r>
              <w:rPr>
                <w:rStyle w:val="ListLabel121"/>
              </w:rPr>
              <w:fldChar w:fldCharType="end"/>
            </w:r>
          </w:p>
        </w:tc>
      </w:tr>
      <w:tr w:rsidR="00B67720" w14:paraId="3A68AE12" w14:textId="77777777" w:rsidTr="00B67720">
        <w:tc>
          <w:tcPr>
            <w:tcW w:w="29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9D70AF" w14:textId="77777777" w:rsidR="00B67720" w:rsidRDefault="00B67720" w:rsidP="00B67720">
            <w:pPr>
              <w:pStyle w:val="LO-normal"/>
              <w:widowControl w:val="0"/>
              <w:rPr>
                <w:sz w:val="20"/>
                <w:szCs w:val="20"/>
              </w:rPr>
            </w:pPr>
            <w:r>
              <w:rPr>
                <w:sz w:val="20"/>
                <w:szCs w:val="20"/>
              </w:rPr>
              <w:t>AntiBP2 Server</w:t>
            </w:r>
          </w:p>
        </w:tc>
        <w:tc>
          <w:tcPr>
            <w:tcW w:w="552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F8A5F8" w14:textId="77777777" w:rsidR="00B67720" w:rsidRDefault="00640BFA" w:rsidP="00B67720">
            <w:pPr>
              <w:pStyle w:val="LO-normal"/>
              <w:widowControl w:val="0"/>
            </w:pPr>
            <w:hyperlink r:id="rId27">
              <w:r w:rsidR="00B67720">
                <w:rPr>
                  <w:rStyle w:val="ListLabel120"/>
                </w:rPr>
                <w:t>crdd.osdd.net/raghava/antibp/</w:t>
              </w:r>
            </w:hyperlink>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03DE02" w14:textId="66DCF8EB" w:rsidR="00B67720" w:rsidRDefault="00B67720" w:rsidP="00AB6F80">
            <w:pPr>
              <w:pStyle w:val="LO-normal"/>
              <w:widowControl w:val="0"/>
              <w:rPr>
                <w:rStyle w:val="ListLabel121"/>
              </w:rPr>
            </w:pPr>
            <w:r>
              <w:rPr>
                <w:rStyle w:val="ListLabel121"/>
              </w:rPr>
              <w:fldChar w:fldCharType="begin" w:fldLock="1"/>
            </w:r>
            <w:r w:rsidR="00CD66A0">
              <w:rPr>
                <w:rStyle w:val="ListLabel121"/>
              </w:rPr>
              <w:instrText>ADDIN CSL_CITATION {"citationItems":[{"id":"ITEM-1","itemData":{"DOI":"10.1186/1471-2105-11-S1-S19","ISSN":"14712105","PMID":"20122190","abstract":"Background: Antibacterial peptides are one of the effecter molecules of innate immune system. Over the last few decades several antibacterial peptides have successfully approved as drug by FDA, which has prompted an interest in these antibacterial peptides. In our recent study we analyzed 999 antibacterial peptides, which were collected from Antibacterial Peptide Database (APD). We have also developed methods to predict and classify these antibacterial peptides using Support Vector Machine (SVM).Results: During analysis we observed that certain residues are preferred over other in antibacterial peptide, particularly at the N and C terminus. These observation and increased data of antibacterial peptide in APD encouraged us to again develop a new and more robust method for predicting antibacterial peptides in protein from their amino acid sequence or given peptide have antibacterial properties or not. First, the binary patterns of the 15 N terminus residues were used for predicting antibacterial peptide using SVM and achieved accuracy of 85.46% with 0.705 Mathew's Correlation Coefficient (MCC). Then we used the binary pattern of 15 C terminus residues and achieved accuracy of 85.05% with 0.701 MCC, latter on we developed prediction method by combining N &amp; C terminus and achieved an accuracy of 91.64% with 0.831 MCC. Finally we developed SVM based model using amino acid composition of whole peptide and achieved 92.14% accuracy with MCC 0.843. In this study we used five-fold cross validation technique to develop all these models and tested the performance of these models on an independent dataset. We further classify antibacterial peptides according to their sources and achieved an overall accuracy of 98.95%. We further classify antibacterial peptides in their respective family and got a satisfactory result.Conclusion: Among antibacterial peptides, there is preference for certain residues at N and C terminus, which helps to discriminate them from non-antibacterial peptides. Amino acid composition of antibacterial peptides helps to demarcate them from non-antibacterial peptide and their further classification in source and family. Antibp2 will be helpful in discovering efficacious antibacterial peptide, which we hope will be helpful against antibiotics resistant bacteria. We also developed user friendly web server for the biological community. © 2010 Lata et al; licensee BioMed Central Ltd.","author":[{"dropping-particle":"","family":"Lata","given":"Sneh","non-dropping-particle":"","parse-names":false,"suffix":""},{"dropping-particle":"","family":"Mishra","given":"Nitish K.","non-dropping-particle":"","parse-names":false,"suffix":""},{"dropping-particle":"","family":"Raghava","given":"Gajendra P.S.","non-dropping-particle":"","parse-names":false,"suffix":""}],"container-title":"BMC Bioinformatics","id":"ITEM-1","issued":{"date-parts":[["2010","1","18"]]},"page":"S19","publisher":"BioMed Central","title":"AntiBP2: Improved version of antibacterial peptide prediction","type":"article-journal","volume":"11"},"uris":["http://www.mendeley.com/documents/?uuid=051cb87e-7e5e-3132-b2c7-44f48e2926ae"]}],"mendeley":{"formattedCitation":"&lt;sup&gt;120&lt;/sup&gt;","plainTextFormattedCitation":"120","previouslyFormattedCitation":"&lt;sup&gt;120&lt;/sup&gt;"},"properties":{"noteIndex":0},"schema":"https://github.com/citation-style-language/schema/raw/master/csl-citation.json"}</w:instrText>
            </w:r>
            <w:r>
              <w:rPr>
                <w:rStyle w:val="ListLabel121"/>
              </w:rPr>
              <w:fldChar w:fldCharType="separate"/>
            </w:r>
            <w:r w:rsidR="00AB6F80" w:rsidRPr="00AB6F80">
              <w:rPr>
                <w:rStyle w:val="ListLabel121"/>
                <w:noProof/>
              </w:rPr>
              <w:t>120</w:t>
            </w:r>
            <w:r>
              <w:rPr>
                <w:rStyle w:val="ListLabel121"/>
              </w:rPr>
              <w:fldChar w:fldCharType="end"/>
            </w:r>
          </w:p>
        </w:tc>
      </w:tr>
      <w:tr w:rsidR="00B67720" w14:paraId="631B40E5" w14:textId="77777777" w:rsidTr="00B67720">
        <w:tc>
          <w:tcPr>
            <w:tcW w:w="29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EABCFB" w14:textId="77777777" w:rsidR="00B67720" w:rsidRDefault="00B67720" w:rsidP="00B67720">
            <w:pPr>
              <w:pStyle w:val="LO-normal"/>
              <w:widowControl w:val="0"/>
              <w:rPr>
                <w:sz w:val="20"/>
                <w:szCs w:val="20"/>
              </w:rPr>
            </w:pPr>
            <w:r>
              <w:rPr>
                <w:sz w:val="20"/>
                <w:szCs w:val="20"/>
              </w:rPr>
              <w:t>Antimicrobial Peptide Scanner</w:t>
            </w:r>
          </w:p>
        </w:tc>
        <w:tc>
          <w:tcPr>
            <w:tcW w:w="552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60DE39" w14:textId="77777777" w:rsidR="00B67720" w:rsidRDefault="00B67720" w:rsidP="00B67720">
            <w:pPr>
              <w:pStyle w:val="LO-normal"/>
              <w:widowControl w:val="0"/>
              <w:rPr>
                <w:rStyle w:val="ListLabel120"/>
              </w:rPr>
            </w:pPr>
            <w:r w:rsidRPr="006D4147">
              <w:rPr>
                <w:rStyle w:val="ListLabel120"/>
              </w:rPr>
              <w:t>https://www.dveltri.com/ascan/</w:t>
            </w: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39FFE9" w14:textId="2EB86AA2" w:rsidR="00B67720" w:rsidRDefault="00B67720" w:rsidP="00AB6F80">
            <w:pPr>
              <w:pStyle w:val="LO-normal"/>
              <w:widowControl w:val="0"/>
              <w:rPr>
                <w:rStyle w:val="ListLabel121"/>
              </w:rPr>
            </w:pPr>
            <w:r>
              <w:rPr>
                <w:rStyle w:val="ListLabel121"/>
              </w:rPr>
              <w:fldChar w:fldCharType="begin" w:fldLock="1"/>
            </w:r>
            <w:r w:rsidR="00AE3E77">
              <w:rPr>
                <w:rStyle w:val="ListLabel121"/>
              </w:rPr>
              <w:instrText>ADDIN CSL_CITATION {"citationItems":[{"id":"ITEM-1","itemData":{"DOI":"10.1093/bioinformatics/bty179","ISSN":"14602059","PMID":"29590297","abstract":"Motivation: Bacterial resistance to antibiotics is a growing concern. Antimicrobial peptides (AMPs), natural components of innate immunity, are popular targets for developing new drugs. Machine learning methods are now commonly adopted by wet-laboratory researchers to screen for promising candidates. Results: In this work, we utilize deep learning to recognize antimicrobial activity. We propose a neural network model with convolutional and recurrent layers that leverage primary sequence composition. Results show that the proposed model outperforms state-of-the-art classification models on a comprehensive dataset. By utilizing the embedding weights, we also present a reduced-alphabet representation and show that reasonable AMP recognition can be maintained using nine amino acid types.","author":[{"dropping-particle":"","family":"Veltri","given":"Daniel","non-dropping-particle":"","parse-names":false,"suffix":""},{"dropping-particle":"","family":"Kamath","given":"Uday","non-dropping-particle":"","parse-names":false,"suffix":""},{"dropping-particle":"","family":"Shehu","given":"Amarda","non-dropping-particle":"","parse-names":false,"suffix":""}],"container-title":"Bioinformatics","id":"ITEM-1","issue":"16","issued":{"date-parts":[["2018","8","15"]]},"page":"2740-2747","publisher":"Oxford University Press","title":"Deep learning improves antimicrobial peptide recognition","type":"article-journal","volume":"34"},"uris":["http://www.mendeley.com/documents/?uuid=3a93afc5-9597-3a08-ab69-0dd994027eb3"]}],"mendeley":{"formattedCitation":"&lt;sup&gt;121&lt;/sup&gt;","plainTextFormattedCitation":"121","previouslyFormattedCitation":"&lt;sup&gt;121&lt;/sup&gt;"},"properties":{"noteIndex":0},"schema":"https://github.com/citation-style-language/schema/raw/master/csl-citation.json"}</w:instrText>
            </w:r>
            <w:r>
              <w:rPr>
                <w:rStyle w:val="ListLabel121"/>
              </w:rPr>
              <w:fldChar w:fldCharType="separate"/>
            </w:r>
            <w:r w:rsidR="00AB6F80" w:rsidRPr="00AB6F80">
              <w:rPr>
                <w:rStyle w:val="ListLabel121"/>
                <w:noProof/>
              </w:rPr>
              <w:t>121</w:t>
            </w:r>
            <w:r>
              <w:rPr>
                <w:rStyle w:val="ListLabel121"/>
              </w:rPr>
              <w:fldChar w:fldCharType="end"/>
            </w:r>
          </w:p>
        </w:tc>
      </w:tr>
      <w:tr w:rsidR="00B67720" w14:paraId="76B39EF1" w14:textId="77777777" w:rsidTr="00B67720">
        <w:tc>
          <w:tcPr>
            <w:tcW w:w="29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CD683B" w14:textId="77777777" w:rsidR="00B67720" w:rsidRPr="008D2D74" w:rsidRDefault="00B67720" w:rsidP="00B67720">
            <w:pPr>
              <w:pStyle w:val="LO-normal"/>
              <w:widowControl w:val="0"/>
              <w:rPr>
                <w:sz w:val="20"/>
                <w:szCs w:val="20"/>
              </w:rPr>
            </w:pPr>
            <w:r w:rsidRPr="008D2D74">
              <w:rPr>
                <w:sz w:val="20"/>
                <w:szCs w:val="20"/>
              </w:rPr>
              <w:t>AMPA</w:t>
            </w:r>
          </w:p>
        </w:tc>
        <w:tc>
          <w:tcPr>
            <w:tcW w:w="552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249A18" w14:textId="77777777" w:rsidR="00B67720" w:rsidRPr="008D2D74" w:rsidRDefault="00B67720" w:rsidP="00B67720">
            <w:pPr>
              <w:pStyle w:val="LO-normal"/>
              <w:widowControl w:val="0"/>
              <w:rPr>
                <w:rStyle w:val="ListLabel120"/>
              </w:rPr>
            </w:pPr>
            <w:r w:rsidRPr="008D2D74">
              <w:rPr>
                <w:rStyle w:val="ListLabel120"/>
              </w:rPr>
              <w:t>http://tcoffee.crg.cat/apps/ampa/do</w:t>
            </w: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384B75" w14:textId="65B9C16B" w:rsidR="00B67720" w:rsidRDefault="00B67720" w:rsidP="00AB6F80">
            <w:pPr>
              <w:pStyle w:val="LO-normal"/>
              <w:widowControl w:val="0"/>
              <w:rPr>
                <w:rStyle w:val="ListLabel121"/>
              </w:rPr>
            </w:pPr>
            <w:r>
              <w:rPr>
                <w:rStyle w:val="ListLabel121"/>
              </w:rPr>
              <w:fldChar w:fldCharType="begin" w:fldLock="1"/>
            </w:r>
            <w:r w:rsidR="00AE3E77">
              <w:rPr>
                <w:rStyle w:val="ListLabel121"/>
              </w:rPr>
              <w:instrText>ADDIN CSL_CITATION {"citationItems":[{"id":"ITEM-1","itemData":{"DOI":"10.1093/bioinformatics/btr604","ISSN":"1460-2059","abstract":"AMPA is a web application for assessing the antimicrobial domains of proteins, with a focus on the design on new antimicrobial drugs. The application provides fast discovery of antimicrobial patterns in proteins that can be used to develop new peptidebased drugs against pathogens. Results are shown in a user-friendly graphical interface and can be downloaded as raw data for later examination. © The Author 2011. Published by Oxford University Press. All rights reserved.","author":[{"dropping-particle":"","family":"Torrent","given":"Marc","non-dropping-particle":"","parse-names":false,"suffix":""},{"dropping-particle":"","family":"Tommaso","given":"Paolo","non-dropping-particle":"Di","parse-names":false,"suffix":""},{"dropping-particle":"","family":"Pulido","given":"David","non-dropping-particle":"","parse-names":false,"suffix":""},{"dropping-particle":"","family":"Nogués","given":"M. Victòria","non-dropping-particle":"","parse-names":false,"suffix":""},{"dropping-particle":"","family":"Notredame","given":"Cedric","non-dropping-particle":"","parse-names":false,"suffix":""},{"dropping-particle":"","family":"Boix","given":"Ester","non-dropping-particle":"","parse-names":false,"suffix":""},{"dropping-particle":"","family":"Andreu","given":"David","non-dropping-particle":"","parse-names":false,"suffix":""}],"container-title":"Bioinformatics","id":"ITEM-1","issue":"1","issued":{"date-parts":[["2012","1","1"]]},"page":"130-131","publisher":"Oxford Academic","title":"AMPA: an automated web server for prediction of protein antimicrobial regions","type":"article-journal","volume":"28"},"uris":["http://www.mendeley.com/documents/?uuid=b3c01020-4a86-3929-be18-7deb05bded8d"]}],"mendeley":{"formattedCitation":"&lt;sup&gt;122&lt;/sup&gt;","plainTextFormattedCitation":"122","previouslyFormattedCitation":"&lt;sup&gt;122&lt;/sup&gt;"},"properties":{"noteIndex":0},"schema":"https://github.com/citation-style-language/schema/raw/master/csl-citation.json"}</w:instrText>
            </w:r>
            <w:r>
              <w:rPr>
                <w:rStyle w:val="ListLabel121"/>
              </w:rPr>
              <w:fldChar w:fldCharType="separate"/>
            </w:r>
            <w:r w:rsidR="00AB6F80" w:rsidRPr="00AB6F80">
              <w:rPr>
                <w:rStyle w:val="ListLabel121"/>
                <w:noProof/>
              </w:rPr>
              <w:t>122</w:t>
            </w:r>
            <w:r>
              <w:rPr>
                <w:rStyle w:val="ListLabel121"/>
              </w:rPr>
              <w:fldChar w:fldCharType="end"/>
            </w:r>
          </w:p>
        </w:tc>
      </w:tr>
      <w:tr w:rsidR="00B67720" w14:paraId="6E5757AA" w14:textId="77777777" w:rsidTr="00B67720">
        <w:tc>
          <w:tcPr>
            <w:tcW w:w="29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E582C7" w14:textId="77777777" w:rsidR="00B67720" w:rsidRPr="008D2D74" w:rsidRDefault="00B67720" w:rsidP="00B67720">
            <w:pPr>
              <w:pStyle w:val="LO-normal"/>
              <w:widowControl w:val="0"/>
              <w:rPr>
                <w:sz w:val="20"/>
                <w:szCs w:val="20"/>
              </w:rPr>
            </w:pPr>
            <w:r w:rsidRPr="008D2D74">
              <w:rPr>
                <w:sz w:val="20"/>
                <w:szCs w:val="20"/>
              </w:rPr>
              <w:t>AMAP</w:t>
            </w:r>
          </w:p>
        </w:tc>
        <w:tc>
          <w:tcPr>
            <w:tcW w:w="552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D6F69D" w14:textId="77777777" w:rsidR="00B67720" w:rsidRPr="008D2D74" w:rsidRDefault="00640BFA" w:rsidP="00B67720">
            <w:pPr>
              <w:pStyle w:val="LO-normal"/>
              <w:widowControl w:val="0"/>
              <w:rPr>
                <w:rStyle w:val="ListLabel120"/>
              </w:rPr>
            </w:pPr>
            <w:hyperlink r:id="rId28" w:history="1">
              <w:r w:rsidR="00B67720" w:rsidRPr="008D2D74">
                <w:rPr>
                  <w:rStyle w:val="Hyperlink"/>
                  <w:sz w:val="20"/>
                  <w:szCs w:val="20"/>
                </w:rPr>
                <w:t>http://amap.pythonanywhere.com/</w:t>
              </w:r>
            </w:hyperlink>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BFDB93" w14:textId="2F92D11F" w:rsidR="00B67720" w:rsidRDefault="00B67720" w:rsidP="00AB6F80">
            <w:pPr>
              <w:pStyle w:val="LO-normal"/>
              <w:widowControl w:val="0"/>
              <w:rPr>
                <w:rStyle w:val="ListLabel121"/>
              </w:rPr>
            </w:pPr>
            <w:r>
              <w:rPr>
                <w:rStyle w:val="ListLabel121"/>
              </w:rPr>
              <w:fldChar w:fldCharType="begin" w:fldLock="1"/>
            </w:r>
            <w:r w:rsidR="00386CB6">
              <w:rPr>
                <w:rStyle w:val="ListLabel121"/>
              </w:rPr>
              <w:instrText>ADDIN CSL_CITATION {"citationItems":[{"id":"ITEM-1","itemData":{"DOI":"10.1016/j.compbiomed.2019.02.018","ISSN":"18790534","PMID":"30831306","abstract":"Due to increase in antibiotic resistance in recent years, development of efficient and accurate techniques for discovery and design of biologically active peptides such as antimicrobial peptides (AMPs) has become essential. The screening of natural and synthetic AMPs in the wet lab is a challenge due to time and cost involved in such experiments. Bioinformatics methods can be used to speed up discovery and design of antimicrobial peptides by limiting the wet-lab search to promising peptide sequences. However, most such tools are typically limited to the prediction of whether a peptide exhibits antimicrobial activity or not and they do not identify the exact type of the biological activities of these peptides. In this work, we have designed a machine learning based model called AMAP for predicting biological activity of peptides with a specialized focus on antimicrobial activity prediction. AMAP used multi-label classification to predict 14 different types of biological functions of a given peptide sequence with improved accuracy in comparison to existing state of the art techniques. We have performed stringent performance analyses of the proposed method. In addition to cross-validation and performance comparison with existing AMP predictors, AMAP has also been benchmarked on recently published experimentally verified peptides that were not a part of our training set. We have also analyzed features used in this work and our analysis shows that the proposed predictor can generalize well in predicting biological activity of novel peptide sequences. A webserver of the proposed method is available at the URL: http://faculty.pieas.edu.pk/fayyaz/software.html#AMAP.","author":[{"dropping-particle":"","family":"Gull","given":"Sadaf","non-dropping-particle":"","parse-names":false,"suffix":""},{"dropping-particle":"","family":"Shamim","given":"Nauman","non-dropping-particle":"","parse-names":false,"suffix":""},{"dropping-particle":"","family":"Minhas","given":"Fayyaz","non-dropping-particle":"","parse-names":false,"suffix":""}],"container-title":"Computers in Biology and Medicine","id":"ITEM-1","issue":"4","issued":{"date-parts":[["2019","4","1"]]},"page":"172-181","publisher":"Elsevier Ltd","title":"AMAP: Hierarchical multi-label prediction of biologically active and antimicrobial peptides","type":"article-journal","volume":"107"},"uris":["http://www.mendeley.com/documents/?uuid=0a609eed-1ef3-3d04-bcac-e17bf709c8e1"]}],"mendeley":{"formattedCitation":"&lt;sup&gt;123&lt;/sup&gt;","plainTextFormattedCitation":"123","previouslyFormattedCitation":"&lt;sup&gt;123&lt;/sup&gt;"},"properties":{"noteIndex":0},"schema":"https://github.com/citation-style-language/schema/raw/master/csl-citation.json"}</w:instrText>
            </w:r>
            <w:r>
              <w:rPr>
                <w:rStyle w:val="ListLabel121"/>
              </w:rPr>
              <w:fldChar w:fldCharType="separate"/>
            </w:r>
            <w:r w:rsidR="00AB6F80" w:rsidRPr="00AB6F80">
              <w:rPr>
                <w:rStyle w:val="ListLabel121"/>
                <w:noProof/>
              </w:rPr>
              <w:t>123</w:t>
            </w:r>
            <w:r>
              <w:rPr>
                <w:rStyle w:val="ListLabel121"/>
              </w:rPr>
              <w:fldChar w:fldCharType="end"/>
            </w:r>
          </w:p>
        </w:tc>
      </w:tr>
      <w:tr w:rsidR="00B67720" w14:paraId="3918C611" w14:textId="77777777" w:rsidTr="00B67720">
        <w:tc>
          <w:tcPr>
            <w:tcW w:w="29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CAF69E" w14:textId="77777777" w:rsidR="00B67720" w:rsidRPr="008D2D74" w:rsidRDefault="00B67720" w:rsidP="00B67720">
            <w:pPr>
              <w:pStyle w:val="LO-normal"/>
              <w:widowControl w:val="0"/>
              <w:rPr>
                <w:sz w:val="20"/>
                <w:szCs w:val="20"/>
              </w:rPr>
            </w:pPr>
            <w:r w:rsidRPr="008D2D74">
              <w:rPr>
                <w:sz w:val="20"/>
                <w:szCs w:val="20"/>
              </w:rPr>
              <w:t>iAMP-2L</w:t>
            </w:r>
          </w:p>
        </w:tc>
        <w:tc>
          <w:tcPr>
            <w:tcW w:w="552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63C791" w14:textId="77777777" w:rsidR="00B67720" w:rsidRPr="00153861" w:rsidRDefault="00640BFA" w:rsidP="00B67720">
            <w:pPr>
              <w:pStyle w:val="LO-normal"/>
              <w:widowControl w:val="0"/>
              <w:rPr>
                <w:rStyle w:val="ListLabel119"/>
                <w:sz w:val="20"/>
                <w:szCs w:val="20"/>
              </w:rPr>
            </w:pPr>
            <w:hyperlink r:id="rId29">
              <w:r w:rsidR="00B67720" w:rsidRPr="00153861">
                <w:rPr>
                  <w:rStyle w:val="ListLabel119"/>
                  <w:sz w:val="20"/>
                  <w:szCs w:val="20"/>
                </w:rPr>
                <w:t>http://www.jci-bioinfo.cn/iAMP-2L</w:t>
              </w:r>
            </w:hyperlink>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EBDA0B" w14:textId="7BB9819D" w:rsidR="00B67720" w:rsidRDefault="00B67720" w:rsidP="00AB6F80">
            <w:pPr>
              <w:pStyle w:val="LO-normal"/>
              <w:widowControl w:val="0"/>
              <w:rPr>
                <w:rStyle w:val="ListLabel121"/>
              </w:rPr>
            </w:pPr>
            <w:r>
              <w:fldChar w:fldCharType="begin" w:fldLock="1"/>
            </w:r>
            <w:r w:rsidR="00AE3E77">
              <w:instrText>ADDIN CSL_CITATION {"citationItems":[{"id":"ITEM-1","itemData":{"DOI":"10.1016/j.ab.2013.01.019","ISSN":"10960309","PMID":"23395824","abstract":"Antimicrobial peptides (AMPs), also called host defense peptides, are an evolutionarily conserved component of the innate immune response and are found among all classes of life. According to their special functions, AMPs are generally classified into ten categories: Antibacterial Peptides, Anticancer/tumor Peptides, Antifungal Peptides, Anti-HIV Peptides, Antiviral Peptides, Antiparasital Peptides, Anti-protist Peptides, AMPs with Chemotactic Activity, Insecticidal Peptides, and Spermicidal Peptides. Given a query peptide, how can we identify whether it is an AMP or non-AMP? If it is, can we identify which functional type or types it belong to? Particularly, how can we deal with the multi-type problem since an AMP may belong to two or more functional types? To address these problems, which are obviously very important to both basic research and drug development, a multi-label classifier was developed based on the pseudo amino acid composition (PseAAC) and fuzzy K-nearest neighbor (FKNN) algorithm, where the components of PseAAC were featured by incorporating five physicochemical properties. The novel classifier is called iAMP-2L, where \"2L\" means that it is a 2-level predictor. The 1st-level is to answer the 1st question above, while the 2nd-level is to answer the 2nd and 3rd questions that are beyond the reach of any existing methods in this area. For the conveniences of users, a user-friendly web-server for iAMP-2L was established at http://www.jci-bioinfo.cn/iAMP-2L. © 2013 Elsevier Inc. All rights reserved.","author":[{"dropping-particle":"","family":"Xiao","given":"Xuan","non-dropping-particle":"","parse-names":false,"suffix":""},{"dropping-particle":"","family":"Wang","given":"Pu","non-dropping-particle":"","parse-names":false,"suffix":""},{"dropping-particle":"","family":"Lin","given":"Wei Zhong","non-dropping-particle":"","parse-names":false,"suffix":""},{"dropping-particle":"","family":"Jia","given":"Jian Hua","non-dropping-particle":"","parse-names":false,"suffix":""},{"dropping-particle":"","family":"Chou","given":"Kuo Chen","non-dropping-particle":"","parse-names":false,"suffix":""}],"container-title":"Analytical Biochemistry","id":"ITEM-1","issue":"2","issued":{"date-parts":[["2013","5","15"]]},"page":"168-177","publisher":"Academic Press Inc.","title":"IAMP-2L: A two-level multi-label classifier for identifying antimicrobial peptides and their functional types","type":"article-journal","volume":"436"},"uris":["http://www.mendeley.com/documents/?uuid=20256ba6-9c50-3a7e-b663-a786f9b1a12e"]}],"mendeley":{"formattedCitation":"&lt;sup&gt;124&lt;/sup&gt;","plainTextFormattedCitation":"124","previouslyFormattedCitation":"&lt;sup&gt;124&lt;/sup&gt;"},"properties":{"noteIndex":0},"schema":"https://github.com/citation-style-language/schema/raw/master/csl-citation.json"}</w:instrText>
            </w:r>
            <w:r>
              <w:fldChar w:fldCharType="separate"/>
            </w:r>
            <w:r w:rsidR="00AB6F80" w:rsidRPr="00AB6F80">
              <w:rPr>
                <w:noProof/>
                <w:vertAlign w:val="superscript"/>
              </w:rPr>
              <w:t>124</w:t>
            </w:r>
            <w:r>
              <w:fldChar w:fldCharType="end"/>
            </w:r>
          </w:p>
        </w:tc>
      </w:tr>
      <w:tr w:rsidR="00B67720" w14:paraId="63BA0E3D" w14:textId="77777777" w:rsidTr="00B67720">
        <w:tc>
          <w:tcPr>
            <w:tcW w:w="29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734D93" w14:textId="77777777" w:rsidR="00B67720" w:rsidRPr="008D2D74" w:rsidRDefault="00B67720" w:rsidP="00B67720">
            <w:pPr>
              <w:pStyle w:val="LO-normal"/>
              <w:widowControl w:val="0"/>
              <w:rPr>
                <w:sz w:val="20"/>
                <w:szCs w:val="20"/>
              </w:rPr>
            </w:pPr>
            <w:r w:rsidRPr="008D2D74">
              <w:rPr>
                <w:sz w:val="20"/>
                <w:szCs w:val="20"/>
              </w:rPr>
              <w:t>iAMPpred</w:t>
            </w:r>
          </w:p>
        </w:tc>
        <w:tc>
          <w:tcPr>
            <w:tcW w:w="552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73BA40" w14:textId="77777777" w:rsidR="00B67720" w:rsidRPr="008D2D74" w:rsidRDefault="00640BFA" w:rsidP="00B67720">
            <w:pPr>
              <w:pStyle w:val="LO-normal"/>
              <w:widowControl w:val="0"/>
              <w:rPr>
                <w:rStyle w:val="ListLabel120"/>
              </w:rPr>
            </w:pPr>
            <w:hyperlink r:id="rId30">
              <w:r w:rsidR="00B67720" w:rsidRPr="00153861">
                <w:rPr>
                  <w:rStyle w:val="ListLabel119"/>
                  <w:sz w:val="20"/>
                  <w:szCs w:val="20"/>
                </w:rPr>
                <w:t>http://cabgrid.res.in:8080/amppred/</w:t>
              </w:r>
            </w:hyperlink>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BCE56B" w14:textId="1293DA21" w:rsidR="00B67720" w:rsidRDefault="00B67720" w:rsidP="00AB6F80">
            <w:pPr>
              <w:pStyle w:val="LO-normal"/>
              <w:widowControl w:val="0"/>
              <w:rPr>
                <w:rStyle w:val="ListLabel121"/>
              </w:rPr>
            </w:pPr>
            <w:r>
              <w:fldChar w:fldCharType="begin" w:fldLock="1"/>
            </w:r>
            <w:r w:rsidR="00AE3E77">
              <w:instrText>ADDIN CSL_CITATION {"citationItems":[{"id":"ITEM-1","itemData":{"DOI":"10.1038/srep42362","ISSN":"20452322","PMID":"28205576","abstract":"Antimicrobial peptides (AMPs) are important components of the innate immune system that have been found to be effective against disease causing pathogens. Identification of AMPs through wet-lab experiment is expensive. Therefore, development of efficient computational tool is essential to identify the best candidate AMP prior to the in vitro experimentation. In this study, we made an attempt to develop a support vector machine (SVM) based computational approach for prediction of AMPs with improved accuracy. Initially, compositional, physico-chemical and structural features of the peptides were generated that were subsequently used as input in SVM for prediction of AMPs. The proposed approach achieved higher accuracy than several existing approaches, while compared using benchmark dataset. Based on the proposed approach, an online prediction server iAMPpred has also been developed to help the scientific community in predicting AMPs, which is freely accessible at http://cabgrid.res.in:8080/amppred/. The proposed approach is believed to supplement the tools and techniques that have been developed in the past for prediction of AMPs.","author":[{"dropping-particle":"","family":"Meher","given":"Prabina Kumar","non-dropping-particle":"","parse-names":false,"suffix":""},{"dropping-particle":"","family":"Sahu","given":"Tanmaya Kumar","non-dropping-particle":"","parse-names":false,"suffix":""},{"dropping-particle":"","family":"Saini","given":"Varsha","non-dropping-particle":"","parse-names":false,"suffix":""},{"dropping-particle":"","family":"Rao","given":"Atmakuri Ramakrishna","non-dropping-particle":"","parse-names":false,"suffix":""}],"container-title":"Scientific Reports","id":"ITEM-1","issue":"1","issued":{"date-parts":[["2017","2","13"]]},"page":"1-12","publisher":"Nature Publishing Group","title":"Predicting antimicrobial peptides with improved accuracy by incorporating the compositional, physico-chemical and structural features into Chou's general PseAAC","type":"article-journal","volume":"7"},"uris":["http://www.mendeley.com/documents/?uuid=6086f2f1-bafd-3864-91c8-c2887b5e6e02"]}],"mendeley":{"formattedCitation":"&lt;sup&gt;110&lt;/sup&gt;","plainTextFormattedCitation":"110","previouslyFormattedCitation":"&lt;sup&gt;110&lt;/sup&gt;"},"properties":{"noteIndex":0},"schema":"https://github.com/citation-style-language/schema/raw/master/csl-citation.json"}</w:instrText>
            </w:r>
            <w:r>
              <w:fldChar w:fldCharType="separate"/>
            </w:r>
            <w:r w:rsidR="00AB6F80" w:rsidRPr="00AB6F80">
              <w:rPr>
                <w:noProof/>
                <w:vertAlign w:val="superscript"/>
              </w:rPr>
              <w:t>110</w:t>
            </w:r>
            <w:r>
              <w:fldChar w:fldCharType="end"/>
            </w:r>
          </w:p>
        </w:tc>
      </w:tr>
      <w:tr w:rsidR="00B67720" w14:paraId="670F3658" w14:textId="77777777" w:rsidTr="00B67720">
        <w:tc>
          <w:tcPr>
            <w:tcW w:w="29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C1283A" w14:textId="77777777" w:rsidR="00B67720" w:rsidRPr="008D2D74" w:rsidRDefault="00B67720" w:rsidP="00B67720">
            <w:pPr>
              <w:pStyle w:val="LO-normal"/>
              <w:widowControl w:val="0"/>
              <w:rPr>
                <w:sz w:val="20"/>
                <w:szCs w:val="20"/>
              </w:rPr>
            </w:pPr>
            <w:r w:rsidRPr="00153861">
              <w:rPr>
                <w:sz w:val="20"/>
                <w:szCs w:val="20"/>
              </w:rPr>
              <w:t>CS-AMPPred</w:t>
            </w:r>
          </w:p>
        </w:tc>
        <w:tc>
          <w:tcPr>
            <w:tcW w:w="552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3132C1" w14:textId="77777777" w:rsidR="00B67720" w:rsidRPr="008D2D74" w:rsidRDefault="00B67720" w:rsidP="00B67720">
            <w:pPr>
              <w:pStyle w:val="LO-normal"/>
              <w:widowControl w:val="0"/>
              <w:rPr>
                <w:rStyle w:val="ListLabel120"/>
              </w:rPr>
            </w:pPr>
            <w:r w:rsidRPr="00153861">
              <w:rPr>
                <w:rStyle w:val="ListLabel119"/>
                <w:sz w:val="20"/>
                <w:szCs w:val="20"/>
              </w:rPr>
              <w:t>https://sourceforge.net/projects/csamppred</w:t>
            </w: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74EF59" w14:textId="2AD5FF0C" w:rsidR="00B67720" w:rsidRDefault="00B67720" w:rsidP="00AB6F80">
            <w:pPr>
              <w:pStyle w:val="LO-normal"/>
              <w:widowControl w:val="0"/>
              <w:rPr>
                <w:rStyle w:val="ListLabel121"/>
              </w:rPr>
            </w:pPr>
            <w:r>
              <w:fldChar w:fldCharType="begin" w:fldLock="1"/>
            </w:r>
            <w:r w:rsidR="00AB6F80">
              <w:instrText>ADDIN CSL_CITATION {"citationItems":[{"id":"ITEM-1","itemData":{"DOI":"10.1371/journal.pone.0051444","ISSN":"1932-6203","abstract":"The antimicrobial peptides (AMP) have been proposed as an alternative to control resistant pathogens. However, due to multifunctional properties of several AMP classes, until now there has been no way to perform efficient AMP identification, except through in vitro and in vivo tests. Nevertheless, an indication of activity can be provided by prediction methods. In order to contribute to the AMP prediction field, the CS-AMPPred (Cysteine-Stabilized Antimicrobial Peptides Predictor) is presented here, consisting of an updated version of the Support Vector Machine (SVM) model for antimicrobial activity prediction in cysteine-stabilized peptides. The CS-AMPPred is based on five sequence descriptors: indexes of (i) α-helix and (ii) loop formation; and averages of (iii) net charge, (iv) hydrophobicity and (v) flexibility. CS-AMPPred was based on 310 cysteine-stabilized AMPs and 310 sequences extracted from PDB. The polynomial kernel achieves the best accuracy on 5-fold cross validation (85.81%), while the radial and linear kernels achieve 84.19%. Testing in a blind data set, the polynomial and radial kernels achieve an accuracy of 90.00%, while the linear model achieves 89.33%. The three models reach higher accuracies than previously described methods. A standalone version of CS-AMPPred is available for download at &lt;http://sourceforge.net/projects/csamppred/&gt; and runs on any Linux machine. © 2012 Porto et al.","author":[{"dropping-particle":"","family":"Porto","given":"William F.","non-dropping-particle":"","parse-names":false,"suffix":""},{"dropping-particle":"","family":"Pires","given":"Állan S.","non-dropping-particle":"","parse-names":false,"suffix":""},{"dropping-particle":"","family":"Franco","given":"Octavio L.","non-dropping-particle":"","parse-names":false,"suffix":""}],"container-title":"PLoS ONE","editor":[{"dropping-particle":"","family":"Uversky","given":"Vladimir N.","non-dropping-particle":"","parse-names":false,"suffix":""}],"id":"ITEM-1","issue":"12","issued":{"date-parts":[["2012","12","11"]]},"page":"e51444","publisher":"Public Library of Science","title":"CS-AMPPred: An Updated SVM Model for Antimicrobial Activity Prediction in Cysteine-Stabilized Peptides","type":"article-journal","volume":"7"},"uris":["http://www.mendeley.com/documents/?uuid=f754ff8d-06b7-3858-b9be-01b1f9d5e914"]}],"mendeley":{"formattedCitation":"&lt;sup&gt;125&lt;/sup&gt;","plainTextFormattedCitation":"125","previouslyFormattedCitation":"&lt;sup&gt;125&lt;/sup&gt;"},"properties":{"noteIndex":0},"schema":"https://github.com/citation-style-language/schema/raw/master/csl-citation.json"}</w:instrText>
            </w:r>
            <w:r>
              <w:fldChar w:fldCharType="separate"/>
            </w:r>
            <w:r w:rsidR="00AB6F80" w:rsidRPr="00AB6F80">
              <w:rPr>
                <w:noProof/>
                <w:vertAlign w:val="superscript"/>
              </w:rPr>
              <w:t>125</w:t>
            </w:r>
            <w:r>
              <w:fldChar w:fldCharType="end"/>
            </w:r>
          </w:p>
        </w:tc>
      </w:tr>
      <w:tr w:rsidR="006859C2" w14:paraId="73C54646" w14:textId="77777777" w:rsidTr="00B67720">
        <w:tc>
          <w:tcPr>
            <w:tcW w:w="29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435358" w14:textId="3467917D" w:rsidR="006859C2" w:rsidRPr="00153861" w:rsidRDefault="009C477A" w:rsidP="00B67720">
            <w:pPr>
              <w:pStyle w:val="LO-normal"/>
              <w:widowControl w:val="0"/>
              <w:rPr>
                <w:sz w:val="20"/>
                <w:szCs w:val="20"/>
              </w:rPr>
            </w:pPr>
            <w:r>
              <w:rPr>
                <w:sz w:val="20"/>
                <w:szCs w:val="20"/>
              </w:rPr>
              <w:t>amPEPpy</w:t>
            </w:r>
          </w:p>
        </w:tc>
        <w:tc>
          <w:tcPr>
            <w:tcW w:w="552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E1141D" w14:textId="0961AF57" w:rsidR="006859C2" w:rsidRPr="00153861" w:rsidRDefault="009C477A" w:rsidP="00B67720">
            <w:pPr>
              <w:pStyle w:val="LO-normal"/>
              <w:widowControl w:val="0"/>
              <w:rPr>
                <w:rStyle w:val="ListLabel119"/>
                <w:sz w:val="20"/>
                <w:szCs w:val="20"/>
              </w:rPr>
            </w:pPr>
            <w:r w:rsidRPr="009C477A">
              <w:rPr>
                <w:rStyle w:val="ListLabel119"/>
                <w:sz w:val="20"/>
                <w:szCs w:val="20"/>
              </w:rPr>
              <w:t>https://github.com/tlawrence3/amPEPpy</w:t>
            </w: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D5867" w14:textId="213C8D28" w:rsidR="006859C2" w:rsidRDefault="009C477A" w:rsidP="00AB6F80">
            <w:pPr>
              <w:pStyle w:val="LO-normal"/>
              <w:widowControl w:val="0"/>
            </w:pPr>
            <w:r>
              <w:fldChar w:fldCharType="begin" w:fldLock="1"/>
            </w:r>
            <w:r w:rsidR="0052410F">
              <w:instrText>ADDIN CSL_CITATION {"citationItems":[{"id":"ITEM-1","itemData":{"DOI":"10.1093/bioinformatics/btaa917","ISSN":"1367-4803","abstract":"MOTIVATION Antimicrobial peptides (AMPs) are promising alternative antimicrobial agents. Currently, however, portable, user-friendly, and efficient methods for predicting AMP sequences from genome-scale data are not readily available. Here we present amPEPpy, an open-source, multi-threaded command-line application for predicting AMP sequences using a random forest classifier. AVAILABILITY amPEPpy is implemented in Python 3 and is freely available through GitHub (https://github.com/tlawrence3/amPEPpy). CONTACT lawrencetj@ornl.gov or labbejj@ornl.gov. SUPPLEMENTARY INFORMATION Supplementary data are available at Bioinformatics online.","author":[{"dropping-particle":"","family":"Lawrence","given":"Travis J","non-dropping-particle":"","parse-names":false,"suffix":""},{"dropping-particle":"","family":"Carper","given":"Dana L","non-dropping-particle":"","parse-names":false,"suffix":""},{"dropping-particle":"","family":"Spangler","given":"Margaret K","non-dropping-particle":"","parse-names":false,"suffix":""},{"dropping-particle":"","family":"Carrell","given":"Alyssa A","non-dropping-particle":"","parse-names":false,"suffix":""},{"dropping-particle":"","family":"Rush","given":"Tomás A","non-dropping-particle":"","parse-names":false,"suffix":""},{"dropping-particle":"","family":"Minter","given":"Stephen J","non-dropping-particle":"","parse-names":false,"suffix":""},{"dropping-particle":"","family":"Weston","given":"David J","non-dropping-particle":"","parse-names":false,"suffix":""},{"dropping-particle":"","family":"Labbé","given":"Jessy L","non-dropping-particle":"","parse-names":false,"suffix":""}],"container-title":"Bioinformatics","editor":[{"dropping-particle":"","family":"Pier Luigi","given":"Martelli","non-dropping-particle":"","parse-names":false,"suffix":""}],"id":"ITEM-1","issued":{"date-parts":[["2020","11","2"]]},"page":"1-3","publisher":"Oxford University Press (OUP)","title":"amPEPpy 1.0: a portable and accurate antimicrobial peptide prediction tool","type":"article-journal"},"uris":["http://www.mendeley.com/documents/?uuid=3e60317f-b772-304f-888e-463144ed8e7a"]}],"mendeley":{"formattedCitation":"&lt;sup&gt;116&lt;/sup&gt;","plainTextFormattedCitation":"116","previouslyFormattedCitation":"&lt;sup&gt;116&lt;/sup&gt;"},"properties":{"noteIndex":0},"schema":"https://github.com/citation-style-language/schema/raw/master/csl-citation.json"}</w:instrText>
            </w:r>
            <w:r>
              <w:fldChar w:fldCharType="separate"/>
            </w:r>
            <w:r w:rsidR="00AB6F80" w:rsidRPr="00AB6F80">
              <w:rPr>
                <w:noProof/>
                <w:vertAlign w:val="superscript"/>
              </w:rPr>
              <w:t>116</w:t>
            </w:r>
            <w:r>
              <w:fldChar w:fldCharType="end"/>
            </w:r>
          </w:p>
        </w:tc>
      </w:tr>
      <w:tr w:rsidR="000D5091" w14:paraId="1A506C36" w14:textId="77777777" w:rsidTr="00B67720">
        <w:tc>
          <w:tcPr>
            <w:tcW w:w="29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692D18" w14:textId="1A540DD7" w:rsidR="000D5091" w:rsidRDefault="000D5091" w:rsidP="00B67720">
            <w:pPr>
              <w:pStyle w:val="LO-normal"/>
              <w:widowControl w:val="0"/>
              <w:rPr>
                <w:sz w:val="20"/>
                <w:szCs w:val="20"/>
              </w:rPr>
            </w:pPr>
            <w:r>
              <w:rPr>
                <w:sz w:val="20"/>
                <w:szCs w:val="20"/>
              </w:rPr>
              <w:t>IAMPE</w:t>
            </w:r>
          </w:p>
        </w:tc>
        <w:tc>
          <w:tcPr>
            <w:tcW w:w="552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F3BFDF" w14:textId="67D0B8A8" w:rsidR="000D5091" w:rsidRPr="009C477A" w:rsidRDefault="000D5091" w:rsidP="00B67720">
            <w:pPr>
              <w:pStyle w:val="LO-normal"/>
              <w:widowControl w:val="0"/>
              <w:rPr>
                <w:rStyle w:val="ListLabel119"/>
                <w:sz w:val="20"/>
                <w:szCs w:val="20"/>
              </w:rPr>
            </w:pPr>
            <w:r w:rsidRPr="000D5091">
              <w:rPr>
                <w:rStyle w:val="ListLabel119"/>
                <w:sz w:val="20"/>
                <w:szCs w:val="20"/>
              </w:rPr>
              <w:t>http://cbb1.ut.ac.ir/</w:t>
            </w: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1492CB" w14:textId="3F6BBF57" w:rsidR="000D5091" w:rsidRDefault="000D5091" w:rsidP="00AB6F80">
            <w:pPr>
              <w:pStyle w:val="LO-normal"/>
              <w:widowControl w:val="0"/>
            </w:pPr>
            <w:r>
              <w:fldChar w:fldCharType="begin" w:fldLock="1"/>
            </w:r>
            <w:r w:rsidR="00AE3E77">
              <w:instrText>ADDIN CSL_CITATION {"citationItems":[{"id":"ITEM-1","itemData":{"DOI":"10.1021/acs.jcim.0c00841","ISSN":"15205142","PMID":"32946226","abstract":"Antimicrobial peptides (AMPs) are at the focus of attention due to their therapeutic importance and developing computational tools for the identification of efficient antibiotics from the primary structure. Here, we utilized the 13CNMR spectral of amino acids and clustered them into various groups. These clusters were used to build feature vectors for the AMP sequences based on the composition, transition, and distribution of cluster members. These features, along with the physicochemical properties of AMPs were exploited to learn computational models to predict active AMPs solely from their sequences. Naive Bayes (NB), k-nearest neighbors (KNN), support-vector machine (SVM), random forest (RF), and eXtreme Gradient Boosting (XGBoost) were employed to build the classification system using the collected AMP datasets from the CAMP, LAMP, ADAM, and AntiBP databases. Our results were validated and compared with the CAMP and ADAM prediction systems and indicated that the synergistic combination of the 13CNMR features with the physicochemical descriptors enables the proposed ensemble mechanism to improve the prediction performance of active AMP sequences. Our web-based AMP prediction platform, IAMPE, is available at http://cbb1.ut.ac.ir/.","author":[{"dropping-particle":"","family":"Kavousi","given":"Kaveh","non-dropping-particle":"","parse-names":false,"suffix":""},{"dropping-particle":"","family":"Bagheri","given":"Mojtaba","non-dropping-particle":"","parse-names":false,"suffix":""},{"dropping-particle":"","family":"Behrouzi","given":"Saman","non-dropping-particle":"","parse-names":false,"suffix":""},{"dropping-particle":"","family":"Vafadar","given":"Safar","non-dropping-particle":"","parse-names":false,"suffix":""},{"dropping-particle":"","family":"Atanaki","given":"Fereshteh Fallah","non-dropping-particle":"","parse-names":false,"suffix":""},{"dropping-particle":"","family":"Lotfabadi","given":"Bahareh Teimouri","non-dropping-particle":"","parse-names":false,"suffix":""},{"dropping-particle":"","family":"Ariaeenejad","given":"Shohreh","non-dropping-particle":"","parse-names":false,"suffix":""},{"dropping-particle":"","family":"Shockravi","given":"Abbas","non-dropping-particle":"","parse-names":false,"suffix":""},{"dropping-particle":"","family":"Moosavi-Movahedi","given":"Ali Akbar","non-dropping-particle":"","parse-names":false,"suffix":""}],"container-title":"Journal of Chemical Information and Modeling","id":"ITEM-1","issue":"10","issued":{"date-parts":[["2020","10","26"]]},"page":"4691-4701","publisher":"American Chemical Society","title":"IAMPE: NMR-assisted computational prediction of antimicrobial peptides","type":"article-journal","volume":"60"},"uris":["http://www.mendeley.com/documents/?uuid=fb9e26bf-e5db-3bcc-94a9-9d3d24ff78a7"]}],"mendeley":{"formattedCitation":"&lt;sup&gt;118&lt;/sup&gt;","plainTextFormattedCitation":"118","previouslyFormattedCitation":"&lt;sup&gt;118&lt;/sup&gt;"},"properties":{"noteIndex":0},"schema":"https://github.com/citation-style-language/schema/raw/master/csl-citation.json"}</w:instrText>
            </w:r>
            <w:r>
              <w:fldChar w:fldCharType="separate"/>
            </w:r>
            <w:r w:rsidR="00AB6F80" w:rsidRPr="00AB6F80">
              <w:rPr>
                <w:noProof/>
                <w:vertAlign w:val="superscript"/>
              </w:rPr>
              <w:t>118</w:t>
            </w:r>
            <w:r>
              <w:fldChar w:fldCharType="end"/>
            </w:r>
          </w:p>
        </w:tc>
      </w:tr>
      <w:tr w:rsidR="000D5091" w14:paraId="4A9BE7ED" w14:textId="77777777" w:rsidTr="00B67720">
        <w:tc>
          <w:tcPr>
            <w:tcW w:w="29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FA6478" w14:textId="1BC71563" w:rsidR="000D5091" w:rsidRDefault="000D5091" w:rsidP="00B67720">
            <w:pPr>
              <w:pStyle w:val="LO-normal"/>
              <w:widowControl w:val="0"/>
              <w:rPr>
                <w:sz w:val="20"/>
                <w:szCs w:val="20"/>
              </w:rPr>
            </w:pPr>
            <w:r>
              <w:rPr>
                <w:sz w:val="20"/>
                <w:szCs w:val="20"/>
              </w:rPr>
              <w:t>AMPfun</w:t>
            </w:r>
          </w:p>
        </w:tc>
        <w:tc>
          <w:tcPr>
            <w:tcW w:w="552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ED466F" w14:textId="2CC884D2" w:rsidR="000D5091" w:rsidRPr="000D5091" w:rsidRDefault="000D5091" w:rsidP="00B67720">
            <w:pPr>
              <w:pStyle w:val="LO-normal"/>
              <w:widowControl w:val="0"/>
              <w:rPr>
                <w:rStyle w:val="ListLabel119"/>
                <w:sz w:val="20"/>
                <w:szCs w:val="20"/>
              </w:rPr>
            </w:pPr>
            <w:r w:rsidRPr="000D5091">
              <w:rPr>
                <w:rStyle w:val="ListLabel119"/>
                <w:sz w:val="20"/>
                <w:szCs w:val="20"/>
              </w:rPr>
              <w:t>http://fdblab.csie.ncu.edu.tw/AMPfun/index.html</w:t>
            </w: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B3D269" w14:textId="40C68C41" w:rsidR="000D5091" w:rsidRDefault="009B3C49" w:rsidP="00AB6F80">
            <w:pPr>
              <w:pStyle w:val="LO-normal"/>
              <w:widowControl w:val="0"/>
            </w:pPr>
            <w:r>
              <w:fldChar w:fldCharType="begin" w:fldLock="1"/>
            </w:r>
            <w:r w:rsidR="00CD66A0">
              <w:instrText>ADDIN CSL_CITATION {"citationItems":[{"id":"ITEM-1","itemData":{"DOI":"10.1093/bib/bbz043","ISSN":"1467-5463","abstract":"In recent years, antimicrobial peptides (AMPs) have become an emerging area of focus when developing therapeutics hot spot residues of proteins are dominant against infections. Importantly, AMPs are produced by virtually all known living organisms and are able to target a wide range of pathogenic microorganisms, including viruses, parasites, bacteria and fungi. Although several studies have proposed different machine learning methods to predict peptides as being AMPs, most do not consider the diversity of AMP activities. On this basis, we specifically investigated the sequence features of AMPs with a range of functional activities, including anti-parasitic, anti-viral, anti-cancer and anti-fungal activities and those that target mammals, Gram-positive and Gram-negative bacteria. A new scheme is proposed to systematically characterize and identify AMPs and their functional activities. The 1st stage of the proposed approach is to identify the AMPs, while the 2nd involves further characterization of their functional activities. Sequential forward selection was employed to extract potentially informative features that are possibly associated with the functional activities of the AMPs. These features include hydrophobicity, the normalized van der Waals volume, polarity, charge and solvent accessibility—all of which are essential attributes in classifying between AMPs and non-AMPs. The results revealed the 1st stage AMP classifier was able to achieve an area under the receiver operating characteristic curve (AUC) value of 0.9894. During the 2nd stage, we found pseudo amino acid composition to be an informative attribute when differentiating between AMPs in terms of their functional activities. The independent testing results demonstrated that the AUCs of the multi-class models were 0.7773, 0.9404, 0.8231, 0.8578, 0.8648, 0.8745 and 0.8672 for anti-parasitic, anti-viral, anti-cancer, anti-fungal AMPs and those that target mammals, Gram-positive and Gram-negative bacteria, respectively. The proposed scheme helps facilitate biological experiments related to the functional analysis of AMPs. Additionally, it was implemented as a user-friendly web server (AMPfun, http://fdblab.csie.ncu.edu.tw/AMPfun/index.html) that allows individuals to explore the antimicrobial functions of peptides of interest.","author":[{"dropping-particle":"","family":"Chung","given":"Chia Ru","non-dropping-particle":"","parse-names":false,"suffix":""},{"dropping-particle":"","family":"Kuo","given":"Ting Rung","non-dropping-particle":"","parse-names":false,"suffix":""},{"dropping-particle":"","family":"Wu","given":"Li Ching","non-dropping-particle":"","parse-names":false,"suffix":""},{"dropping-particle":"","family":"Lee","given":"Tzong Yi","non-dropping-particle":"","parse-names":false,"suffix":""},{"dropping-particle":"","family":"Horng","given":"Jorng Tzong","non-dropping-particle":"","parse-names":false,"suffix":""}],"container-title":"Briefings in Bioinformatics","id":"ITEM-1","issue":"3","issued":{"date-parts":[["2020","5","21"]]},"page":"1098-1114","publisher":"Oxford University Press","title":"Characterization and identification of antimicrobial peptides with different functional activities","type":"article-journal","volume":"21"},"uris":["http://www.mendeley.com/documents/?uuid=f1dc885c-ae61-3ea8-9b6e-8409cc397d3d"]}],"mendeley":{"formattedCitation":"&lt;sup&gt;117&lt;/sup&gt;","plainTextFormattedCitation":"117","previouslyFormattedCitation":"&lt;sup&gt;117&lt;/sup&gt;"},"properties":{"noteIndex":0},"schema":"https://github.com/citation-style-language/schema/raw/master/csl-citation.json"}</w:instrText>
            </w:r>
            <w:r>
              <w:fldChar w:fldCharType="separate"/>
            </w:r>
            <w:r w:rsidR="00AB6F80" w:rsidRPr="00AB6F80">
              <w:rPr>
                <w:noProof/>
                <w:vertAlign w:val="superscript"/>
              </w:rPr>
              <w:t>117</w:t>
            </w:r>
            <w:r>
              <w:fldChar w:fldCharType="end"/>
            </w:r>
          </w:p>
        </w:tc>
      </w:tr>
    </w:tbl>
    <w:p w14:paraId="0FEB2096" w14:textId="77777777" w:rsidR="00B67720" w:rsidRDefault="00B67720" w:rsidP="00605644">
      <w:pPr>
        <w:pStyle w:val="LO-normal"/>
        <w:jc w:val="both"/>
      </w:pPr>
    </w:p>
    <w:p w14:paraId="06396676" w14:textId="33B6AD2D" w:rsidR="003409AC" w:rsidRDefault="003409AC" w:rsidP="00605644">
      <w:pPr>
        <w:pStyle w:val="LO-normal"/>
        <w:jc w:val="both"/>
      </w:pPr>
      <w:r>
        <w:t>Needless to say, the results of a prediction query should always be vetted and checked. Current methods, for example, may overestimate the AMP character of longer sequences</w:t>
      </w:r>
      <w:r w:rsidR="00C631D9">
        <w:fldChar w:fldCharType="begin" w:fldLock="1"/>
      </w:r>
      <w:r w:rsidR="00AE3E77">
        <w:instrText>ADDIN CSL_CITATION {"citationItems":[{"id":"ITEM-1","itemData":{"DOI":"10.1093/bioinformatics/btx081","ISSN":"1367-4803","abstract":"Motivation: Antimicrobial peptides (AMPs) are innate immune molecules that exhibit activities against a range of microbes, including bacteria, fungi, viruses and protozoa. Recent increases in microbial resistance against current drugs has led to a concomitant increase in the need for novel antimicrobial agents. Over the last decade, a number of AMP prediction tools have been designed and made freely available online. These AMP prediction tools show potential to discriminate AMPs from non-AMPs, but the relative quality of the predictions produced by the various tools is difficult to quantify. Results: We compiled two sets of AMP and non-AMP peptides, separated into three categories- A ntimicrobial, antibacterial and bacteriocins. Using these benchmark data sets, we carried out a systematic evaluation of ten publicly available AMP prediction methods. Among the six general AMP prediction tools-ADAM, CAMPR3(RF), CAMPR3(SVM), MLAMP, DBAASP and MLAMP-we find that CAMPR3(RF) provides a statistically significant improvement in performance, as measured by the area under the receiver operating characteristic (ROC) curve, relative to the other five methods. Surprisingly, for antibacterial prediction, the original AntiBP method significantly outperforms its successor, AntiBP2 based on one benchmark dataset. The two bacteriocin prediction tools, BAGEL3 and BACTIBASE, both provide very good performance and BAGEL3 outperforms its predecessor, BACTIBASE, on the larger of the two benchmarks.","author":[{"dropping-particle":"","family":"Gabere","given":"Musa Nur","non-dropping-particle":"","parse-names":false,"suffix":""},{"dropping-particle":"","family":"Noble","given":"William Stafford","non-dropping-particle":"","parse-names":false,"suffix":""}],"container-title":"Bioinformatics","editor":[{"dropping-particle":"","family":"Valencia","given":"Alfonso","non-dropping-particle":"","parse-names":false,"suffix":""}],"id":"ITEM-1","issue":"13","issued":{"date-parts":[["2017","7","1"]]},"page":"1921-1929","publisher":"Oxford University Press","title":"Empirical comparison of web-based antimicrobial peptide prediction tools","type":"article-journal","volume":"33"},"uris":["http://www.mendeley.com/documents/?uuid=033fc209-0c86-312a-a771-70bc891f73bc"]}],"mendeley":{"formattedCitation":"&lt;sup&gt;112&lt;/sup&gt;","plainTextFormattedCitation":"112","previouslyFormattedCitation":"&lt;sup&gt;112&lt;/sup&gt;"},"properties":{"noteIndex":0},"schema":"https://github.com/citation-style-language/schema/raw/master/csl-citation.json"}</w:instrText>
      </w:r>
      <w:r w:rsidR="00C631D9">
        <w:fldChar w:fldCharType="separate"/>
      </w:r>
      <w:r w:rsidR="00AB6F80" w:rsidRPr="00AB6F80">
        <w:rPr>
          <w:noProof/>
          <w:vertAlign w:val="superscript"/>
        </w:rPr>
        <w:t>112</w:t>
      </w:r>
      <w:r w:rsidR="00C631D9">
        <w:fldChar w:fldCharType="end"/>
      </w:r>
      <w:r w:rsidR="00C631D9">
        <w:t xml:space="preserve">, a bias possibly caused by the </w:t>
      </w:r>
      <w:r w:rsidR="00AE6A91">
        <w:t>sets of peptides used for their training</w:t>
      </w:r>
      <w:r w:rsidR="000D5091">
        <w:t>, and have in general</w:t>
      </w:r>
      <w:r w:rsidR="001D25F5">
        <w:t xml:space="preserve"> resulted in high rates of false positives</w:t>
      </w:r>
      <w:r w:rsidR="000D5091">
        <w:fldChar w:fldCharType="begin" w:fldLock="1"/>
      </w:r>
      <w:r w:rsidR="00AE3E77">
        <w:instrText>ADDIN CSL_CITATION {"citationItems":[{"id":"ITEM-1","itemData":{"DOI":"10.1093/bib/bbab083","ISSN":"1467-5463","abstract":"&lt;p&gt;Antimicrobial peptides (AMPs) are a unique and diverse group of molecules that play a crucial role in a myriad of biological processes and cellular functions. AMP-related studies have become increasingly popular in recent years due to antimicrobial resistance, which is becoming an emerging global concern. Systematic experimental identification of AMPs faces many difficulties due to the limitations of current methods. Given its significance, more than 30 computational methods have been developed for accurate prediction of AMPs. These approaches show high diversity in their data set size, data quality, core algorithms, feature extraction, feature selection techniques and evaluation strategies. Here, we provide a comprehensive survey on a variety of current approaches for AMP identification and point at the differences between these methods. In addition, we evaluate the predictive performance of the surveyed tools based on an independent test data set containing 1536 AMPs and 1536 non-AMPs. Furthermore, we construct six validation data sets based on six different common AMP databases and compare different computational methods based on these data sets. The results indicate that amPEPpy achieves the best predictive performance and outperforms the other compared methods. As the predictive performances are affected by the different data sets used by different methods, we additionally perform the 5-fold cross-validation test to benchmark different traditional machine learning methods on the same data set. These cross-validation results indicate that random forest, support vector machine and eXtreme Gradient Boosting achieve comparatively better performances than other machine learning methods and are often the algorithms of choice of multiple AMP prediction tools.&lt;/p&gt;","author":[{"dropping-particle":"","family":"Xu","given":"Jing","non-dropping-particle":"","parse-names":false,"suffix":""},{"dropping-particle":"","family":"Li","given":"Fuyi","non-dropping-particle":"","parse-names":false,"suffix":""},{"dropping-particle":"","family":"Leier","given":"André","non-dropping-particle":"","parse-names":false,"suffix":""},{"dropping-particle":"","family":"Xiang","given":"Dongxu","non-dropping-particle":"","parse-names":false,"suffix":""},{"dropping-particle":"","family":"Shen","given":"Hsin-Hui","non-dropping-particle":"","parse-names":false,"suffix":""},{"dropping-particle":"","family":"Marquez Lago","given":"Tatiana T","non-dropping-particle":"","parse-names":false,"suffix":""},{"dropping-particle":"","family":"Li","given":"Jian","non-dropping-particle":"","parse-names":false,"suffix":""},{"dropping-particle":"","family":"Yu","given":"Dong-Jun","non-dropping-particle":"","parse-names":false,"suffix":""},{"dropping-particle":"","family":"Song","given":"Jiangning","non-dropping-particle":"","parse-names":false,"suffix":""}],"container-title":"Briefings in Bioinformatics","id":"ITEM-1","issue":"00","issued":{"date-parts":[["2021","3","27"]]},"page":"1-22","publisher":"Oxford University Press (OUP)","title":"Comprehensive assessment of machine learning-based methods for predicting antimicrobial peptides","type":"article-journal","volume":"2021"},"uris":["http://www.mendeley.com/documents/?uuid=3d48e509-72ed-3bf3-952f-b55aefc2f7cd"]}],"mendeley":{"formattedCitation":"&lt;sup&gt;115&lt;/sup&gt;","plainTextFormattedCitation":"115","previouslyFormattedCitation":"&lt;sup&gt;115&lt;/sup&gt;"},"properties":{"noteIndex":0},"schema":"https://github.com/citation-style-language/schema/raw/master/csl-citation.json"}</w:instrText>
      </w:r>
      <w:r w:rsidR="000D5091">
        <w:fldChar w:fldCharType="separate"/>
      </w:r>
      <w:r w:rsidR="00AB6F80" w:rsidRPr="00AB6F80">
        <w:rPr>
          <w:noProof/>
          <w:vertAlign w:val="superscript"/>
        </w:rPr>
        <w:t>115</w:t>
      </w:r>
      <w:r w:rsidR="000D5091">
        <w:fldChar w:fldCharType="end"/>
      </w:r>
      <w:r w:rsidR="00AE6A91">
        <w:t>. When building a new model for the prediction of AMPs, we cannot stress enough the importance of non-AMPs in the training set, which act as true negatives</w:t>
      </w:r>
      <w:r w:rsidR="00AE6A91">
        <w:fldChar w:fldCharType="begin" w:fldLock="1"/>
      </w:r>
      <w:r w:rsidR="00C1591C">
        <w:instrText>ADDIN CSL_CITATION {"citationItems":[{"id":"ITEM-1","itemData":{"DOI":"10.5772/38023","abstract":"In recent decades the activity of conventional antibiotics against pathogenic bacteria has decreased due to the development of resistance. This phenomenon has generated the so-called ‘superbugs’, which are multi-resistant bacteria. In this context, antimicrobial peptides (AMP) appear as an alternative to control them. AMPs have been found in several sources, including animals, plants and fungi, constituting the first line of host defence against pathogens. However, the use of AMPs as therapeutic agents has some limitations, such as stability, cytotoxicity and mainly their amino acid length, since amino acids are expensive building blocks. Despite these limitations they have compensatory properties, including secondary activities such as immunomodulation or antitumor ones. Several methods have been applied since the 1990s for rational AMPs design, in order to generate analogues with improved activity, looking to reduce limitations and increase advantages. Computer-aided identification and design of AMPs play a crucial role in this area. The discovery of AMP properties, through the first rational design studies, will allow the development of methods for prediction of AMPs, which in turn, should lead to identification prior to synthesis of novel analogues. Thus, this chapter will be dedicated to describing important techniques in prediction and rational design of AMPs and their applications for drug development.","author":[{"dropping-particle":"","family":"Porto","given":"William F.","non-dropping-particle":"","parse-names":false,"suffix":""},{"dropping-particle":"","family":"Silva","given":"Osmar N.","non-dropping-particle":"","parse-names":false,"suffix":""},{"dropping-particle":"","family":"Franco","given":"Octávio L.","non-dropping-particle":"","parse-names":false,"suffix":""}],"container-title":"Protein Structure","id":"ITEM-1","issued":{"date-parts":[["2012","4","20"]]},"page":"377-396","publisher":"InTech","title":"Prediction and Rational Design of Antimicrobial Peptides","type":"chapter"},"uris":["http://www.mendeley.com/documents/?uuid=473170f0-6743-3ed9-8d13-a0c3d8c7849b"]}],"mendeley":{"formattedCitation":"&lt;sup&gt;104&lt;/sup&gt;","plainTextFormattedCitation":"104","previouslyFormattedCitation":"&lt;sup&gt;104&lt;/sup&gt;"},"properties":{"noteIndex":0},"schema":"https://github.com/citation-style-language/schema/raw/master/csl-citation.json"}</w:instrText>
      </w:r>
      <w:r w:rsidR="00AE6A91">
        <w:fldChar w:fldCharType="separate"/>
      </w:r>
      <w:r w:rsidR="0019024E" w:rsidRPr="0019024E">
        <w:rPr>
          <w:noProof/>
          <w:vertAlign w:val="superscript"/>
        </w:rPr>
        <w:t>104</w:t>
      </w:r>
      <w:r w:rsidR="00AE6A91">
        <w:fldChar w:fldCharType="end"/>
      </w:r>
      <w:r w:rsidR="00AE6A91">
        <w:t>.</w:t>
      </w:r>
      <w:r w:rsidR="000D5091">
        <w:t xml:space="preserve"> Another area where current methods are</w:t>
      </w:r>
      <w:r w:rsidR="001D25F5">
        <w:t xml:space="preserve"> largely</w:t>
      </w:r>
      <w:r w:rsidR="000D5091">
        <w:t xml:space="preserve"> lacking is in the prediction of functional activities</w:t>
      </w:r>
      <w:r w:rsidR="009B3C49">
        <w:fldChar w:fldCharType="begin" w:fldLock="1"/>
      </w:r>
      <w:r w:rsidR="00AE3E77">
        <w:instrText>ADDIN CSL_CITATION {"citationItems":[{"id":"ITEM-1","itemData":{"DOI":"10.1093/bib/bbab083","ISSN":"1467-5463","abstract":"&lt;p&gt;Antimicrobial peptides (AMPs) are a unique and diverse group of molecules that play a crucial role in a myriad of biological processes and cellular functions. AMP-related studies have become increasingly popular in recent years due to antimicrobial resistance, which is becoming an emerging global concern. Systematic experimental identification of AMPs faces many difficulties due to the limitations of current methods. Given its significance, more than 30 computational methods have been developed for accurate prediction of AMPs. These approaches show high diversity in their data set size, data quality, core algorithms, feature extraction, feature selection techniques and evaluation strategies. Here, we provide a comprehensive survey on a variety of current approaches for AMP identification and point at the differences between these methods. In addition, we evaluate the predictive performance of the surveyed tools based on an independent test data set containing 1536 AMPs and 1536 non-AMPs. Furthermore, we construct six validation data sets based on six different common AMP databases and compare different computational methods based on these data sets. The results indicate that amPEPpy achieves the best predictive performance and outperforms the other compared methods. As the predictive performances are affected by the different data sets used by different methods, we additionally perform the 5-fold cross-validation test to benchmark different traditional machine learning methods on the same data set. These cross-validation results indicate that random forest, support vector machine and eXtreme Gradient Boosting achieve comparatively better performances than other machine learning methods and are often the algorithms of choice of multiple AMP prediction tools.&lt;/p&gt;","author":[{"dropping-particle":"","family":"Xu","given":"Jing","non-dropping-particle":"","parse-names":false,"suffix":""},{"dropping-particle":"","family":"Li","given":"Fuyi","non-dropping-particle":"","parse-names":false,"suffix":""},{"dropping-particle":"","family":"Leier","given":"André","non-dropping-particle":"","parse-names":false,"suffix":""},{"dropping-particle":"","family":"Xiang","given":"Dongxu","non-dropping-particle":"","parse-names":false,"suffix":""},{"dropping-particle":"","family":"Shen","given":"Hsin-Hui","non-dropping-particle":"","parse-names":false,"suffix":""},{"dropping-particle":"","family":"Marquez Lago","given":"Tatiana T","non-dropping-particle":"","parse-names":false,"suffix":""},{"dropping-particle":"","family":"Li","given":"Jian","non-dropping-particle":"","parse-names":false,"suffix":""},{"dropping-particle":"","family":"Yu","given":"Dong-Jun","non-dropping-particle":"","parse-names":false,"suffix":""},{"dropping-particle":"","family":"Song","given":"Jiangning","non-dropping-particle":"","parse-names":false,"suffix":""}],"container-title":"Briefings in Bioinformatics","id":"ITEM-1","issue":"00","issued":{"date-parts":[["2021","3","27"]]},"page":"1-22","publisher":"Oxford University Press (OUP)","title":"Comprehensive assessment of machine learning-based methods for predicting antimicrobial peptides","type":"article-journal","volume":"2021"},"uris":["http://www.mendeley.com/documents/?uuid=3d48e509-72ed-3bf3-952f-b55aefc2f7cd"]}],"mendeley":{"formattedCitation":"&lt;sup&gt;115&lt;/sup&gt;","plainTextFormattedCitation":"115","previouslyFormattedCitation":"&lt;sup&gt;115&lt;/sup&gt;"},"properties":{"noteIndex":0},"schema":"https://github.com/citation-style-language/schema/raw/master/csl-citation.json"}</w:instrText>
      </w:r>
      <w:r w:rsidR="009B3C49">
        <w:fldChar w:fldCharType="separate"/>
      </w:r>
      <w:r w:rsidR="00AB6F80" w:rsidRPr="00AB6F80">
        <w:rPr>
          <w:noProof/>
          <w:vertAlign w:val="superscript"/>
        </w:rPr>
        <w:t>115</w:t>
      </w:r>
      <w:r w:rsidR="009B3C49">
        <w:fldChar w:fldCharType="end"/>
      </w:r>
      <w:r w:rsidR="000D5091">
        <w:t xml:space="preserve">, which is the prediction of </w:t>
      </w:r>
      <w:r w:rsidR="009B3C49">
        <w:t>the specific kind of antimicrobial activity (antibacterial, antifungal, antiviral, etc)</w:t>
      </w:r>
      <w:r w:rsidR="00AE3E77">
        <w:t>, and is attempted by only a limited number of tools.</w:t>
      </w:r>
    </w:p>
    <w:p w14:paraId="78464627" w14:textId="39635D92" w:rsidR="00975729" w:rsidRDefault="00A74090" w:rsidP="00605644">
      <w:pPr>
        <w:pStyle w:val="LO-normal"/>
        <w:jc w:val="both"/>
      </w:pPr>
      <w:r>
        <w:t xml:space="preserve">In the next section, we will detail the methodologies of some of these prediction tools, with a special focus on machine learning. It is one of the best available strategies for identifying patterns in large datasets, </w:t>
      </w:r>
      <w:r w:rsidR="00913BA5">
        <w:t>with many different implementations: these range from complex, resource-intensive models to simpler regression tools that even novices in the field can apply.</w:t>
      </w:r>
    </w:p>
    <w:p w14:paraId="6DD9821A" w14:textId="77777777" w:rsidR="001529CF" w:rsidRDefault="00492337">
      <w:pPr>
        <w:pStyle w:val="Heading2"/>
        <w:spacing w:after="80" w:line="276" w:lineRule="auto"/>
        <w:jc w:val="both"/>
      </w:pPr>
      <w:r>
        <w:t>A Brief Introduction to Machine Learning in the field of AMPs</w:t>
      </w:r>
    </w:p>
    <w:p w14:paraId="4C610D4A" w14:textId="11341176" w:rsidR="001529CF" w:rsidRDefault="00492337">
      <w:pPr>
        <w:pStyle w:val="LO-normal"/>
        <w:spacing w:before="240" w:after="120"/>
        <w:jc w:val="both"/>
      </w:pPr>
      <w:r>
        <w:t>Quantitative Structure-Activity Relationship (QSAR) modelling is a long-standing approach that aims to predict properties of chemicals by analysing the underlying molecular descriptors</w:t>
      </w:r>
      <w:r>
        <w:fldChar w:fldCharType="begin" w:fldLock="1"/>
      </w:r>
      <w:r w:rsidR="00386CB6">
        <w:instrText>ADDIN CSL_CITATION {"citationItems":[{"id":"ITEM-1","itemData":{"DOI":"10.1021/jm4004285","ISSN":"15204804","PMID":"24351051","abstract":"Quantitative structure-activity relationship modeling is one of the major computational tools employed in medicinal chemistry. However, throughout its entire history it has drawn both praise and criticism concerning its reliability, limitations, successes, and failures. In this paper, we discuss (i) the development and evolution of QSAR; (ii) the current trends, unsolved problems, and pressing challenges; and (iii) several novel and emerging applications of QSAR modeling. Throughout this discussion, we provide guidelines for QSAR development, validation, and application, which are summarized in best practices for building rigorously validated and externally predictive QSAR models. We hope that this Perspective will help communications between computational and experimental chemists toward collaborative development and use of QSAR models. We also believe that the guidelines presented here will help journal editors and reviewers apply more stringent scientific standards to manuscripts reporting new QSAR studies, as well as encourage the use of high quality, validated QSARs for regulatory decision making. © 2013 American Chemical Society.","author":[{"dropping-particle":"","family":"Cherkasov","given":"Artem","non-dropping-particle":"","parse-names":false,"suffix":""},{"dropping-particle":"","family":"Muratov","given":"Eugene N.","non-dropping-particle":"","parse-names":false,"suffix":""},{"dropping-particle":"","family":"Fourches","given":"Denis","non-dropping-particle":"","parse-names":false,"suffix":""},{"dropping-particle":"","family":"Varnek","given":"Alexandre","non-dropping-particle":"","parse-names":false,"suffix":""},{"dropping-particle":"","family":"Baskin","given":"Igor I.","non-dropping-particle":"","parse-names":false,"suffix":""},{"dropping-particle":"","family":"Cronin","given":"Mark","non-dropping-particle":"","parse-names":false,"suffix":""},{"dropping-particle":"","family":"Dearden","given":"John","non-dropping-particle":"","parse-names":false,"suffix":""},{"dropping-particle":"","family":"Gramatica","given":"Paola","non-dropping-particle":"","parse-names":false,"suffix":""},{"dropping-particle":"","family":"Martin","given":"Yvonne C.","non-dropping-particle":"","parse-names":false,"suffix":""},{"dropping-particle":"","family":"Todeschini","given":"Roberto","non-dropping-particle":"","parse-names":false,"suffix":""},{"dropping-particle":"","family":"Consonni","given":"Viviana","non-dropping-particle":"","parse-names":false,"suffix":""},{"dropping-particle":"","family":"Kuz'Min","given":"Victor E.","non-dropping-particle":"","parse-names":false,"suffix":""},{"dropping-particle":"","family":"Cramer","given":"Richard","non-dropping-particle":"","parse-names":false,"suffix":""},{"dropping-particle":"","family":"Benigni","given":"Romualdo","non-dropping-particle":"","parse-names":false,"suffix":""},{"dropping-particle":"","family":"Yang","given":"Chihae","non-dropping-particle":"","parse-names":false,"suffix":""},{"dropping-particle":"","family":"Rathman","given":"James","non-dropping-particle":"","parse-names":false,"suffix":""},{"dropping-particle":"","family":"Terfloth","given":"Lothar","non-dropping-particle":"","parse-names":false,"suffix":""},{"dropping-particle":"","family":"Gasteiger","given":"Johann","non-dropping-particle":"","parse-names":false,"suffix":""},{"dropping-particle":"","family":"Richard","given":"Ann","non-dropping-particle":"","parse-names":false,"suffix":""},{"dropping-particle":"","family":"Tropsha","given":"Alexander","non-dropping-particle":"","parse-names":false,"suffix":""}],"container-title":"Journal of Medicinal Chemistry","id":"ITEM-1","issue":"12","issued":{"date-parts":[["2014","6","26"]]},"page":"4977-5010","publisher":"American Chemical Society","title":"QSAR modeling: Where have you been? Where are you going to?","type":"article-journal","volume":"57"},"uris":["http://www.mendeley.com/documents/?uuid=a73529f0-2158-3986-a4f6-4d82d2acff54"]}],"mendeley":{"formattedCitation":"&lt;sup&gt;126&lt;/sup&gt;","plainTextFormattedCitation":"126","previouslyFormattedCitation":"&lt;sup&gt;126&lt;/sup&gt;"},"properties":{"noteIndex":0},"schema":"https://github.com/citation-style-language/schema/raw/master/csl-citation.json"}</w:instrText>
      </w:r>
      <w:r>
        <w:fldChar w:fldCharType="separate"/>
      </w:r>
      <w:r w:rsidR="00AB6F80" w:rsidRPr="00AB6F80">
        <w:rPr>
          <w:noProof/>
          <w:vertAlign w:val="superscript"/>
        </w:rPr>
        <w:t>126</w:t>
      </w:r>
      <w:r>
        <w:fldChar w:fldCharType="end"/>
      </w:r>
      <w:r>
        <w:t xml:space="preserve">. An example of this would be to predict the boiling point of a molecule by comparing its functional groups with those of molecules whose boiling point is known, and using this analysis to infer a relationship between structure and properties. In recent years, this approach has taken advantage of Machine learning (ML) algorithms, sometimes referred to as Artificial Intelligence (AI). These are computational tools that use statistics to find and learn patterns in massive amounts of data; specific implementations vary widely, but generally speaking ML tools use a portion of the available data, known as the training set, to establish which features correlate more strongly with </w:t>
      </w:r>
      <w:r>
        <w:lastRenderedPageBreak/>
        <w:t>the objective property, and then test that hypothesis on the rest of the data, called the test set. This kind of ML is known as supervised learning.</w:t>
      </w:r>
    </w:p>
    <w:p w14:paraId="4247B4D0" w14:textId="24C0E817" w:rsidR="001529CF" w:rsidRDefault="00492337">
      <w:pPr>
        <w:pStyle w:val="LO-normal"/>
        <w:spacing w:before="240" w:after="120"/>
        <w:jc w:val="both"/>
      </w:pPr>
      <w:r>
        <w:t>ML methods have found application in virtually every field even beyond chemistry, and AMPs are no exception: recent innovations in ML algorithms and the availability of better quality AMP datasets have enabled ML-aided prediction and design of AMP candidates</w:t>
      </w:r>
      <w:r>
        <w:fldChar w:fldCharType="begin" w:fldLock="1"/>
      </w:r>
      <w:r w:rsidR="00AB6F80">
        <w:instrText>ADDIN CSL_CITATION {"citationItems":[{"id":"ITEM-1","itemData":{"DOI":"10.2174/157341210791202645","ISSN":"15734129","abstract":"An increasing number of reported cases of drug resistant Staphylococcus aureus and Pseudomonas aeruginosa, demonstrate the urgent need for new therapeutics that are effective against such and other multi-drug resistant bacteria. Antimicrobial peptides have for two decades now been looked upon as interesting leads for development of new therapeutics combating these drug resistant microbes. High-throughput screening of peptide libraries have generated large amounts of information on peptide activities. How- ever, scientists still struggle with explaining the specific peptide motifs resulting in antimicrobial activity. Consequently, the majority of peptides put into clinical trials have failed at some point, underlining the importance of a thorough peptide optimization. An important tool in peptide design and optimization is quantitative structure-activity relationship (QSAR) analysis, correlating chemical parameters with biological activities of the peptide, using statistical methods. In this review we will discuss two different in silico strategies of computer-aided antibacterial peptide design, a linear correlation model build as an extension of traditional principal component analysis (PCA) and a non-linear artificial neural network model. Studies on structurally diverse peptides, have concluded that the PCA derived model are able to guide the antibacterial peptide design in a meaningful way, however requiring rather a high homology between the peptides in the test-set and the in silico library, to ensure a successful prediction. In contrast, the neural network model, though significantly less explored in relation to antimicrobial peptide design, has proven extremely promising, demonstrating impressive prediction success and ranking of random peptide libraries correlating well with measured activities. © 2010 Bentham Science Publishers Ltd.","author":[{"dropping-particle":"","family":"D. Fjell","given":"Christopher","non-dropping-particle":"","parse-names":false,"suffix":""},{"dropping-particle":"","family":"E.W. Hancock","given":"Robert","non-dropping-particle":"","parse-names":false,"suffix":""},{"dropping-particle":"","family":"Jenssen","given":"Havard","non-dropping-particle":"","parse-names":false,"suffix":""}],"container-title":"Current Pharmaceutical Analysis","id":"ITEM-1","issue":"2","issued":{"date-parts":[["2010","5","1"]]},"page":"66-75","publisher":"Bentham Science Publishers Ltd.","title":"Computer-Aided Design of Antimicrobial Peptides","type":"article-journal","volume":"6"},"uris":["http://www.mendeley.com/documents/?uuid=726fb146-16a3-3fda-b592-ecdf10ae8277"]}],"mendeley":{"formattedCitation":"&lt;sup&gt;127&lt;/sup&gt;","plainTextFormattedCitation":"127","previouslyFormattedCitation":"&lt;sup&gt;127&lt;/sup&gt;"},"properties":{"noteIndex":0},"schema":"https://github.com/citation-style-language/schema/raw/master/csl-citation.json"}</w:instrText>
      </w:r>
      <w:r>
        <w:fldChar w:fldCharType="separate"/>
      </w:r>
      <w:r w:rsidR="00AB6F80" w:rsidRPr="00AB6F80">
        <w:rPr>
          <w:noProof/>
          <w:vertAlign w:val="superscript"/>
        </w:rPr>
        <w:t>127</w:t>
      </w:r>
      <w:r>
        <w:fldChar w:fldCharType="end"/>
      </w:r>
      <w:r>
        <w:t>. ML applied to AMP sequences</w:t>
      </w:r>
      <w:r>
        <w:fldChar w:fldCharType="begin" w:fldLock="1"/>
      </w:r>
      <w:r w:rsidR="00386CB6">
        <w:instrText>ADDIN CSL_CITATION {"citationItems":[{"id":"ITEM-1","itemData":{"DOI":"10.1098/rsfs.2016.0153","ISSN":"20428901","abstract":"Antimicrobial peptides (AMPs) are a diverse class of well-studied membranepermeating peptides with important functions in innate host defense. In this short review, we provide a historical overview of AMPs, summarize previous applications of machine learning to AMPs, and discuss the results of our studies in the context of the latest AMP literature. Much work has been recently done in leveraging computational tools to design new AMP candidates with high therapeutic efficacies for drug-resistant infections. We show that machine learning on AMPs can be used to identify essential physicochemical determinants of AMP functionality, and identify and design peptide sequences to generate membrane curvature. In a broader scope, we discuss the implications of our findings for the discovery of membrane-active peptides in general, and uncovering membrane activity in new and existing peptide taxonomies.","author":[{"dropping-particle":"","family":"Lee","given":"Ernest Y.","non-dropping-particle":"","parse-names":false,"suffix":""},{"dropping-particle":"","family":"Lee","given":"Michelle W.","non-dropping-particle":"","parse-names":false,"suffix":""},{"dropping-particle":"","family":"Fulan","given":"Benjamin M.","non-dropping-particle":"","parse-names":false,"suffix":""},{"dropping-particle":"","family":"Ferguson","given":"Andrew L.","non-dropping-particle":"","parse-names":false,"suffix":""},{"dropping-particle":"","family":"Wong","given":"Gerard C.L.","non-dropping-particle":"","parse-names":false,"suffix":""}],"container-title":"Interface Focus","id":"ITEM-1","issue":"6","issued":{"date-parts":[["2017","12","6"]]},"page":"20160153","publisher":"Royal Society Publishing","title":"What can machine learning do for antimicrobial peptides, and what can antimicrobial peptides do for machine learning?","type":"article-journal","volume":"7"},"uris":["http://www.mendeley.com/documents/?uuid=9cf34b80-7fc8-3e60-afe0-4a8132cefef7"]}],"mendeley":{"formattedCitation":"&lt;sup&gt;128&lt;/sup&gt;","plainTextFormattedCitation":"128","previouslyFormattedCitation":"&lt;sup&gt;128&lt;/sup&gt;"},"properties":{"noteIndex":0},"schema":"https://github.com/citation-style-language/schema/raw/master/csl-citation.json"}</w:instrText>
      </w:r>
      <w:r>
        <w:fldChar w:fldCharType="separate"/>
      </w:r>
      <w:r w:rsidR="00AB6F80" w:rsidRPr="00AB6F80">
        <w:rPr>
          <w:noProof/>
          <w:vertAlign w:val="superscript"/>
        </w:rPr>
        <w:t>128</w:t>
      </w:r>
      <w:r>
        <w:fldChar w:fldCharType="end"/>
      </w:r>
      <w:r>
        <w:t xml:space="preserve"> involves statistical learning to infer empirical relationships between amino acid composition and physico-chemical properties of peptides with antimicrobial activity. These models can be used to (a) predict AMP activity (binary classification) (b) predict the mode of action and (c) predict the efficacy of antimicrobial activity (multi-label classification model or regression). The amino acid sequences of peptides are annotated with associated physico-chemical properties, and these are used as feature vectors for training the algorithms. Depending on the availability of training data, the prediction models can be further tuned to understand sequence-activity relationships in AMPs and to design AMPs with enhanced potency and antimicrobial efficacy; methods of choice for prediction models include support vector machine (SVM), k-nearest neighbor algorithm (KNN), random forests (RFs), and artificial neural network (ANN), among others. We refer to table </w:t>
      </w:r>
      <w:r w:rsidR="00686AFA">
        <w:t>4</w:t>
      </w:r>
      <w:r w:rsidR="00913BA5">
        <w:t xml:space="preserve"> </w:t>
      </w:r>
      <w:r>
        <w:t>for a summary of</w:t>
      </w:r>
      <w:r w:rsidR="006A52A9">
        <w:t xml:space="preserve"> </w:t>
      </w:r>
      <w:r w:rsidR="0010299C">
        <w:t xml:space="preserve">the more </w:t>
      </w:r>
      <w:r w:rsidR="006A52A9">
        <w:t>common</w:t>
      </w:r>
      <w:r>
        <w:t xml:space="preserve"> ML methods that have been used in AMP research. These methods, as mentioned, try to find patterns in the AMP properties, and the most commonly used features for this purpose are peptide length, molecular weight, amino acid composition, charge, lipophilicity, and net charge, although they are by no means limited to these. </w:t>
      </w:r>
      <w:r w:rsidR="0085729B">
        <w:t xml:space="preserve">Figure 3 shows a schematic representation of a typical ML workflow, applied to the field of AMPs. </w:t>
      </w:r>
      <w:r>
        <w:t>In the next few paragraphs we will highlight specific studies that have employed ML tools to investigate the AMP character of new sequences or to understand properties of known AMPs.</w:t>
      </w:r>
    </w:p>
    <w:p w14:paraId="53F05CBD" w14:textId="5F05C528" w:rsidR="001529CF" w:rsidRDefault="00D6767C" w:rsidP="00D53A98">
      <w:pPr>
        <w:pStyle w:val="LO-normal"/>
      </w:pPr>
      <w:r>
        <w:t xml:space="preserve">Table </w:t>
      </w:r>
      <w:r w:rsidR="00686AFA">
        <w:t>4</w:t>
      </w:r>
      <w:r>
        <w:t>: Commonly used Machine Learning (ML) Methods in AMP Research.</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80" w:type="dxa"/>
          <w:bottom w:w="100" w:type="dxa"/>
          <w:right w:w="100" w:type="dxa"/>
        </w:tblCellMar>
        <w:tblLook w:val="04A0" w:firstRow="1" w:lastRow="0" w:firstColumn="1" w:lastColumn="0" w:noHBand="0" w:noVBand="1"/>
      </w:tblPr>
      <w:tblGrid>
        <w:gridCol w:w="3120"/>
        <w:gridCol w:w="4866"/>
        <w:gridCol w:w="1374"/>
      </w:tblGrid>
      <w:tr w:rsidR="001529CF" w14:paraId="0A349F6E" w14:textId="77777777">
        <w:tc>
          <w:tcPr>
            <w:tcW w:w="3120" w:type="dxa"/>
            <w:tcBorders>
              <w:top w:val="single" w:sz="8" w:space="0" w:color="000000"/>
              <w:left w:val="single" w:sz="8" w:space="0" w:color="000000"/>
              <w:bottom w:val="single" w:sz="8" w:space="0" w:color="000000"/>
              <w:right w:val="single" w:sz="8" w:space="0" w:color="000000"/>
            </w:tcBorders>
            <w:shd w:val="clear" w:color="auto" w:fill="auto"/>
          </w:tcPr>
          <w:p w14:paraId="47229BF2" w14:textId="77777777" w:rsidR="001529CF" w:rsidRDefault="00492337">
            <w:pPr>
              <w:pStyle w:val="LO-normal"/>
              <w:widowControl w:val="0"/>
              <w:spacing w:line="240" w:lineRule="auto"/>
              <w:rPr>
                <w:b/>
              </w:rPr>
            </w:pPr>
            <w:r>
              <w:rPr>
                <w:b/>
              </w:rPr>
              <w:t>Method</w:t>
            </w:r>
          </w:p>
        </w:tc>
        <w:tc>
          <w:tcPr>
            <w:tcW w:w="4866" w:type="dxa"/>
            <w:tcBorders>
              <w:top w:val="single" w:sz="8" w:space="0" w:color="000000"/>
              <w:left w:val="single" w:sz="8" w:space="0" w:color="000000"/>
              <w:bottom w:val="single" w:sz="8" w:space="0" w:color="000000"/>
              <w:right w:val="single" w:sz="8" w:space="0" w:color="000000"/>
            </w:tcBorders>
            <w:shd w:val="clear" w:color="auto" w:fill="auto"/>
          </w:tcPr>
          <w:p w14:paraId="15C5723A" w14:textId="77777777" w:rsidR="001529CF" w:rsidRDefault="00492337">
            <w:pPr>
              <w:pStyle w:val="LO-normal"/>
              <w:widowControl w:val="0"/>
              <w:spacing w:line="240" w:lineRule="auto"/>
              <w:rPr>
                <w:b/>
              </w:rPr>
            </w:pPr>
            <w:r>
              <w:rPr>
                <w:b/>
              </w:rPr>
              <w:t>Description</w:t>
            </w:r>
          </w:p>
        </w:tc>
        <w:tc>
          <w:tcPr>
            <w:tcW w:w="1374" w:type="dxa"/>
            <w:tcBorders>
              <w:top w:val="single" w:sz="8" w:space="0" w:color="000000"/>
              <w:left w:val="single" w:sz="8" w:space="0" w:color="000000"/>
              <w:bottom w:val="single" w:sz="8" w:space="0" w:color="000000"/>
              <w:right w:val="single" w:sz="8" w:space="0" w:color="000000"/>
            </w:tcBorders>
            <w:shd w:val="clear" w:color="auto" w:fill="auto"/>
          </w:tcPr>
          <w:p w14:paraId="52BBD058" w14:textId="77777777" w:rsidR="001529CF" w:rsidRDefault="00492337">
            <w:pPr>
              <w:pStyle w:val="LO-normal"/>
              <w:widowControl w:val="0"/>
              <w:spacing w:line="240" w:lineRule="auto"/>
              <w:rPr>
                <w:b/>
              </w:rPr>
            </w:pPr>
            <w:r>
              <w:rPr>
                <w:b/>
              </w:rPr>
              <w:t>Reference</w:t>
            </w:r>
          </w:p>
        </w:tc>
      </w:tr>
      <w:tr w:rsidR="001529CF" w14:paraId="19A7425F" w14:textId="77777777">
        <w:tc>
          <w:tcPr>
            <w:tcW w:w="3120" w:type="dxa"/>
            <w:tcBorders>
              <w:top w:val="single" w:sz="8" w:space="0" w:color="000000"/>
              <w:left w:val="single" w:sz="8" w:space="0" w:color="000000"/>
              <w:bottom w:val="single" w:sz="8" w:space="0" w:color="000000"/>
              <w:right w:val="single" w:sz="8" w:space="0" w:color="000000"/>
            </w:tcBorders>
            <w:shd w:val="clear" w:color="auto" w:fill="auto"/>
          </w:tcPr>
          <w:p w14:paraId="1FD5022D" w14:textId="77777777" w:rsidR="001529CF" w:rsidRDefault="00492337">
            <w:pPr>
              <w:pStyle w:val="LO-normal"/>
              <w:widowControl w:val="0"/>
              <w:spacing w:line="240" w:lineRule="auto"/>
            </w:pPr>
            <w:r>
              <w:t>Support Vector Machine (SVM)</w:t>
            </w:r>
          </w:p>
        </w:tc>
        <w:tc>
          <w:tcPr>
            <w:tcW w:w="4866" w:type="dxa"/>
            <w:tcBorders>
              <w:top w:val="single" w:sz="8" w:space="0" w:color="000000"/>
              <w:left w:val="single" w:sz="8" w:space="0" w:color="000000"/>
              <w:bottom w:val="single" w:sz="8" w:space="0" w:color="000000"/>
              <w:right w:val="single" w:sz="8" w:space="0" w:color="000000"/>
            </w:tcBorders>
            <w:shd w:val="clear" w:color="auto" w:fill="auto"/>
          </w:tcPr>
          <w:p w14:paraId="49C12933" w14:textId="77777777" w:rsidR="001529CF" w:rsidRDefault="00492337">
            <w:pPr>
              <w:pStyle w:val="LO-normal"/>
              <w:widowControl w:val="0"/>
              <w:spacing w:line="240" w:lineRule="auto"/>
              <w:jc w:val="both"/>
            </w:pPr>
            <w:r>
              <w:t>Supervised learning algorithm that finds a hyperplane that satisfactorily separates known data in categories, and uses that to categorise new data. Accurate, less computationally demanding, and particularly well-suited to categorisation problems.</w:t>
            </w:r>
          </w:p>
        </w:tc>
        <w:tc>
          <w:tcPr>
            <w:tcW w:w="1374" w:type="dxa"/>
            <w:tcBorders>
              <w:top w:val="single" w:sz="8" w:space="0" w:color="000000"/>
              <w:left w:val="single" w:sz="8" w:space="0" w:color="000000"/>
              <w:bottom w:val="single" w:sz="8" w:space="0" w:color="000000"/>
              <w:right w:val="single" w:sz="8" w:space="0" w:color="000000"/>
            </w:tcBorders>
            <w:shd w:val="clear" w:color="auto" w:fill="auto"/>
          </w:tcPr>
          <w:p w14:paraId="125673DB" w14:textId="1A67480C" w:rsidR="001529CF" w:rsidRDefault="00492337" w:rsidP="00AB6F80">
            <w:pPr>
              <w:pStyle w:val="LO-normal"/>
              <w:widowControl w:val="0"/>
              <w:spacing w:line="240" w:lineRule="auto"/>
              <w:rPr>
                <w:rStyle w:val="ListLabel118"/>
                <w:vertAlign w:val="baseline"/>
              </w:rPr>
            </w:pPr>
            <w:r>
              <w:rPr>
                <w:rStyle w:val="ListLabel118"/>
              </w:rPr>
              <w:fldChar w:fldCharType="begin" w:fldLock="1"/>
            </w:r>
            <w:r w:rsidR="00AB6F80">
              <w:rPr>
                <w:rStyle w:val="ListLabel118"/>
              </w:rPr>
              <w:instrText>ADDIN CSL_CITATION {"citationItems":[{"id":"ITEM-1","itemData":{"DOI":"10.1023/A:1022627411411","ISSN":"15730565","abstract":"The support-vector network is a new learning machine for two-group classification problems. The machine conceptually implements the following idea: input vectors are non-linearly mapped to a very high-dimension feature space. In this feature space a linear decision surface is constructed. Special properties of the decision surface ensures high generalization ability of the learning machine. The idea behind the support-vector network was previously implemented for the restricted case where the training data can be separated without errors. We here extend this result to non-separable training data. High generalization ability of support-vector networks utilizing polynomial input transformations is demonstrated. We also compare the performance of the support-vector network to various classical learning algorithms that all took part in a benchmark study of Optical Character Recognition. © 1995, Kluwer Academic Publishers. All rights reserved.","author":[{"dropping-particle":"","family":"Cortes","given":"Corinna","non-dropping-particle":"","parse-names":false,"suffix":""},{"dropping-particle":"","family":"Vapnik","given":"Vladimir","non-dropping-particle":"","parse-names":false,"suffix":""}],"container-title":"Machine Learning","id":"ITEM-1","issue":"3","issued":{"date-parts":[["1995"]]},"page":"273-297","publisher":"Springer","title":"Support-Vector Networks","type":"article-journal","volume":"20"},"uris":["http://www.mendeley.com/documents/?uuid=3fd6dcda-b481-322f-9474-ca39cebaad81"]}],"mendeley":{"formattedCitation":"&lt;sup&gt;129&lt;/sup&gt;","plainTextFormattedCitation":"129","previouslyFormattedCitation":"&lt;sup&gt;129&lt;/sup&gt;"},"properties":{"noteIndex":0},"schema":"https://github.com/citation-style-language/schema/raw/master/csl-citation.json"}</w:instrText>
            </w:r>
            <w:r>
              <w:rPr>
                <w:rStyle w:val="ListLabel118"/>
              </w:rPr>
              <w:fldChar w:fldCharType="separate"/>
            </w:r>
            <w:r w:rsidR="00AB6F80" w:rsidRPr="00AB6F80">
              <w:rPr>
                <w:rStyle w:val="ListLabel118"/>
                <w:noProof/>
              </w:rPr>
              <w:t>129</w:t>
            </w:r>
            <w:r>
              <w:rPr>
                <w:rStyle w:val="ListLabel118"/>
              </w:rPr>
              <w:fldChar w:fldCharType="end"/>
            </w:r>
          </w:p>
        </w:tc>
      </w:tr>
      <w:tr w:rsidR="001529CF" w14:paraId="68147A71" w14:textId="77777777">
        <w:tc>
          <w:tcPr>
            <w:tcW w:w="3120" w:type="dxa"/>
            <w:tcBorders>
              <w:top w:val="single" w:sz="8" w:space="0" w:color="000000"/>
              <w:left w:val="single" w:sz="8" w:space="0" w:color="000000"/>
              <w:bottom w:val="single" w:sz="8" w:space="0" w:color="000000"/>
              <w:right w:val="single" w:sz="8" w:space="0" w:color="000000"/>
            </w:tcBorders>
            <w:shd w:val="clear" w:color="auto" w:fill="auto"/>
          </w:tcPr>
          <w:p w14:paraId="40A9F7A0" w14:textId="77777777" w:rsidR="001529CF" w:rsidRDefault="00492337">
            <w:pPr>
              <w:pStyle w:val="LO-normal"/>
              <w:widowControl w:val="0"/>
              <w:spacing w:line="240" w:lineRule="auto"/>
            </w:pPr>
            <w:r>
              <w:t>k-Nearest Neighbour (KNN)</w:t>
            </w:r>
          </w:p>
        </w:tc>
        <w:tc>
          <w:tcPr>
            <w:tcW w:w="4866" w:type="dxa"/>
            <w:tcBorders>
              <w:top w:val="single" w:sz="8" w:space="0" w:color="000000"/>
              <w:left w:val="single" w:sz="8" w:space="0" w:color="000000"/>
              <w:bottom w:val="single" w:sz="8" w:space="0" w:color="000000"/>
              <w:right w:val="single" w:sz="8" w:space="0" w:color="000000"/>
            </w:tcBorders>
            <w:shd w:val="clear" w:color="auto" w:fill="auto"/>
          </w:tcPr>
          <w:p w14:paraId="538D890B" w14:textId="77777777" w:rsidR="001529CF" w:rsidRDefault="00492337">
            <w:pPr>
              <w:pStyle w:val="LO-normal"/>
              <w:widowControl w:val="0"/>
              <w:spacing w:line="240" w:lineRule="auto"/>
              <w:jc w:val="both"/>
            </w:pPr>
            <w:r>
              <w:t>Supervised learning algorithm that divides known data based on proximity. Easy to implement, but may scale poorly with larger data sets.</w:t>
            </w:r>
          </w:p>
        </w:tc>
        <w:tc>
          <w:tcPr>
            <w:tcW w:w="1374" w:type="dxa"/>
            <w:tcBorders>
              <w:top w:val="single" w:sz="8" w:space="0" w:color="000000"/>
              <w:left w:val="single" w:sz="8" w:space="0" w:color="000000"/>
              <w:bottom w:val="single" w:sz="8" w:space="0" w:color="000000"/>
              <w:right w:val="single" w:sz="8" w:space="0" w:color="000000"/>
            </w:tcBorders>
            <w:shd w:val="clear" w:color="auto" w:fill="auto"/>
          </w:tcPr>
          <w:p w14:paraId="77CF559E" w14:textId="74A2269A" w:rsidR="001529CF" w:rsidRDefault="00492337" w:rsidP="00AB6F80">
            <w:pPr>
              <w:pStyle w:val="LO-normal"/>
              <w:widowControl w:val="0"/>
              <w:spacing w:line="240" w:lineRule="auto"/>
              <w:rPr>
                <w:rStyle w:val="ListLabel118"/>
                <w:vertAlign w:val="baseline"/>
              </w:rPr>
            </w:pPr>
            <w:r>
              <w:rPr>
                <w:rStyle w:val="ListLabel118"/>
              </w:rPr>
              <w:fldChar w:fldCharType="begin" w:fldLock="1"/>
            </w:r>
            <w:r w:rsidR="00AB6F80">
              <w:rPr>
                <w:rStyle w:val="ListLabel118"/>
              </w:rPr>
              <w:instrText>ADDIN CSL_CITATION {"citationItems":[{"id":"ITEM-1","itemData":{"DOI":"10.1016/0165-0114(86)90004-7","ISSN":"01650114","abstract":"This paper discusses a suitable framework for generalizing the k-nearest neighbor (k-NNR) algorithms to cases where the design labels are not necessarily crisp, i.e., not binary-valued. The proposed framework imbeds all crisp k-NNR's into a larger structure of fuzzy k-NNR's. The resultant model enables neighborhood voting to be a continuous function of local labels at a point to be classified. We emphasize that the decision itself may be crisp even when a fuzzy k-NNR is utilized. The usefulness of this extension of the conventional technique is illustrated by comparing the observed error rates of four classifiers (the hard k-NNR, two fuzzy k-NNR's, and a fuzzy 1-nearest prototype rule (1-NPR) on three data sets: Anderson's Iris data, and samples from (synthetic) univariate and bivariate normal mixtures. Our conclusions: all four designs yield comparable (usually within 4%) error rates; the Fuzzy c-Means (FCM) based k-NNR is usually the best design; the FCM/1-NPR is the most efficient and perhaps most useful of the four designs; and finally, that generalized NNR's are an important and useful extension of the conventional ones. © 1986.","author":[{"dropping-particle":"","family":"Bezdek","given":"James C.","non-dropping-particle":"","parse-names":false,"suffix":""},{"dropping-particle":"","family":"Chuah","given":"Siew K.","non-dropping-particle":"","parse-names":false,"suffix":""},{"dropping-particle":"","family":"Leep","given":"David","non-dropping-particle":"","parse-names":false,"suffix":""}],"container-title":"Fuzzy Sets and Systems","id":"ITEM-1","issue":"3","issued":{"date-parts":[["1986","4","1"]]},"page":"237-256","publisher":"North-Holland","title":"Generalized k-nearest neighbor rules","type":"article-journal","volume":"18"},"uris":["http://www.mendeley.com/documents/?uuid=db63dff2-f3a2-3a02-a6aa-2b8b6c2f054e"]}],"mendeley":{"formattedCitation":"&lt;sup&gt;130&lt;/sup&gt;","plainTextFormattedCitation":"130","previouslyFormattedCitation":"&lt;sup&gt;130&lt;/sup&gt;"},"properties":{"noteIndex":0},"schema":"https://github.com/citation-style-language/schema/raw/master/csl-citation.json"}</w:instrText>
            </w:r>
            <w:r>
              <w:rPr>
                <w:rStyle w:val="ListLabel118"/>
              </w:rPr>
              <w:fldChar w:fldCharType="separate"/>
            </w:r>
            <w:r w:rsidR="00AB6F80" w:rsidRPr="00AB6F80">
              <w:rPr>
                <w:rStyle w:val="ListLabel118"/>
                <w:noProof/>
              </w:rPr>
              <w:t>130</w:t>
            </w:r>
            <w:r>
              <w:rPr>
                <w:rStyle w:val="ListLabel118"/>
              </w:rPr>
              <w:fldChar w:fldCharType="end"/>
            </w:r>
          </w:p>
        </w:tc>
      </w:tr>
      <w:tr w:rsidR="001529CF" w14:paraId="7E58C24F" w14:textId="77777777">
        <w:tc>
          <w:tcPr>
            <w:tcW w:w="3120" w:type="dxa"/>
            <w:tcBorders>
              <w:top w:val="single" w:sz="8" w:space="0" w:color="000000"/>
              <w:left w:val="single" w:sz="8" w:space="0" w:color="000000"/>
              <w:bottom w:val="single" w:sz="8" w:space="0" w:color="000000"/>
              <w:right w:val="single" w:sz="8" w:space="0" w:color="000000"/>
            </w:tcBorders>
            <w:shd w:val="clear" w:color="auto" w:fill="auto"/>
          </w:tcPr>
          <w:p w14:paraId="74AA3E8E" w14:textId="77777777" w:rsidR="001529CF" w:rsidRDefault="00492337">
            <w:pPr>
              <w:pStyle w:val="LO-normal"/>
              <w:widowControl w:val="0"/>
              <w:spacing w:line="240" w:lineRule="auto"/>
            </w:pPr>
            <w:r>
              <w:t>Random Forest (RF)</w:t>
            </w:r>
          </w:p>
        </w:tc>
        <w:tc>
          <w:tcPr>
            <w:tcW w:w="4866" w:type="dxa"/>
            <w:tcBorders>
              <w:top w:val="single" w:sz="8" w:space="0" w:color="000000"/>
              <w:left w:val="single" w:sz="8" w:space="0" w:color="000000"/>
              <w:bottom w:val="single" w:sz="8" w:space="0" w:color="000000"/>
              <w:right w:val="single" w:sz="8" w:space="0" w:color="000000"/>
            </w:tcBorders>
            <w:shd w:val="clear" w:color="auto" w:fill="auto"/>
          </w:tcPr>
          <w:p w14:paraId="422EB0F1" w14:textId="77777777" w:rsidR="001529CF" w:rsidRDefault="00492337">
            <w:pPr>
              <w:pStyle w:val="LO-normal"/>
              <w:widowControl w:val="0"/>
              <w:spacing w:line="240" w:lineRule="auto"/>
              <w:jc w:val="both"/>
            </w:pPr>
            <w:r>
              <w:t>Ensemble learning algorithm that builds decision trees that categorise the data. Simple to implement and understand, but may struggle with larger data sets and may overfit if not careful.</w:t>
            </w:r>
          </w:p>
        </w:tc>
        <w:tc>
          <w:tcPr>
            <w:tcW w:w="1374" w:type="dxa"/>
            <w:tcBorders>
              <w:top w:val="single" w:sz="8" w:space="0" w:color="000000"/>
              <w:left w:val="single" w:sz="8" w:space="0" w:color="000000"/>
              <w:bottom w:val="single" w:sz="8" w:space="0" w:color="000000"/>
              <w:right w:val="single" w:sz="8" w:space="0" w:color="000000"/>
            </w:tcBorders>
            <w:shd w:val="clear" w:color="auto" w:fill="auto"/>
          </w:tcPr>
          <w:p w14:paraId="1446E1FF" w14:textId="122E7422" w:rsidR="001529CF" w:rsidRDefault="00492337" w:rsidP="00AB6F80">
            <w:pPr>
              <w:pStyle w:val="LO-normal"/>
              <w:widowControl w:val="0"/>
              <w:spacing w:line="240" w:lineRule="auto"/>
              <w:rPr>
                <w:rStyle w:val="ListLabel118"/>
                <w:vertAlign w:val="baseline"/>
              </w:rPr>
            </w:pPr>
            <w:r>
              <w:rPr>
                <w:rStyle w:val="ListLabel118"/>
              </w:rPr>
              <w:fldChar w:fldCharType="begin" w:fldLock="1"/>
            </w:r>
            <w:r w:rsidR="00AB6F80">
              <w:rPr>
                <w:rStyle w:val="ListLabel118"/>
              </w:rPr>
              <w:instrText>ADDIN CSL_CITATION {"citationItems":[{"id":"ITEM-1","itemData":{"DOI":"10.1007/s11749-016-0481-7","ISSN":"11330686","abstract":"The random forest algorithm, proposed by L. Breiman in 2001, has been extremely successful as a general-purpose classification and regression method. The approach, which combines several randomized decision trees and aggregates their predictions by averaging, has shown excellent performance in settings where the number of variables is much larger than the number of observations. Moreover, it is versatile enough to be applied to large-scale problems, is easily adapted to various ad hoc learning tasks, and returns measures of variable importance. The present article reviews the most recent theoretical and methodological developments for random forests. Emphasis is placed on the mathematical forces driving the algorithm, with special attention given to the selection of parameters, the resampling mechanism, and variable importance measures. This review is intended to provide non-experts easy access to the main ideas.","author":[{"dropping-particle":"","family":"Biau","given":"Gérard","non-dropping-particle":"","parse-names":false,"suffix":""},{"dropping-particle":"","family":"Scornet","given":"Erwan","non-dropping-particle":"","parse-names":false,"suffix":""}],"container-title":"Test","id":"ITEM-1","issue":"2","issued":{"date-parts":[["2016","6","1"]]},"page":"197-227","publisher":"Springer New York LLC","title":"A random forest guided tour","type":"article-journal","volume":"25"},"uris":["http://www.mendeley.com/documents/?uuid=a9932988-b29f-39ef-a8cb-a4efa00e3c8d"]}],"mendeley":{"formattedCitation":"&lt;sup&gt;131&lt;/sup&gt;","plainTextFormattedCitation":"131","previouslyFormattedCitation":"&lt;sup&gt;131&lt;/sup&gt;"},"properties":{"noteIndex":0},"schema":"https://github.com/citation-style-language/schema/raw/master/csl-citation.json"}</w:instrText>
            </w:r>
            <w:r>
              <w:rPr>
                <w:rStyle w:val="ListLabel118"/>
              </w:rPr>
              <w:fldChar w:fldCharType="separate"/>
            </w:r>
            <w:r w:rsidR="00AB6F80" w:rsidRPr="00AB6F80">
              <w:rPr>
                <w:rStyle w:val="ListLabel118"/>
                <w:noProof/>
              </w:rPr>
              <w:t>131</w:t>
            </w:r>
            <w:r>
              <w:rPr>
                <w:rStyle w:val="ListLabel118"/>
              </w:rPr>
              <w:fldChar w:fldCharType="end"/>
            </w:r>
          </w:p>
        </w:tc>
      </w:tr>
      <w:tr w:rsidR="001529CF" w14:paraId="70693535" w14:textId="77777777">
        <w:tc>
          <w:tcPr>
            <w:tcW w:w="3120" w:type="dxa"/>
            <w:tcBorders>
              <w:top w:val="single" w:sz="8" w:space="0" w:color="000000"/>
              <w:left w:val="single" w:sz="8" w:space="0" w:color="000000"/>
              <w:bottom w:val="single" w:sz="8" w:space="0" w:color="000000"/>
              <w:right w:val="single" w:sz="8" w:space="0" w:color="000000"/>
            </w:tcBorders>
            <w:shd w:val="clear" w:color="auto" w:fill="auto"/>
          </w:tcPr>
          <w:p w14:paraId="2E234643" w14:textId="77777777" w:rsidR="001529CF" w:rsidRDefault="00492337">
            <w:pPr>
              <w:pStyle w:val="LO-normal"/>
              <w:widowControl w:val="0"/>
              <w:spacing w:line="240" w:lineRule="auto"/>
            </w:pPr>
            <w:r>
              <w:t xml:space="preserve">Artificial Neural Network </w:t>
            </w:r>
            <w:r>
              <w:lastRenderedPageBreak/>
              <w:t>(ANN)</w:t>
            </w:r>
          </w:p>
        </w:tc>
        <w:tc>
          <w:tcPr>
            <w:tcW w:w="4866" w:type="dxa"/>
            <w:tcBorders>
              <w:top w:val="single" w:sz="8" w:space="0" w:color="000000"/>
              <w:left w:val="single" w:sz="8" w:space="0" w:color="000000"/>
              <w:bottom w:val="single" w:sz="8" w:space="0" w:color="000000"/>
              <w:right w:val="single" w:sz="8" w:space="0" w:color="000000"/>
            </w:tcBorders>
            <w:shd w:val="clear" w:color="auto" w:fill="auto"/>
          </w:tcPr>
          <w:p w14:paraId="1A4B5208" w14:textId="77777777" w:rsidR="001529CF" w:rsidRDefault="00492337">
            <w:pPr>
              <w:pStyle w:val="LO-normal"/>
              <w:widowControl w:val="0"/>
              <w:spacing w:line="240" w:lineRule="auto"/>
              <w:jc w:val="both"/>
            </w:pPr>
            <w:r>
              <w:lastRenderedPageBreak/>
              <w:t xml:space="preserve">Supervised or unsupervised learning algorithm </w:t>
            </w:r>
            <w:r>
              <w:lastRenderedPageBreak/>
              <w:t>that uses interconnected nodes to process the data and find trends. Highly effective, but requires large and diverse datasets for training; it is comparatively more resource-intensive and results may be hard to interpret.</w:t>
            </w:r>
          </w:p>
        </w:tc>
        <w:tc>
          <w:tcPr>
            <w:tcW w:w="1374" w:type="dxa"/>
            <w:tcBorders>
              <w:top w:val="single" w:sz="8" w:space="0" w:color="000000"/>
              <w:left w:val="single" w:sz="8" w:space="0" w:color="000000"/>
              <w:bottom w:val="single" w:sz="8" w:space="0" w:color="000000"/>
              <w:right w:val="single" w:sz="8" w:space="0" w:color="000000"/>
            </w:tcBorders>
            <w:shd w:val="clear" w:color="auto" w:fill="auto"/>
          </w:tcPr>
          <w:p w14:paraId="5696C0A4" w14:textId="5EDB4DDA" w:rsidR="001529CF" w:rsidRDefault="00492337" w:rsidP="00AB6F80">
            <w:pPr>
              <w:pStyle w:val="LO-normal"/>
              <w:widowControl w:val="0"/>
              <w:spacing w:line="240" w:lineRule="auto"/>
              <w:rPr>
                <w:rStyle w:val="ListLabel118"/>
                <w:vertAlign w:val="baseline"/>
              </w:rPr>
            </w:pPr>
            <w:r>
              <w:rPr>
                <w:rStyle w:val="ListLabel118"/>
              </w:rPr>
              <w:lastRenderedPageBreak/>
              <w:fldChar w:fldCharType="begin" w:fldLock="1"/>
            </w:r>
            <w:r w:rsidR="00AB6F80">
              <w:rPr>
                <w:rStyle w:val="ListLabel118"/>
              </w:rPr>
              <w:instrText>ADDIN CSL_CITATION {"citationItems":[{"id":"ITEM-1","itemData":{"DOI":"10.1002/1097-0142(20010415)91:8+&lt;1636::AID-CNCR1176&gt;3.0.CO;2-D","ISSN":"1097-0142","author":[{"dropping-particle":"","family":"Sargent","given":"Daniel J.","non-dropping-particle":"","parse-names":false,"suffix":""}],"container-title":"Cancer","id":"ITEM-1","issue":"S8","issued":{"date-parts":[["2001","4","15"]]},"page":"1636-1642","publisher":"John Wiley &amp; Sons, Ltd","title":"Comparison of artificial neural networks with other statistical approaches","type":"article-journal","volume":"91"},"uris":["http://www.mendeley.com/documents/?uuid=40c3a77e-e239-35d9-a290-b98146530c39"]}],"mendeley":{"formattedCitation":"&lt;sup&gt;132&lt;/sup&gt;","plainTextFormattedCitation":"132","previouslyFormattedCitation":"&lt;sup&gt;132&lt;/sup&gt;"},"properties":{"noteIndex":0},"schema":"https://github.com/citation-style-language/schema/raw/master/csl-citation.json"}</w:instrText>
            </w:r>
            <w:r>
              <w:rPr>
                <w:rStyle w:val="ListLabel118"/>
              </w:rPr>
              <w:fldChar w:fldCharType="separate"/>
            </w:r>
            <w:r w:rsidR="00AB6F80" w:rsidRPr="00AB6F80">
              <w:rPr>
                <w:rStyle w:val="ListLabel118"/>
                <w:noProof/>
              </w:rPr>
              <w:t>132</w:t>
            </w:r>
            <w:r>
              <w:rPr>
                <w:rStyle w:val="ListLabel118"/>
              </w:rPr>
              <w:fldChar w:fldCharType="end"/>
            </w:r>
          </w:p>
        </w:tc>
      </w:tr>
      <w:tr w:rsidR="001529CF" w14:paraId="303CC236" w14:textId="77777777">
        <w:tc>
          <w:tcPr>
            <w:tcW w:w="3120" w:type="dxa"/>
            <w:tcBorders>
              <w:top w:val="single" w:sz="8" w:space="0" w:color="000000"/>
              <w:left w:val="single" w:sz="8" w:space="0" w:color="000000"/>
              <w:bottom w:val="single" w:sz="8" w:space="0" w:color="000000"/>
              <w:right w:val="single" w:sz="8" w:space="0" w:color="000000"/>
            </w:tcBorders>
            <w:shd w:val="clear" w:color="auto" w:fill="auto"/>
          </w:tcPr>
          <w:p w14:paraId="0F2B2619" w14:textId="77777777" w:rsidR="001529CF" w:rsidRDefault="00492337">
            <w:pPr>
              <w:pStyle w:val="LO-normal"/>
              <w:widowControl w:val="0"/>
              <w:spacing w:line="240" w:lineRule="auto"/>
            </w:pPr>
            <w:r>
              <w:t>Hidden Markov Model (HMM)</w:t>
            </w:r>
          </w:p>
        </w:tc>
        <w:tc>
          <w:tcPr>
            <w:tcW w:w="4866" w:type="dxa"/>
            <w:tcBorders>
              <w:top w:val="single" w:sz="8" w:space="0" w:color="000000"/>
              <w:left w:val="single" w:sz="8" w:space="0" w:color="000000"/>
              <w:bottom w:val="single" w:sz="8" w:space="0" w:color="000000"/>
              <w:right w:val="single" w:sz="8" w:space="0" w:color="000000"/>
            </w:tcBorders>
            <w:shd w:val="clear" w:color="auto" w:fill="auto"/>
          </w:tcPr>
          <w:p w14:paraId="056139AB" w14:textId="77777777" w:rsidR="001529CF" w:rsidRDefault="00492337">
            <w:pPr>
              <w:pStyle w:val="LO-normal"/>
              <w:widowControl w:val="0"/>
              <w:spacing w:line="240" w:lineRule="auto"/>
              <w:jc w:val="both"/>
            </w:pPr>
            <w:r>
              <w:t>Probabilistic method that finds attempts to infer a hidden variable from observed variables. Particularly well suited for sequential data, such as sequences of amino acids in a peptide.</w:t>
            </w:r>
          </w:p>
        </w:tc>
        <w:tc>
          <w:tcPr>
            <w:tcW w:w="1374" w:type="dxa"/>
            <w:tcBorders>
              <w:top w:val="single" w:sz="8" w:space="0" w:color="000000"/>
              <w:left w:val="single" w:sz="8" w:space="0" w:color="000000"/>
              <w:bottom w:val="single" w:sz="8" w:space="0" w:color="000000"/>
              <w:right w:val="single" w:sz="8" w:space="0" w:color="000000"/>
            </w:tcBorders>
            <w:shd w:val="clear" w:color="auto" w:fill="auto"/>
          </w:tcPr>
          <w:p w14:paraId="7DEE0B84" w14:textId="785EB53C" w:rsidR="001529CF" w:rsidRDefault="00492337" w:rsidP="00AB6F80">
            <w:pPr>
              <w:pStyle w:val="LO-normal"/>
              <w:widowControl w:val="0"/>
              <w:spacing w:line="240" w:lineRule="auto"/>
              <w:rPr>
                <w:rStyle w:val="ListLabel118"/>
                <w:vertAlign w:val="baseline"/>
              </w:rPr>
            </w:pPr>
            <w:r>
              <w:rPr>
                <w:rStyle w:val="ListLabel118"/>
              </w:rPr>
              <w:fldChar w:fldCharType="begin" w:fldLock="1"/>
            </w:r>
            <w:r w:rsidR="00AB6F80">
              <w:rPr>
                <w:rStyle w:val="ListLabel118"/>
              </w:rPr>
              <w:instrText>ADDIN CSL_CITATION {"citationItems":[{"id":"ITEM-1","itemData":{"DOI":"10.1007/978-1-4939-6753-7_1","ISSN":"10643745","PMID":"28224487","abstract":"A number of real-world systems have common underlying patterns among them and deducing these patterns is important for us in order to understand the environment around us. These patterns in some instances are apparent upon observation while in many others especially those found in nature are well hidden. Moreover, the inherent stochasticity in these systems introduces sufficient noise that we need models capable to handling it in order to decipher the underlying pattern. Hidden Markov model (HMM) is a probabilistic model that is frequently used for studying the hidden patterns in an observed sequence or sets of observed sequences. Since its conception in the late 1960s it has been extensively applied in biology to capture patterns in various disciplines ranging from small DNA and protein molecules, their structure and architecture that forms the basis of life to multicellular levels such as movement analysis in humans. This chapter aims at a gentle introduction to the theory of HMM, the statistical problems usually associated with HMMs and their uses in biology.","author":[{"dropping-particle":"","family":"Vijayabaskar","given":"M. S.","non-dropping-particle":"","parse-names":false,"suffix":""}],"container-title":"Methods in Molecular Biology","id":"ITEM-1","issued":{"date-parts":[["2017"]]},"page":"1-12","publisher":"Humana Press Inc.","title":"Introduction to Hidden Markov Models and Its Applications in Biology","type":"chapter","volume":"1552"},"uris":["http://www.mendeley.com/documents/?uuid=f42d915e-d283-397f-849f-4d82ea0c53c2"]}],"mendeley":{"formattedCitation":"&lt;sup&gt;133&lt;/sup&gt;","plainTextFormattedCitation":"133","previouslyFormattedCitation":"&lt;sup&gt;133&lt;/sup&gt;"},"properties":{"noteIndex":0},"schema":"https://github.com/citation-style-language/schema/raw/master/csl-citation.json"}</w:instrText>
            </w:r>
            <w:r>
              <w:rPr>
                <w:rStyle w:val="ListLabel118"/>
              </w:rPr>
              <w:fldChar w:fldCharType="separate"/>
            </w:r>
            <w:r w:rsidR="00AB6F80" w:rsidRPr="00AB6F80">
              <w:rPr>
                <w:rStyle w:val="ListLabel118"/>
                <w:noProof/>
              </w:rPr>
              <w:t>133</w:t>
            </w:r>
            <w:r>
              <w:rPr>
                <w:rStyle w:val="ListLabel118"/>
              </w:rPr>
              <w:fldChar w:fldCharType="end"/>
            </w:r>
          </w:p>
        </w:tc>
      </w:tr>
    </w:tbl>
    <w:p w14:paraId="0549065F" w14:textId="33C828C0" w:rsidR="001529CF" w:rsidRDefault="00492337">
      <w:pPr>
        <w:pStyle w:val="LO-normal"/>
        <w:spacing w:before="240" w:after="120"/>
        <w:jc w:val="both"/>
      </w:pPr>
      <w:r>
        <w:t xml:space="preserve">One of the first studies in this field was a QSAR AMP </w:t>
      </w:r>
      <w:r w:rsidR="00642DB7">
        <w:t xml:space="preserve">prediction </w:t>
      </w:r>
      <w:r>
        <w:t>tool based on ANN, SVM and quantitative matrix models</w:t>
      </w:r>
      <w:r>
        <w:fldChar w:fldCharType="begin" w:fldLock="1"/>
      </w:r>
      <w:r w:rsidR="00AE3E77">
        <w:instrText>ADDIN CSL_CITATION {"citationItems":[{"id":"ITEM-1","itemData":{"DOI":"10.1186/1471-2105-8-263","ISSN":"14712105","PMID":"17645800","abstract":"Background: Antibacterial peptides are important components of the innate immune system, used by the host to protect itself from different types of pathogenic bacteria. Over the last few decades, the search for new drugs and drug targets has prompted an interest in these antibacterial peptides. We analyzed 486 antibacterial peptides, obtained from antimicrobial peptide database APD, in order to understand the preference of amino acid residues at specific positions in these peptides. Results: It was observed that certain types of residues are preferred over others in antibacterial peptides, particularly at the N and C terminus. These observations encouraged us to develop a method for predicting antibacterial peptides in proteins from their amino acid sequence. First, the N-terminal residues were used for predicting antibacterial peptides using Artificial Neural Network (ANN), Quantitative Matrices (QM) and Support Vector Machine (SVM), which resulted in an accuracy of 83.63%, 84.78% and 87.85%, respectively. Then, the C-terminal residues were used for developing prediction methods, which resulted in an accuracy of 77.34%, 82.03% and 85.16% using ANN, QM and SVM, respectively. Finally, ANN, QM and SVM models were developed using N and C terminal residues, which achieved an accuracy of 88.17%, 90.37% and 92.11%, respectively. All the models developed in this study were evaluated using five-fold cross validation technique. These models were also tested on an independent or blind dataset. Conclusion: Among antibacterial peptides, there is preference for certain residues at N and C termini, which helps to demarcate them from non-antibacterial peptides. Both the termini play a crucial role in imparting the antibacterial property to these peptides. Among the methods developed, SVM shows the best performance in predicting antibacterial peptides followed by QM and ANN, in that order. AntiBP (Antibacterial peptides) will help in discovering efficacious antibacterial peptides, which we hope will prove to be a boon to combat the dreadful antibiotic resistant bacteria. A user friendly web server has also been developed to help the biological community, which is accessible at http://www.imtech.res.in/raghava/antibp/. © 2007 Lata et al; licensee BioMed Central Ltd.","author":[{"dropping-particle":"","family":"Lata","given":"Sneh","non-dropping-particle":"","parse-names":false,"suffix":""},{"dropping-particle":"","family":"Sharma","given":"B. K.","non-dropping-particle":"","parse-names":false,"suffix":""},{"dropping-particle":"","family":"Raghava","given":"G. P.S.","non-dropping-particle":"","parse-names":false,"suffix":""}],"container-title":"BMC Bioinformatics","id":"ITEM-1","issue":"1","issued":{"date-parts":[["2007","7","23"]]},"page":"263","publisher":"BioMed Central","title":"Analysis and prediction of antibacterial peptides","type":"article-journal","volume":"8"},"uris":["http://www.mendeley.com/documents/?uuid=43c25f3a-3cf0-317b-ae46-9a8bda643460"]}],"mendeley":{"formattedCitation":"&lt;sup&gt;119&lt;/sup&gt;","plainTextFormattedCitation":"119","previouslyFormattedCitation":"&lt;sup&gt;119&lt;/sup&gt;"},"properties":{"noteIndex":0},"schema":"https://github.com/citation-style-language/schema/raw/master/csl-citation.json"}</w:instrText>
      </w:r>
      <w:r>
        <w:fldChar w:fldCharType="separate"/>
      </w:r>
      <w:r w:rsidR="00AB6F80" w:rsidRPr="00AB6F80">
        <w:rPr>
          <w:noProof/>
          <w:vertAlign w:val="superscript"/>
        </w:rPr>
        <w:t>119</w:t>
      </w:r>
      <w:r>
        <w:fldChar w:fldCharType="end"/>
      </w:r>
      <w:r>
        <w:t>, using motifs found in the C- and N-terminal residues of peptides from the APD</w:t>
      </w:r>
      <w:r>
        <w:fldChar w:fldCharType="begin" w:fldLock="1"/>
      </w:r>
      <w:r w:rsidR="00386CB6">
        <w:instrText>ADDIN CSL_CITATION {"citationItems":[{"id":"ITEM-1","itemData":{"DOI":"10.1093/nar/gkh025","ISSN":"03051048","PMID":"14681488","abstract":"An antimicrobial peptide database (APD) has been established based on an extensive literature search. It contains detailed information for 525 peptides (498 antibacterial, 155 antifungal, 28 antiviral and 18 antitumor). APD provides interactive interfaces for peptide query, prediction and design. It also provides statistical data for a select group of or all the peptides in the database. Peptide information can be searched using keywords such as peptide name, ID, length, net charge, hydrophobic percentage, key residue, unique sequence motif, structure and activity. APD is a useful tool for studying the structure-function relationship of antimicrobial peptides. The database can be accessed via a web-based browser at the URL: http://aps.unmc.edu/AP/main.html.","author":[{"dropping-particle":"","family":"Wang","given":"Zhe","non-dropping-particle":"","parse-names":false,"suffix":""},{"dropping-particle":"","family":"Wang","given":"Guangshun","non-dropping-particle":"","parse-names":false,"suffix":""}],"container-title":"Nucleic Acids Research","id":"ITEM-1","issue":"Database issue","issued":{"date-parts":[["2004","1","1"]]},"page":"D590-2","publisher":"Nucleic Acids Res","title":"APD: The antimicrobial peptide database","type":"article-journal","volume":"32"},"uris":["http://www.mendeley.com/documents/?uuid=e4d99600-4617-3e6d-ac39-e5b8a66ff17a"]}],"mendeley":{"formattedCitation":"&lt;sup&gt;134&lt;/sup&gt;","plainTextFormattedCitation":"134","previouslyFormattedCitation":"&lt;sup&gt;134&lt;/sup&gt;"},"properties":{"noteIndex":0},"schema":"https://github.com/citation-style-language/schema/raw/master/csl-citation.json"}</w:instrText>
      </w:r>
      <w:r>
        <w:fldChar w:fldCharType="separate"/>
      </w:r>
      <w:r w:rsidR="00AB6F80" w:rsidRPr="00AB6F80">
        <w:rPr>
          <w:noProof/>
          <w:vertAlign w:val="superscript"/>
        </w:rPr>
        <w:t>134</w:t>
      </w:r>
      <w:r>
        <w:fldChar w:fldCharType="end"/>
      </w:r>
      <w:r>
        <w:t xml:space="preserve"> (Antimicrobial Peptide Database). The authors found that SVM, with an accuracy of 92.11%, performed better than the other two methods, whose accuracies were 88.17% (ANN) and 90.37% (quantitative matrix). Cherkasov et al., us</w:t>
      </w:r>
      <w:r w:rsidR="00434261">
        <w:t>ing</w:t>
      </w:r>
      <w:r>
        <w:t xml:space="preserve"> an ANN model</w:t>
      </w:r>
      <w:r>
        <w:fldChar w:fldCharType="begin" w:fldLock="1"/>
      </w:r>
      <w:r w:rsidR="00AB6F80">
        <w:instrText>ADDIN CSL_CITATION {"citationItems":[{"id":"ITEM-1","itemData":{"DOI":"10.1021/cb800240j","ISSN":"15548929","PMID":"19055425","abstract":"Increased multiple antibiotic resistance in the face of declining antibiotic discovery is one of society's most pressing health issues. Antimicrobial peptides represent a promising new class of antibiotics. Here we ask whether it is possible to make small broad spectrum peptides employing minimal assumptions, by capitalizing on accumulating chemical biology information. Using peptide array technology, two large random 9-amino-acid peptide libraries were iteratively created using the amino acid composition of the most active peptides. The resultant data was used together with Artificial Neural Networks, a powerful machine learning technique, to create quantitative in silico models of antibiotic activity. On the basis of random testing, these models proved remarkably effective in predicting the activity of 100,000 virtual peptides. The best peptides, representing the top quartile of predicted activities, were effective against a broad array of multidrug-resistant \"Superbugs\" with activities that were equal to or better than four highly used conventional antibiotics, more effective than the most advanced clinical candidate antimicrobial peptide, and protective against Staphylococcus aureus infections in animal models. © 2009 American Chemical Society.","author":[{"dropping-particle":"","family":"Cherkasov","given":"Artem","non-dropping-particle":"","parse-names":false,"suffix":""},{"dropping-particle":"","family":"Hilpert","given":"Kai","non-dropping-particle":"","parse-names":false,"suffix":""},{"dropping-particle":"","family":"Jenssen","given":"Håvard","non-dropping-particle":"","parse-names":false,"suffix":""},{"dropping-particle":"","family":"Fjell","given":"Christopher D.","non-dropping-particle":"","parse-names":false,"suffix":""},{"dropping-particle":"","family":"Waldbrook","given":"Matt","non-dropping-particle":"","parse-names":false,"suffix":""},{"dropping-particle":"","family":"Mullaly","given":"Sarah C.","non-dropping-particle":"","parse-names":false,"suffix":""},{"dropping-particle":"","family":"Volkmer","given":"Rudolf","non-dropping-particle":"","parse-names":false,"suffix":""},{"dropping-particle":"","family":"Hancock","given":"Robert E.W.","non-dropping-particle":"","parse-names":false,"suffix":""}],"container-title":"ACS Chemical Biology","id":"ITEM-1","issue":"1","issued":{"date-parts":[["2009","1"]]},"page":"65-74","publisher":" American Chemical Society","title":"Use of artificial intelligence in the design of small peptide antibiotics effective against a broad spectrum of highly antibiotic-resistant superbugs","type":"article-journal","volume":"4"},"uris":["http://www.mendeley.com/documents/?uuid=3adea2d5-6667-341a-97bf-f28c77a5d596"]}],"mendeley":{"formattedCitation":"&lt;sup&gt;135&lt;/sup&gt;","plainTextFormattedCitation":"135","previouslyFormattedCitation":"&lt;sup&gt;135&lt;/sup&gt;"},"properties":{"noteIndex":0},"schema":"https://github.com/citation-style-language/schema/raw/master/csl-citation.json"}</w:instrText>
      </w:r>
      <w:r>
        <w:fldChar w:fldCharType="separate"/>
      </w:r>
      <w:r w:rsidR="00AB6F80" w:rsidRPr="00AB6F80">
        <w:rPr>
          <w:noProof/>
          <w:vertAlign w:val="superscript"/>
        </w:rPr>
        <w:t>135</w:t>
      </w:r>
      <w:r>
        <w:fldChar w:fldCharType="end"/>
      </w:r>
      <w:r>
        <w:t xml:space="preserve"> combined with multiple iterations of experimental data collection and model training, screened and identified 50-100 novel peptides with activity against drug resistant bacteria, mainly using </w:t>
      </w:r>
      <w:r>
        <w:rPr>
          <w:i/>
        </w:rPr>
        <w:t>P</w:t>
      </w:r>
      <w:r w:rsidR="006F359A">
        <w:rPr>
          <w:i/>
        </w:rPr>
        <w:t>seudomonas</w:t>
      </w:r>
      <w:r>
        <w:rPr>
          <w:i/>
        </w:rPr>
        <w:t xml:space="preserve"> aeruginosa</w:t>
      </w:r>
      <w:r>
        <w:t xml:space="preserve"> as a model but also </w:t>
      </w:r>
      <w:r>
        <w:rPr>
          <w:i/>
        </w:rPr>
        <w:t>S</w:t>
      </w:r>
      <w:r w:rsidR="006F359A">
        <w:rPr>
          <w:i/>
        </w:rPr>
        <w:t>taphylococcus</w:t>
      </w:r>
      <w:r>
        <w:rPr>
          <w:i/>
        </w:rPr>
        <w:t xml:space="preserve"> aureus</w:t>
      </w:r>
      <w:r>
        <w:t xml:space="preserve">, </w:t>
      </w:r>
      <w:r>
        <w:rPr>
          <w:i/>
        </w:rPr>
        <w:t>E</w:t>
      </w:r>
      <w:r w:rsidR="006F359A">
        <w:rPr>
          <w:i/>
        </w:rPr>
        <w:t>nterococcus</w:t>
      </w:r>
      <w:r>
        <w:rPr>
          <w:i/>
        </w:rPr>
        <w:t xml:space="preserve"> faecalis</w:t>
      </w:r>
      <w:r>
        <w:t xml:space="preserve">, </w:t>
      </w:r>
      <w:r>
        <w:rPr>
          <w:i/>
        </w:rPr>
        <w:t>E</w:t>
      </w:r>
      <w:r w:rsidR="006F359A">
        <w:rPr>
          <w:i/>
        </w:rPr>
        <w:t>nterobacter</w:t>
      </w:r>
      <w:r>
        <w:rPr>
          <w:i/>
        </w:rPr>
        <w:t xml:space="preserve"> cloacae</w:t>
      </w:r>
      <w:r>
        <w:t>, and others. This was an early example of the possibilities of computer-aided rational design in the field of AMPs.</w:t>
      </w:r>
    </w:p>
    <w:p w14:paraId="5D861BE3" w14:textId="3D6A91C9" w:rsidR="001529CF" w:rsidRDefault="00492337">
      <w:pPr>
        <w:pStyle w:val="LO-normal"/>
        <w:spacing w:before="240" w:after="120"/>
        <w:jc w:val="both"/>
      </w:pPr>
      <w:r>
        <w:t>Another example of the early use of multi-label classifiers to predict the different modes of action and targets of AMPs was developed by Xiao et al.</w:t>
      </w:r>
      <w:r>
        <w:fldChar w:fldCharType="begin" w:fldLock="1"/>
      </w:r>
      <w:r w:rsidR="00AE3E77">
        <w:instrText>ADDIN CSL_CITATION {"citationItems":[{"id":"ITEM-1","itemData":{"DOI":"10.1016/j.ab.2013.01.019","ISSN":"10960309","PMID":"23395824","abstract":"Antimicrobial peptides (AMPs), also called host defense peptides, are an evolutionarily conserved component of the innate immune response and are found among all classes of life. According to their special functions, AMPs are generally classified into ten categories: Antibacterial Peptides, Anticancer/tumor Peptides, Antifungal Peptides, Anti-HIV Peptides, Antiviral Peptides, Antiparasital Peptides, Anti-protist Peptides, AMPs with Chemotactic Activity, Insecticidal Peptides, and Spermicidal Peptides. Given a query peptide, how can we identify whether it is an AMP or non-AMP? If it is, can we identify which functional type or types it belong to? Particularly, how can we deal with the multi-type problem since an AMP may belong to two or more functional types? To address these problems, which are obviously very important to both basic research and drug development, a multi-label classifier was developed based on the pseudo amino acid composition (PseAAC) and fuzzy K-nearest neighbor (FKNN) algorithm, where the components of PseAAC were featured by incorporating five physicochemical properties. The novel classifier is called iAMP-2L, where \"2L\" means that it is a 2-level predictor. The 1st-level is to answer the 1st question above, while the 2nd-level is to answer the 2nd and 3rd questions that are beyond the reach of any existing methods in this area. For the conveniences of users, a user-friendly web-server for iAMP-2L was established at http://www.jci-bioinfo.cn/iAMP-2L. © 2013 Elsevier Inc. All rights reserved.","author":[{"dropping-particle":"","family":"Xiao","given":"Xuan","non-dropping-particle":"","parse-names":false,"suffix":""},{"dropping-particle":"","family":"Wang","given":"Pu","non-dropping-particle":"","parse-names":false,"suffix":""},{"dropping-particle":"","family":"Lin","given":"Wei Zhong","non-dropping-particle":"","parse-names":false,"suffix":""},{"dropping-particle":"","family":"Jia","given":"Jian Hua","non-dropping-particle":"","parse-names":false,"suffix":""},{"dropping-particle":"","family":"Chou","given":"Kuo Chen","non-dropping-particle":"","parse-names":false,"suffix":""}],"container-title":"Analytical Biochemistry","id":"ITEM-1","issue":"2","issued":{"date-parts":[["2013","5","15"]]},"page":"168-177","publisher":"Academic Press Inc.","title":"IAMP-2L: A two-level multi-label classifier for identifying antimicrobial peptides and their functional types","type":"article-journal","volume":"436"},"uris":["http://www.mendeley.com/documents/?uuid=20256ba6-9c50-3a7e-b663-a786f9b1a12e"]}],"mendeley":{"formattedCitation":"&lt;sup&gt;124&lt;/sup&gt;","plainTextFormattedCitation":"124","previouslyFormattedCitation":"&lt;sup&gt;124&lt;/sup&gt;"},"properties":{"noteIndex":0},"schema":"https://github.com/citation-style-language/schema/raw/master/csl-citation.json"}</w:instrText>
      </w:r>
      <w:r>
        <w:fldChar w:fldCharType="separate"/>
      </w:r>
      <w:r w:rsidR="00AB6F80" w:rsidRPr="00AB6F80">
        <w:rPr>
          <w:noProof/>
          <w:vertAlign w:val="superscript"/>
        </w:rPr>
        <w:t>124</w:t>
      </w:r>
      <w:r>
        <w:fldChar w:fldCharType="end"/>
      </w:r>
      <w:r>
        <w:t xml:space="preserve"> using a fuzzy KNN algorithm</w:t>
      </w:r>
      <w:r w:rsidR="0010299C">
        <w:t>, named iAMP-2L; the 2L refers to 2 level predictors</w:t>
      </w:r>
      <w:r w:rsidR="008D2D74">
        <w:t>.</w:t>
      </w:r>
      <w:r>
        <w:t xml:space="preserve"> Five main types of functionalities were predicted: antibacterial, anticancer, antifungal, antiHIV, antiviral. The authors achieved an accuracy of 86% in predicting whether a sequence was an AMP or not, while predicting what kind of functionality it had had an accuracy of ~60%. This was considered to be a good performance since there was little training data on various functional classes. The method used physico-chemical descriptors such as the hydrophobicity, molecular weight and isoelectric point of individual residues along with pseudo-amino acid composition notation</w:t>
      </w:r>
      <w:r>
        <w:fldChar w:fldCharType="begin" w:fldLock="1"/>
      </w:r>
      <w:r w:rsidR="00AE3E77">
        <w:instrText>ADDIN CSL_CITATION {"citationItems":[{"id":"ITEM-1","itemData":{"DOI":"10.1016/j.ab.2013.01.019","ISSN":"10960309","PMID":"23395824","abstract":"Antimicrobial peptides (AMPs), also called host defense peptides, are an evolutionarily conserved component of the innate immune response and are found among all classes of life. According to their special functions, AMPs are generally classified into ten categories: Antibacterial Peptides, Anticancer/tumor Peptides, Antifungal Peptides, Anti-HIV Peptides, Antiviral Peptides, Antiparasital Peptides, Anti-protist Peptides, AMPs with Chemotactic Activity, Insecticidal Peptides, and Spermicidal Peptides. Given a query peptide, how can we identify whether it is an AMP or non-AMP? If it is, can we identify which functional type or types it belong to? Particularly, how can we deal with the multi-type problem since an AMP may belong to two or more functional types? To address these problems, which are obviously very important to both basic research and drug development, a multi-label classifier was developed based on the pseudo amino acid composition (PseAAC) and fuzzy K-nearest neighbor (FKNN) algorithm, where the components of PseAAC were featured by incorporating five physicochemical properties. The novel classifier is called iAMP-2L, where \"2L\" means that it is a 2-level predictor. The 1st-level is to answer the 1st question above, while the 2nd-level is to answer the 2nd and 3rd questions that are beyond the reach of any existing methods in this area. For the conveniences of users, a user-friendly web-server for iAMP-2L was established at http://www.jci-bioinfo.cn/iAMP-2L. © 2013 Elsevier Inc. All rights reserved.","author":[{"dropping-particle":"","family":"Xiao","given":"Xuan","non-dropping-particle":"","parse-names":false,"suffix":""},{"dropping-particle":"","family":"Wang","given":"Pu","non-dropping-particle":"","parse-names":false,"suffix":""},{"dropping-particle":"","family":"Lin","given":"Wei Zhong","non-dropping-particle":"","parse-names":false,"suffix":""},{"dropping-particle":"","family":"Jia","given":"Jian Hua","non-dropping-particle":"","parse-names":false,"suffix":""},{"dropping-particle":"","family":"Chou","given":"Kuo Chen","non-dropping-particle":"","parse-names":false,"suffix":""}],"container-title":"Analytical Biochemistry","id":"ITEM-1","issue":"2","issued":{"date-parts":[["2013","5","15"]]},"page":"168-177","publisher":"Academic Press Inc.","title":"IAMP-2L: A two-level multi-label classifier for identifying antimicrobial peptides and their functional types","type":"article-journal","volume":"436"},"uris":["http://www.mendeley.com/documents/?uuid=20256ba6-9c50-3a7e-b663-a786f9b1a12e"]}],"mendeley":{"formattedCitation":"&lt;sup&gt;124&lt;/sup&gt;","plainTextFormattedCitation":"124","previouslyFormattedCitation":"&lt;sup&gt;124&lt;/sup&gt;"},"properties":{"noteIndex":0},"schema":"https://github.com/citation-style-language/schema/raw/master/csl-citation.json"}</w:instrText>
      </w:r>
      <w:r>
        <w:fldChar w:fldCharType="separate"/>
      </w:r>
      <w:r w:rsidR="00AB6F80" w:rsidRPr="00AB6F80">
        <w:rPr>
          <w:noProof/>
          <w:vertAlign w:val="superscript"/>
        </w:rPr>
        <w:t>124</w:t>
      </w:r>
      <w:r>
        <w:fldChar w:fldCharType="end"/>
      </w:r>
      <w:r>
        <w:t xml:space="preserve"> to preserve sequence-order information.</w:t>
      </w:r>
    </w:p>
    <w:p w14:paraId="7CE8C833" w14:textId="21215C71" w:rsidR="001529CF" w:rsidRDefault="00492337">
      <w:pPr>
        <w:pStyle w:val="LO-normal"/>
        <w:spacing w:before="240" w:after="120"/>
        <w:jc w:val="both"/>
      </w:pPr>
      <w:r>
        <w:t>More recently there have been some promising developments in the application of AMP prediction models with the application of SVM on secondary structural features along with the physico-chemical properties of peptides by Meher et al.</w:t>
      </w:r>
      <w:r>
        <w:fldChar w:fldCharType="begin" w:fldLock="1"/>
      </w:r>
      <w:r w:rsidR="00AE3E77">
        <w:instrText>ADDIN CSL_CITATION {"citationItems":[{"id":"ITEM-1","itemData":{"DOI":"10.1038/srep42362","ISSN":"20452322","PMID":"28205576","abstract":"Antimicrobial peptides (AMPs) are important components of the innate immune system that have been found to be effective against disease causing pathogens. Identification of AMPs through wet-lab experiment is expensive. Therefore, development of efficient computational tool is essential to identify the best candidate AMP prior to the in vitro experimentation. In this study, we made an attempt to develop a support vector machine (SVM) based computational approach for prediction of AMPs with improved accuracy. Initially, compositional, physico-chemical and structural features of the peptides were generated that were subsequently used as input in SVM for prediction of AMPs. The proposed approach achieved higher accuracy than several existing approaches, while compared using benchmark dataset. Based on the proposed approach, an online prediction server iAMPpred has also been developed to help the scientific community in predicting AMPs, which is freely accessible at http://cabgrid.res.in:8080/amppred/. The proposed approach is believed to supplement the tools and techniques that have been developed in the past for prediction of AMPs.","author":[{"dropping-particle":"","family":"Meher","given":"Prabina Kumar","non-dropping-particle":"","parse-names":false,"suffix":""},{"dropping-particle":"","family":"Sahu","given":"Tanmaya Kumar","non-dropping-particle":"","parse-names":false,"suffix":""},{"dropping-particle":"","family":"Saini","given":"Varsha","non-dropping-particle":"","parse-names":false,"suffix":""},{"dropping-particle":"","family":"Rao","given":"Atmakuri Ramakrishna","non-dropping-particle":"","parse-names":false,"suffix":""}],"container-title":"Scientific Reports","id":"ITEM-1","issue":"1","issued":{"date-parts":[["2017","2","13"]]},"page":"1-12","publisher":"Nature Publishing Group","title":"Predicting antimicrobial peptides with improved accuracy by incorporating the compositional, physico-chemical and structural features into Chou's general PseAAC","type":"article-journal","volume":"7"},"uris":["http://www.mendeley.com/documents/?uuid=6086f2f1-bafd-3864-91c8-c2887b5e6e02"]}],"mendeley":{"formattedCitation":"&lt;sup&gt;110&lt;/sup&gt;","plainTextFormattedCitation":"110","previouslyFormattedCitation":"&lt;sup&gt;110&lt;/sup&gt;"},"properties":{"noteIndex":0},"schema":"https://github.com/citation-style-language/schema/raw/master/csl-citation.json"}</w:instrText>
      </w:r>
      <w:r>
        <w:fldChar w:fldCharType="separate"/>
      </w:r>
      <w:r w:rsidR="00AB6F80" w:rsidRPr="00AB6F80">
        <w:rPr>
          <w:noProof/>
          <w:vertAlign w:val="superscript"/>
        </w:rPr>
        <w:t>110</w:t>
      </w:r>
      <w:r>
        <w:fldChar w:fldCharType="end"/>
      </w:r>
      <w:r>
        <w:t xml:space="preserve"> The authors have additionally built source-organism specific AMP prediction models and obtained over 90% accuracy. This study also reported one of the highest numbers of AMP sequences used in an AMP prediction study, collecting 8913 sequences from various AMP-databases, including 5652 positive ones. The authors have developed a server called </w:t>
      </w:r>
      <w:r>
        <w:rPr>
          <w:i/>
        </w:rPr>
        <w:t>i</w:t>
      </w:r>
      <w:r>
        <w:t xml:space="preserve">AMPpred </w:t>
      </w:r>
      <w:r w:rsidR="00434261">
        <w:t>that</w:t>
      </w:r>
      <w:r>
        <w:t>computes the probability associated with a given peptide sequence of being antibacterial, antiviral and/or antifungal. Another SVM model called CS-AMPPred</w:t>
      </w:r>
      <w:r>
        <w:fldChar w:fldCharType="begin" w:fldLock="1"/>
      </w:r>
      <w:r w:rsidR="00AB6F80">
        <w:instrText>ADDIN CSL_CITATION {"citationItems":[{"id":"ITEM-1","itemData":{"DOI":"10.1371/journal.pone.0051444","ISSN":"1932-6203","abstract":"The antimicrobial peptides (AMP) have been proposed as an alternative to control resistant pathogens. However, due to multifunctional properties of several AMP classes, until now there has been no way to perform efficient AMP identification, except through in vitro and in vivo tests. Nevertheless, an indication of activity can be provided by prediction methods. In order to contribute to the AMP prediction field, the CS-AMPPred (Cysteine-Stabilized Antimicrobial Peptides Predictor) is presented here, consisting of an updated version of the Support Vector Machine (SVM) model for antimicrobial activity prediction in cysteine-stabilized peptides. The CS-AMPPred is based on five sequence descriptors: indexes of (i) α-helix and (ii) loop formation; and averages of (iii) net charge, (iv) hydrophobicity and (v) flexibility. CS-AMPPred was based on 310 cysteine-stabilized AMPs and 310 sequences extracted from PDB. The polynomial kernel achieves the best accuracy on 5-fold cross validation (85.81%), while the radial and linear kernels achieve 84.19%. Testing in a blind data set, the polynomial and radial kernels achieve an accuracy of 90.00%, while the linear model achieves 89.33%. The three models reach higher accuracies than previously described methods. A standalone version of CS-AMPPred is available for download at &lt;http://sourceforge.net/projects/csamppred/&gt; and runs on any Linux machine. © 2012 Porto et al.","author":[{"dropping-particle":"","family":"Porto","given":"William F.","non-dropping-particle":"","parse-names":false,"suffix":""},{"dropping-particle":"","family":"Pires","given":"Állan S.","non-dropping-particle":"","parse-names":false,"suffix":""},{"dropping-particle":"","family":"Franco","given":"Octavio L.","non-dropping-particle":"","parse-names":false,"suffix":""}],"container-title":"PLoS ONE","editor":[{"dropping-particle":"","family":"Uversky","given":"Vladimir N.","non-dropping-particle":"","parse-names":false,"suffix":""}],"id":"ITEM-1","issue":"12","issued":{"date-parts":[["2012","12","11"]]},"page":"e51444","publisher":"Public Library of Science","title":"CS-AMPPred: An Updated SVM Model for Antimicrobial Activity Prediction in Cysteine-Stabilized Peptides","type":"article-journal","volume":"7"},"uris":["http://www.mendeley.com/documents/?uuid=f754ff8d-06b7-3858-b9be-01b1f9d5e914"]}],"mendeley":{"formattedCitation":"&lt;sup&gt;125&lt;/sup&gt;","plainTextFormattedCitation":"125","previouslyFormattedCitation":"&lt;sup&gt;125&lt;/sup&gt;"},"properties":{"noteIndex":0},"schema":"https://github.com/citation-style-language/schema/raw/master/csl-citation.json"}</w:instrText>
      </w:r>
      <w:r>
        <w:fldChar w:fldCharType="separate"/>
      </w:r>
      <w:r w:rsidR="00AB6F80" w:rsidRPr="00AB6F80">
        <w:rPr>
          <w:noProof/>
          <w:vertAlign w:val="superscript"/>
        </w:rPr>
        <w:t>125</w:t>
      </w:r>
      <w:r>
        <w:fldChar w:fldCharType="end"/>
      </w:r>
      <w:r>
        <w:t xml:space="preserve"> predicts antimicrobial activity based on five descriptors of secondary structure and sequence properties, with ~90% accuracy. SVM  is robust, accurate and less resource intensive compared to other ML methods, and hence is a popular choice in the field of AMP prediction</w:t>
      </w:r>
      <w:r>
        <w:fldChar w:fldCharType="begin" w:fldLock="1"/>
      </w:r>
      <w:r w:rsidR="00AB6F80">
        <w:instrText xml:space="preserve">ADDIN CSL_CITATION {"citationItems":[{"id":"ITEM-1","itemData":{"DOI":"10.1073/pnas.1609893113","abstract":"There are some </w:instrText>
      </w:r>
      <w:r w:rsidR="00AB6F80">
        <w:rPr>
          <w:rFonts w:ascii="Cambria Math" w:hAnsi="Cambria Math" w:cs="Cambria Math"/>
        </w:rPr>
        <w:instrText>∼</w:instrText>
      </w:r>
      <w:r w:rsidR="00AB6F80">
        <w:instrText xml:space="preserve">1,100 known antimicrobial peptides (AMPs), which permeabilize microbial membranes but have diverse sequences. Here, we develop a support vector machine (SVM)-based classifier to investigate </w:instrText>
      </w:r>
      <w:r w:rsidR="00AB6F80">
        <w:rPr>
          <w:rFonts w:ascii="Cambria Math" w:hAnsi="Cambria Math" w:cs="Cambria Math"/>
        </w:rPr>
        <w:instrText>⍺</w:instrText>
      </w:r>
      <w:r w:rsidR="00AB6F80">
        <w:instrText xml:space="preserve">-helical AMPs and the interrelated nature of their functional commonality and sequence homology. SVM is used to search the undiscovered peptide sequence space and identify Par-eto-optimal candidates that simultaneously maximize the distance σ from the SVM hyperplane (thus maximize its \"antimicrobialness\") and its </w:instrText>
      </w:r>
      <w:r w:rsidR="00AB6F80">
        <w:rPr>
          <w:rFonts w:ascii="Cambria Math" w:hAnsi="Cambria Math" w:cs="Cambria Math"/>
        </w:rPr>
        <w:instrText>⍺</w:instrText>
      </w:r>
      <w:r w:rsidR="00AB6F80">
        <w:instrText>-helicity, but minimize mutational distance to known AMPs. By calibrating SVM machine learning results with killing assays and small-angle X-ray scattering (SAXS), we find that the SVM metric σ correlates not with a peptide's minimum inhibitory concentration (MIC), but rather its ability to generate negative Gaussian membrane curvature. This surprising result provides a topological basis for membrane activity common to AMPs. Moreover, we highlight an important distinction between the maximal recognizability of a sequence to a trained AMP classifier (its ability to generate membrane curvature) and its maximal antimicrobial efficacy. As mutational distances are increased from known AMPs, we find AMP-like sequences that are increasingly difficult for nature to discover via simple mutation. Using the sequence map as a discovery tool, we find a unexpectedly diverse taxonomy of sequences that are just as membrane-active as known AMPs, but with a broad range of primary functions distinct from AMP functions, including endogenous neuropeptides, viral fusion proteins, topogenic peptides, and amy-loids. The SVM classifier is useful as a general detector of membrane activity in peptide sequences. machine learning | membrane curvature | membrane permeation | antimicrobial peptides | cell-penetrating peptides","author":[{"dropping-particle":"","family":"Lee","given":"Ernest Y","non-dropping-particle":"","parse-names":false,"suffix":""},{"dropping-particle":"","family":"Fulan","given":"Benjamin M","non-dropping-particle":"","parse-names":false,"suffix":""},{"dropping-particle":"","family":"Wong","given":"Gerard C L","non-dropping-particle":"","parse-names":false,"suffix":""},{"dropping-particle":"","family":"Ferguson","given":"Andrew L","non-dropping-particle":"","parse-names":false,"suffix":""}],"id":"ITEM-1","issued":{"date-parts":[["0"]]},"title":"Mapping membrane activity in undiscovered peptide sequence space using machine learning","type":"article-journal"},"uris":["http://www.mendeley.com/documents/?uuid=753e54fa-5d54-3d01-96e0-b208e6d38324"]}],"mendeley":{"formattedCitation":"&lt;sup&gt;136&lt;/sup&gt;","plainTextFormattedCitation":"136","previouslyFormattedCitation":"&lt;sup&gt;136&lt;/sup&gt;"},"properties":{"noteIndex":0},"schema":"https://github.com/citation-style-language/schema/raw/master/csl-citation.json"}</w:instrText>
      </w:r>
      <w:r>
        <w:fldChar w:fldCharType="separate"/>
      </w:r>
      <w:r w:rsidR="00AB6F80" w:rsidRPr="00AB6F80">
        <w:rPr>
          <w:noProof/>
          <w:vertAlign w:val="superscript"/>
        </w:rPr>
        <w:t>136</w:t>
      </w:r>
      <w:r>
        <w:fldChar w:fldCharType="end"/>
      </w:r>
      <w:r>
        <w:t>.</w:t>
      </w:r>
    </w:p>
    <w:p w14:paraId="09554C95" w14:textId="73950147" w:rsidR="001529CF" w:rsidRDefault="00492337">
      <w:pPr>
        <w:pStyle w:val="LO-normal"/>
        <w:spacing w:before="240" w:after="120"/>
        <w:jc w:val="both"/>
      </w:pPr>
      <w:r>
        <w:lastRenderedPageBreak/>
        <w:t>Another systematic attempt in the field of multi-label classification has been reported by Liu et al.</w:t>
      </w:r>
      <w:r>
        <w:fldChar w:fldCharType="begin" w:fldLock="1"/>
      </w:r>
      <w:r w:rsidR="00AB6F80">
        <w:instrText>ADDIN CSL_CITATION {"citationItems":[{"id":"ITEM-1","itemData":{"DOI":"10.1186/s12859-019-2766-9","ISSN":"14712105","PMID":"31182007","abstract":"Background: Antimicrobial peptides (AMPs) are essential components of the innate immune system and can protect the host from various pathogenic bacteria. The marine environment is known to be one of the richest sources for AMPs. Effective usage of AMPs and their derivatives can greatly improve the immunity and breeding survival rate of aquatic products. It is highly desirable to develop computational tools for rapidly and accurately identifying AMPs and their functional types, for the purpose of helping design new and more effective antimicrobial agents. Results: In this study, we made an attempt to develop an advanced machine learning based computational approach, MAMPs-Pred, for identification of AMPs and its function types. Initially, SVM-prot 188-D features were extracted that were subsequently used as input to a two-layer multi-label classifier. In specific, the first layer is to identify whether it is an AMP by applying RF classifier, and the second layer addresses the multi-type problem by identifying the activites or function types of AMPs by applying PS-RF and LC-RF classifiers. To benchmark the methods,the MAMPs-Pred method is also compared with existing best-performing methods in literature and has shown an improved identification accuracy. Conclusions: The results reported in this study indicate that the MAMP-Pred method achieves high performance for identifying AMPs and its functional types.The proposed approach is believed to supplement the tools and techniques that have been developed in the past for predicting AMPs and their function types.","author":[{"dropping-particle":"","family":"Lin","given":"Yuan","non-dropping-particle":"","parse-names":false,"suffix":""},{"dropping-particle":"","family":"Cai","given":"Yinyin","non-dropping-particle":"","parse-names":false,"suffix":""},{"dropping-particle":"","family":"Liu","given":"Juan","non-dropping-particle":"","parse-names":false,"suffix":""},{"dropping-particle":"","family":"Lin","given":"Chen","non-dropping-particle":"","parse-names":false,"suffix":""},{"dropping-particle":"","family":"Liu","given":"Xiangrong","non-dropping-particle":"","parse-names":false,"suffix":""}],"container-title":"BMC Bioinformatics","id":"ITEM-1","issue":"S8","issued":{"date-parts":[["2019","6","10"]]},"page":"291","publisher":"BioMed Central Ltd.","title":"An advanced approach to identify antimicrobial peptides and their function types for penaeus through machine learning strategies","type":"article-journal","volume":"20"},"uris":["http://www.mendeley.com/documents/?uuid=1f01652b-4b8a-303a-99f7-2504f64ccaf3"]}],"mendeley":{"formattedCitation":"&lt;sup&gt;109&lt;/sup&gt;","plainTextFormattedCitation":"109","previouslyFormattedCitation":"&lt;sup&gt;109&lt;/sup&gt;"},"properties":{"noteIndex":0},"schema":"https://github.com/citation-style-language/schema/raw/master/csl-citation.json"}</w:instrText>
      </w:r>
      <w:r>
        <w:fldChar w:fldCharType="separate"/>
      </w:r>
      <w:r w:rsidR="00AB6F80" w:rsidRPr="00AB6F80">
        <w:rPr>
          <w:noProof/>
          <w:vertAlign w:val="superscript"/>
        </w:rPr>
        <w:t>109</w:t>
      </w:r>
      <w:r>
        <w:fldChar w:fldCharType="end"/>
      </w:r>
      <w:r>
        <w:rPr>
          <w:i/>
        </w:rPr>
        <w:t xml:space="preserve"> </w:t>
      </w:r>
      <w:r>
        <w:t xml:space="preserve">using a two-layer RF-classifier, yielding an accuracy of ~87%. The first layer predicts if a peptide is an AMP or not, and the second layer predicts the mode of action and target organism using a version of RF known as pruned set-RF. This study also used a larger feature set which employed properties like solvent accessibility, polarizability and </w:t>
      </w:r>
      <w:r w:rsidR="00434261">
        <w:t xml:space="preserve">normalised </w:t>
      </w:r>
      <w:r>
        <w:t>van der Waals volume along with simple physico-chemical properties. Polanco et al.</w:t>
      </w:r>
      <w:r>
        <w:fldChar w:fldCharType="begin" w:fldLock="1"/>
      </w:r>
      <w:r w:rsidR="00386CB6">
        <w:instrText>ADDIN CSL_CITATION {"citationItems":[{"id":"ITEM-1","itemData":{"DOI":"10.18388/abo.2009_2529","abstract":"Antibacterial peptides are researched mainly for the potential benefit they have in a variety of socially relevant diseases, used by the host to protect itself from different types of pathogenic bacteria. We used the mathematical-computational method known as Hidden Markov models (HMMs) in targeting a subset of antibacterial peptides named Selective Cationic Amphipatic An-tibacterial Peptides (SCAAPs). The main difference in the implementation of HMMs was focused on the detection of SCAAP using principally five physical-chemical properties for each candidate SCAAPs, instead of using the statistical information about the amino acids which form a pep-tide. By this method a cluster of antibacterial peptides was detected and as a result the following were found: 9 SCAAPs, 6 synthetic antibacterial peptides that belong to a subregion of Cecropin A and Magainin 2, and 19 peptides from the Cecropin A family. A scoring function was developed using HMMs as its core, uniquely employing information accessible from the databases.","author":[{"dropping-particle":"","family":"Polanco","given":"Carlos","non-dropping-particle":"","parse-names":false,"suffix":""},{"dropping-particle":"","family":"Samaniego","given":"Jose L","non-dropping-particle":"","parse-names":false,"suffix":""}],"container-title":"Acta Biochim Pol.","id":"ITEM-1","issue":"1","issued":{"date-parts":[["2009"]]},"page":"167-76","title":"Detection of selective cationic amphipatic antibacterial peptides by Hidden Markov models","type":"article-journal","volume":"56"},"uris":["http://www.mendeley.com/documents/?uuid=ec247877-3407-3e4c-a4b9-89c1a99860c4"]}],"mendeley":{"formattedCitation":"&lt;sup&gt;137&lt;/sup&gt;","plainTextFormattedCitation":"137","previouslyFormattedCitation":"&lt;sup&gt;137&lt;/sup&gt;"},"properties":{"noteIndex":0},"schema":"https://github.com/citation-style-language/schema/raw/master/csl-citation.json"}</w:instrText>
      </w:r>
      <w:r>
        <w:fldChar w:fldCharType="separate"/>
      </w:r>
      <w:r w:rsidR="00D217EC" w:rsidRPr="00D217EC">
        <w:rPr>
          <w:noProof/>
          <w:vertAlign w:val="superscript"/>
        </w:rPr>
        <w:t>137</w:t>
      </w:r>
      <w:r>
        <w:fldChar w:fldCharType="end"/>
      </w:r>
      <w:r>
        <w:t xml:space="preserve"> also developed an ML scoring function based on a Hidden Markov model that relies on physico-chemical similarity rather than amino acid composition, and used it to identify a specific subclass of AMPs known as selective cationic amphipathic antibacterial peptides among known AMPs.</w:t>
      </w:r>
    </w:p>
    <w:p w14:paraId="2867B3F1" w14:textId="3D6C1FB8" w:rsidR="001529CF" w:rsidRDefault="00492337">
      <w:pPr>
        <w:pStyle w:val="LO-normal"/>
        <w:spacing w:before="240" w:after="120"/>
        <w:jc w:val="both"/>
      </w:pPr>
      <w:r>
        <w:t>Neural networks have also seen recent application in the field of AMP prediction. Veltri et al.</w:t>
      </w:r>
      <w:r>
        <w:fldChar w:fldCharType="begin" w:fldLock="1"/>
      </w:r>
      <w:r w:rsidR="00AB6F80">
        <w:instrText>ADDIN CSL_CITATION {"citationItems":[{"id":"ITEM-1","itemData":{"DOI":"10.1093/bioinformatics/bty179","ISSN":"14602059","PMID":"29590297","abstract":"Motivation: Bacterial resistance to antibiotics is a growing concern. Antimicrobial peptides (AMPs), natural components of innate immunity, are popular targets for developing new drugs. Machine learning methods are now commonly adopted by wet-laboratory researchers to screen for promising candidates. Results: In this work, we utilize deep learning to recognize antimicrobial activity. We propose a neural network model with convolutional and recurrent layers that leverage primary sequence composition. Results show that the proposed model outperforms state-of-the-art classification models on a comprehensive dataset. By utilizing the embedding weights, we also present a reduced-alphabet representation and show that reasonable AMP recognition can be maintained using nine amino acid types.","author":[{"dropping-particle":"","family":"Veltri","given":"Daniel","non-dropping-particle":"","parse-names":false,"suffix":""},{"dropping-particle":"","family":"Kamath","given":"Uday","non-dropping-particle":"","parse-names":false,"suffix":""},{"dropping-particle":"","family":"Shehu","given":"Amarda","non-dropping-particle":"","parse-names":false,"suffix":""}],"container-title":"Bioinformatics","id":"ITEM-1","issue":"16","issued":{"date-parts":[["2018","8","15"]]},"page":"2740-2747","publisher":"Oxford University Press","title":"Deep learning improves antimicrobial peptide recognition","type":"article-journal","volume":"34"},"uris":["http://www.mendeley.com/documents/?uuid=b032e152-a019-3e47-b1fb-d0bfc396ade9"]}],"mendeley":{"formattedCitation":"&lt;sup&gt;138&lt;/sup&gt;","plainTextFormattedCitation":"138","previouslyFormattedCitation":"&lt;sup&gt;138&lt;/sup&gt;"},"properties":{"noteIndex":0},"schema":"https://github.com/citation-style-language/schema/raw/master/csl-citation.json"}</w:instrText>
      </w:r>
      <w:r>
        <w:fldChar w:fldCharType="separate"/>
      </w:r>
      <w:r w:rsidR="00D217EC" w:rsidRPr="00D217EC">
        <w:rPr>
          <w:noProof/>
          <w:vertAlign w:val="superscript"/>
        </w:rPr>
        <w:t>138</w:t>
      </w:r>
      <w:r>
        <w:fldChar w:fldCharType="end"/>
      </w:r>
      <w:r>
        <w:t xml:space="preserve"> developed a deep neural network (DNN)that relies on a reduced amino acid alphabet that uses 9 categories instead of the 20 natural amino acids for simplifying experimental work, reducing the complexity of the available chemical space. The reduced alphabet eases the computational demands of the method while not compromising on accuracy. Another neural network method was used by Müller et al.</w:t>
      </w:r>
      <w:r>
        <w:fldChar w:fldCharType="begin" w:fldLock="1"/>
      </w:r>
      <w:r w:rsidR="00AB6F80">
        <w:instrText>ADDIN CSL_CITATION {"citationItems":[{"id":"ITEM-1","itemData":{"DOI":"10.1021/acs.jcim.7b00414","ISSN":"15205142","PMID":"29355319","abstract":"We present a generative long short-term memory (LSTM) recurrent neural network (RNN) for combinatorial de novo peptide design. RNN models capture patterns in sequential data and generate new data instances from the learned context. Amino acid sequences represent a suitable input for these machine-learning models. Generative models trained on peptide sequences could therefore facilitate the design of bespoke peptide libraries. We trained RNNs with LSTM units on pattern recognition of helical antimicrobial peptides and used the resulting model for de novo sequence generation. Of these sequences, 82% were predicted to be active antimicrobial peptides compared to 65% of randomly sampled sequences with the same amino acid distribution as the training set. The generated sequences also lie closer to the training data than manually designed amphipathic helices. The results of this study showcase the ability of LSTM RNNs to construct new amino acid sequences within the applicability domain of the model and motivate their prospective application to peptide and protein design without the need for the exhaustive enumeration of sequence libraries.","author":[{"dropping-particle":"","family":"Müller","given":"Alex T.","non-dropping-particle":"","parse-names":false,"suffix":""},{"dropping-particle":"","family":"Hiss","given":"Jan A.","non-dropping-particle":"","parse-names":false,"suffix":""},{"dropping-particle":"","family":"Schneider","given":"Gisbert","non-dropping-particle":"","parse-names":false,"suffix":""}],"container-title":"Journal of Chemical Information and Modeling","id":"ITEM-1","issue":"2","issued":{"date-parts":[["2018","2","26"]]},"page":"472-479","publisher":"American Chemical Society","title":"Recurrent Neural Network Model for Constructive Peptide Design","type":"article-journal","volume":"58"},"uris":["http://www.mendeley.com/documents/?uuid=af5d4642-4c6e-3098-b6d9-e3d53442d922"]}],"mendeley":{"formattedCitation":"&lt;sup&gt;139&lt;/sup&gt;","plainTextFormattedCitation":"139","previouslyFormattedCitation":"&lt;sup&gt;139&lt;/sup&gt;"},"properties":{"noteIndex":0},"schema":"https://github.com/citation-style-language/schema/raw/master/csl-citation.json"}</w:instrText>
      </w:r>
      <w:r>
        <w:fldChar w:fldCharType="separate"/>
      </w:r>
      <w:r w:rsidR="00D217EC" w:rsidRPr="00D217EC">
        <w:rPr>
          <w:noProof/>
          <w:vertAlign w:val="superscript"/>
        </w:rPr>
        <w:t>139</w:t>
      </w:r>
      <w:r>
        <w:fldChar w:fldCharType="end"/>
      </w:r>
      <w:r>
        <w:t xml:space="preserve"> by combining a recurrent neural network model (RNN) with a long short-term memory model (LSTM), a system already applied not only in protein secondary structure prediction and protein subcellular localisation prediction, but other fields outside of biology as well. Regarding AMPs, this method was applied in the prediction of amphipathicity as it is known to be a fundamental property</w:t>
      </w:r>
      <w:r>
        <w:fldChar w:fldCharType="begin" w:fldLock="1"/>
      </w:r>
      <w:r w:rsidR="00386CB6">
        <w:instrText>ADDIN CSL_CITATION {"citationItems":[{"id":"ITEM-1","itemData":{"DOI":"10.1038/nrd3591","ISSN":"14741784","PMID":"22173434","abstract":"Multidrug-resistant bacteria are a severe threat to public health. Conventional antibiotics are becoming increasingly ineffective as a result of resistance, and it is imperative to find new antibacterial strategies. Natural antimicrobials, known as host defence peptides or antimicrobial peptides, defend host organisms against microbes but most have modest direct antibiotic activity. Enhanced variants have been developed using straightforward design and optimization strategies and are being tested clinically. Here, we describe advanced computer-assisted design strategies that address the difficult problem of relating primary sequence to peptide structure, and are delivering more potent, cost-effective, broad-spectrum peptides as potential next-generation antibiotics. © 2012 Macmillan Publishers Limited.","author":[{"dropping-particle":"","family":"Fjell","given":"Christopher D.","non-dropping-particle":"","parse-names":false,"suffix":""},{"dropping-particle":"","family":"Hiss","given":"Jan A.","non-dropping-particle":"","parse-names":false,"suffix":""},{"dropping-particle":"","family":"Hancock","given":"Robert E.W.","non-dropping-particle":"","parse-names":false,"suffix":""},{"dropping-particle":"","family":"Schneider","given":"Gisbert","non-dropping-particle":"","parse-names":false,"suffix":""}],"container-title":"Nature Reviews Drug Discovery","id":"ITEM-1","issue":"1","issued":{"date-parts":[["2012","12","16"]]},"page":"37-51","publisher":"Nature Publishing Group","title":"Designing antimicrobial peptides: Form follows function","type":"article-journal","volume":"11"},"uris":["http://www.mendeley.com/documents/?uuid=f93e5a13-7acb-38fc-abfd-26b976ecdf3f"]}],"mendeley":{"formattedCitation":"&lt;sup&gt;140&lt;/sup&gt;","plainTextFormattedCitation":"140","previouslyFormattedCitation":"&lt;sup&gt;140&lt;/sup&gt;"},"properties":{"noteIndex":0},"schema":"https://github.com/citation-style-language/schema/raw/master/csl-citation.json"}</w:instrText>
      </w:r>
      <w:r>
        <w:fldChar w:fldCharType="separate"/>
      </w:r>
      <w:r w:rsidR="00D217EC" w:rsidRPr="00D217EC">
        <w:rPr>
          <w:noProof/>
          <w:vertAlign w:val="superscript"/>
        </w:rPr>
        <w:t>140</w:t>
      </w:r>
      <w:r>
        <w:fldChar w:fldCharType="end"/>
      </w:r>
      <w:r>
        <w:t>. The advantage of combining RNN and LSTM is that predictions made this way are “fuzzy”</w:t>
      </w:r>
      <w:r>
        <w:fldChar w:fldCharType="begin" w:fldLock="1"/>
      </w:r>
      <w:r w:rsidR="00386CB6">
        <w:instrText>ADDIN CSL_CITATION {"citationItems":[{"id":"ITEM-1","itemData":{"abstract":"This paper shows how Long Short-term Memory recurrent neural networks can be used to generate complex sequences with long-range structure, simply by predicting one data point at a time. The approach is demonstrated for text (where the data are discrete) and online handwriting (where the data are real-valued). It is then extended to handwriting synthesis by allowing the network to condition its predictions on a text sequence. The resulting system is able to generate highly realistic cursive handwriting in a wide variety of styles.","author":[{"dropping-particle":"","family":"Graves","given":"Alex","non-dropping-particle":"","parse-names":false,"suffix":""}],"container-title":"arXiv preprint","id":"ITEM-1","issued":{"date-parts":[["2013"]]},"title":"Generating Sequences With Recurrent Neural Networks","type":"article-journal","volume":"arXiv:1308"},"uris":["http://www.mendeley.com/documents/?uuid=f7dcf409-140e-3118-bcab-f4560181ea76"]}],"mendeley":{"formattedCitation":"&lt;sup&gt;141&lt;/sup&gt;","plainTextFormattedCitation":"141","previouslyFormattedCitation":"&lt;sup&gt;141&lt;/sup&gt;"},"properties":{"noteIndex":0},"schema":"https://github.com/citation-style-language/schema/raw/master/csl-citation.json"}</w:instrText>
      </w:r>
      <w:r>
        <w:fldChar w:fldCharType="separate"/>
      </w:r>
      <w:r w:rsidR="00D217EC" w:rsidRPr="00D217EC">
        <w:rPr>
          <w:noProof/>
          <w:vertAlign w:val="superscript"/>
        </w:rPr>
        <w:t>141</w:t>
      </w:r>
      <w:r>
        <w:fldChar w:fldCharType="end"/>
      </w:r>
      <w:r>
        <w:t>, meaning that they do not merely replicate exact templates of the training data but can interpolate and find more subtle characteristics. However, this can come at the cost of being more resource intensive</w:t>
      </w:r>
      <w:r>
        <w:fldChar w:fldCharType="begin" w:fldLock="1"/>
      </w:r>
      <w:r w:rsidR="00AB6F80">
        <w:instrText>ADDIN CSL_CITATION {"citationItems":[{"id":"ITEM-1","itemData":{"DOI":"10.1002/1097-0142(20010415)91:8+&lt;1636::AID-CNCR1176&gt;3.0.CO;2-D","ISSN":"1097-0142","author":[{"dropping-particle":"","family":"Sargent","given":"Daniel J.","non-dropping-particle":"","parse-names":false,"suffix":""}],"container-title":"Cancer","id":"ITEM-1","issue":"S8","issued":{"date-parts":[["2001","4","15"]]},"page":"1636-1642","publisher":"John Wiley &amp; Sons, Ltd","title":"Comparison of artificial neural networks with other statistical approaches","type":"article-journal","volume":"91"},"uris":["http://www.mendeley.com/documents/?uuid=40c3a77e-e239-35d9-a290-b98146530c39"]}],"mendeley":{"formattedCitation":"&lt;sup&gt;132&lt;/sup&gt;","plainTextFormattedCitation":"132","previouslyFormattedCitation":"&lt;sup&gt;132&lt;/sup&gt;"},"properties":{"noteIndex":0},"schema":"https://github.com/citation-style-language/schema/raw/master/csl-citation.json"}</w:instrText>
      </w:r>
      <w:r>
        <w:fldChar w:fldCharType="separate"/>
      </w:r>
      <w:r w:rsidR="00AB6F80" w:rsidRPr="00AB6F80">
        <w:rPr>
          <w:noProof/>
          <w:vertAlign w:val="superscript"/>
        </w:rPr>
        <w:t>132</w:t>
      </w:r>
      <w:r>
        <w:fldChar w:fldCharType="end"/>
      </w:r>
      <w:r>
        <w:t>. This method can be used to generate novel sequences with AMP properties, and it has a better predicted accuracy than randomly generating peptides.</w:t>
      </w:r>
    </w:p>
    <w:p w14:paraId="1E11A425" w14:textId="5AF21F1E" w:rsidR="009C477A" w:rsidRDefault="006A52A9">
      <w:pPr>
        <w:pStyle w:val="LO-normal"/>
        <w:spacing w:before="240" w:after="120"/>
        <w:jc w:val="both"/>
      </w:pPr>
      <w:r>
        <w:t xml:space="preserve">There are still many more ML algorithms which we </w:t>
      </w:r>
      <w:r w:rsidR="00434261">
        <w:t>do not delve into</w:t>
      </w:r>
      <w:r>
        <w:t>, but which nonet</w:t>
      </w:r>
      <w:r w:rsidR="007165F8">
        <w:t>heless find use in AMP research; t</w:t>
      </w:r>
      <w:r>
        <w:t>hese include naïve Bayes</w:t>
      </w:r>
      <w:r w:rsidR="000A0178">
        <w:t xml:space="preserve"> (NB)</w:t>
      </w:r>
      <w:r w:rsidR="007165F8">
        <w:fldChar w:fldCharType="begin" w:fldLock="1"/>
      </w:r>
      <w:r w:rsidR="00386CB6">
        <w:instrText>ADDIN CSL_CITATION {"citationItems":[{"id":"ITEM-1","itemData":{"DOI":"10.1016/j.jtbi.2010.12.024","ISSN":"00225193","PMID":"21168420","abstract":"With the accomplishment of human genome sequencing, the number of sequence-known proteins has increased explosively. In contrast, the pace is much slower in determining their biological attributes. As a consequence, the gap between sequence-known proteins and attribute-known proteins has become increasingly large. The unbalanced situation, which has critically limited our ability to timely utilize the newly discovered proteins for basic research and drug development, has called for developing computational methods or high-throughput automated tools for fast and reliably identifying various attributes of uncharacterized proteins based on their sequence information alone. Actually, during the last two decades or so, many methods in this regard have been established in hope to bridge such a gap. In the course of developing these methods, the following things were often needed to consider: (1) benchmark dataset construction, (2) protein sample formulation, (3) operating algorithm (or engine), (4) anticipated accuracy, and (5) web-server establishment. In this review, we are to discuss each of the five procedures, with a special focus on the introduction of pseudo amino acid composition (PseAAC), its different modes and applications as well as its recent development, particularly in how to use the general formulation of PseAAC to reflect the core and essential features that are deeply hidden in complicated protein sequences. © 2010 Elsevier Ltd.","author":[{"dropping-particle":"","family":"Chou","given":"Kuo Chen","non-dropping-particle":"","parse-names":false,"suffix":""}],"container-title":"Journal of Theoretical Biology","id":"ITEM-1","issue":"1","issued":{"date-parts":[["2011","3","21"]]},"page":"236-247","publisher":"Academic Press","title":"Some remarks on protein attribute prediction and pseudo amino acid composition","type":"article-journal","volume":"273"},"uris":["http://www.mendeley.com/documents/?uuid=8e7d382e-1e60-3e00-a632-72f4a1abca07"]}],"mendeley":{"formattedCitation":"&lt;sup&gt;142&lt;/sup&gt;","plainTextFormattedCitation":"142","previouslyFormattedCitation":"&lt;sup&gt;142&lt;/sup&gt;"},"properties":{"noteIndex":0},"schema":"https://github.com/citation-style-language/schema/raw/master/csl-citation.json"}</w:instrText>
      </w:r>
      <w:r w:rsidR="007165F8">
        <w:fldChar w:fldCharType="separate"/>
      </w:r>
      <w:r w:rsidR="00D217EC" w:rsidRPr="00D217EC">
        <w:rPr>
          <w:noProof/>
          <w:vertAlign w:val="superscript"/>
        </w:rPr>
        <w:t>142</w:t>
      </w:r>
      <w:r w:rsidR="007165F8">
        <w:fldChar w:fldCharType="end"/>
      </w:r>
      <w:r w:rsidR="007165F8">
        <w:t>, discriminant analysis</w:t>
      </w:r>
      <w:r w:rsidR="007165F8">
        <w:fldChar w:fldCharType="begin" w:fldLock="1"/>
      </w:r>
      <w:r w:rsidR="00AB6F80">
        <w:instrText>ADDIN CSL_CITATION {"citationItems":[{"id":"ITEM-1","itemData":{"DOI":"10.1002/9780470987605.ch17","abstract":"This chapter contains sections titled: Methods for discriminant analysis Data requirements for discriminant analysis Visualisation of the discriminant function Prediction with discriminant analysis Exploring for similar data structures Other knowledge-based classification methods Summary","author":[{"dropping-particle":"","family":"Reimann","given":"Clemens","non-dropping-particle":"","parse-names":false,"suffix":""},{"dropping-particle":"","family":"Filzmoser","given":"Peter","non-dropping-particle":"","parse-names":false,"suffix":""},{"dropping-particle":"","family":"Garrett","given":"Robert G.","non-dropping-particle":"","parse-names":false,"suffix":""},{"dropping-particle":"","family":"Dutter","given":"Rudolf","non-dropping-particle":"","parse-names":false,"suffix":""}],"container-title":"Statistical Data Analysis Explained","id":"ITEM-1","issued":{"date-parts":[["2008","4","18"]]},"page":"269-280","publisher":"John Wiley &amp; Sons, Ltd","title":"Discriminant Analysis (DA) and Other Knowledge-Based Classification Methods","type":"chapter"},"uris":["http://www.mendeley.com/documents/?uuid=53bb225f-2104-3f62-a3d8-4f50992e380c"]}],"mendeley":{"formattedCitation":"&lt;sup&gt;143&lt;/sup&gt;","plainTextFormattedCitation":"143","previouslyFormattedCitation":"&lt;sup&gt;143&lt;/sup&gt;"},"properties":{"noteIndex":0},"schema":"https://github.com/citation-style-language/schema/raw/master/csl-citation.json"}</w:instrText>
      </w:r>
      <w:r w:rsidR="007165F8">
        <w:fldChar w:fldCharType="separate"/>
      </w:r>
      <w:r w:rsidR="00D217EC" w:rsidRPr="00D217EC">
        <w:rPr>
          <w:noProof/>
          <w:vertAlign w:val="superscript"/>
        </w:rPr>
        <w:t>143</w:t>
      </w:r>
      <w:r w:rsidR="007165F8">
        <w:fldChar w:fldCharType="end"/>
      </w:r>
      <w:r w:rsidR="007165F8">
        <w:t xml:space="preserve"> and AdaBoost</w:t>
      </w:r>
      <w:r w:rsidR="007165F8">
        <w:fldChar w:fldCharType="begin" w:fldLock="1"/>
      </w:r>
      <w:r w:rsidR="00AB6F80">
        <w:instrText>ADDIN CSL_CITATION {"citationItems":[{"id":"ITEM-1","itemData":{"DOI":"10.1016/s1874-1029(13)60052-x","ISSN":"18741029","abstract":"AdaBoost is one of the most excellent Boosting algorithms. It has a solid theoretical basis and has made great success in practical applications. AdaBoost can boost a weak learning algorithm with an accuracy slightly better than random guessing into an arbitrarily accurate strong learning algorithm, bringing about a new method and a new design idea to the design of learning algorithm. This paper first introduces how Boosting, just a conjecture when proposed, was proved right, and how this proof led to the origin of AdaBoost algorithm. Second, training and generalization error of AdaBoost are analyzed to explain why AdaBoost can successfully improve the accuracy of a weak learning algorithm. Third, different theoretical models to analyze AdaBoost are given. Meanwhile, many variants derived from these models are presented. Fourth, extensions of binary-class AdaBoost to multiclass AdaBoost are described. Besides, applications of AdaBoost algorithm are also introduced. Finally, interested directions which need to be further studied are discussed. For Boosting theory, these directions include deducing a tighter generalization error bound and finding a more precise weak learning condition in multiclass problem. For AdaBoost, the stopping conditions, the way to enhance anti-noise capability and how to improve the accuracy by optimizing the diversity of the base classifiers, are good questions to be in-depth researched.","author":[{"dropping-particle":"","family":"Cao","given":"Ying","non-dropping-particle":"","parse-names":false,"suffix":""},{"dropping-particle":"","family":"Miao","given":"Qi-Guang","non-dropping-particle":"","parse-names":false,"suffix":""},{"dropping-particle":"","family":"Liu","given":"Jia-Chen","non-dropping-particle":"","parse-names":false,"suffix":""},{"dropping-particle":"","family":"Gao","given":"Lin","non-dropping-particle":"","parse-names":false,"suffix":""}],"container-title":"Acta Automatica Sinica","id":"ITEM-1","issue":"6","issued":{"date-parts":[["2013","6","1"]]},"page":"745-758","publisher":"Elsevier BV","title":"Advance and Prospects of AdaBoost Algorithm","type":"article-journal","volume":"39"},"uris":["http://www.mendeley.com/documents/?uuid=4d43ddc5-f8d8-378c-b0af-c3f6ad2e6cbe"]}],"mendeley":{"formattedCitation":"&lt;sup&gt;144&lt;/sup&gt;","plainTextFormattedCitation":"144","previouslyFormattedCitation":"&lt;sup&gt;144&lt;/sup&gt;"},"properties":{"noteIndex":0},"schema":"https://github.com/citation-style-language/schema/raw/master/csl-citation.json"}</w:instrText>
      </w:r>
      <w:r w:rsidR="007165F8">
        <w:fldChar w:fldCharType="separate"/>
      </w:r>
      <w:r w:rsidR="00D217EC" w:rsidRPr="00D217EC">
        <w:rPr>
          <w:noProof/>
          <w:vertAlign w:val="superscript"/>
        </w:rPr>
        <w:t>144</w:t>
      </w:r>
      <w:r w:rsidR="007165F8">
        <w:fldChar w:fldCharType="end"/>
      </w:r>
      <w:r w:rsidR="000A0178">
        <w:t>, as well as others</w:t>
      </w:r>
      <w:r w:rsidR="007165F8">
        <w:t>.</w:t>
      </w:r>
      <w:r>
        <w:t xml:space="preserve"> </w:t>
      </w:r>
      <w:r w:rsidR="007165F8">
        <w:t>The last two algorithms we want to highlight are n-grams and XGBoost. n-grams are used by AmpGram, hence the name, and are</w:t>
      </w:r>
      <w:r w:rsidR="003D05FF">
        <w:t xml:space="preserve"> </w:t>
      </w:r>
      <w:r w:rsidR="00A72A98">
        <w:t>a concept used in computational linguistics to predict the relative probability of words appearing in a specific sequence, based to their overall probability in a reference data set</w:t>
      </w:r>
      <w:r w:rsidR="00A72A98">
        <w:fldChar w:fldCharType="begin" w:fldLock="1"/>
      </w:r>
      <w:r w:rsidR="00C06ED7">
        <w:instrText>ADDIN CSL_CITATION {"citationItems":[{"id":"ITEM-1","itemData":{"DOI":"10.5555/176313.176313","abstract":"We address the problem of predicting a word from previous words in a sample of text. In particular, we discuss n-gram models based on classes of words. We also discuss several statistical algorithms for assigning words to classes based on the frequency of their co-occurrence with other words. We find that we are able to extract classes that have the flavor of either syntactically based groupings or semantically based groupings, depending on the nature of the underlying statistics.","author":[{"dropping-particle":"","family":"Brown","given":"Peter F","non-dropping-particle":"","parse-names":false,"suffix":""},{"dropping-particle":"V","family":"DeSouza","given":"Peter","non-dropping-particle":"","parse-names":false,"suffix":""},{"dropping-particle":"","family":"Mercer","given":"Robert L","non-dropping-particle":"","parse-names":false,"suffix":""},{"dropping-particle":"","family":"Pietra","given":"Vincent J","non-dropping-particle":"Della","parse-names":false,"suffix":""},{"dropping-particle":"","family":"Lai","given":"Jenifer C","non-dropping-particle":"","parse-names":false,"suffix":""}],"container-title":"Computational Linguistics","id":"ITEM-1","issue":"4","issued":{"date-parts":[["1992"]]},"page":"467-80","title":"Class-Based n-gram Models of Natural Language","type":"article-journal","volume":"18"},"uris":["http://www.mendeley.com/documents/?uuid=fa436836-cf54-3064-9fad-bcde6982770f"]}],"mendeley":{"formattedCitation":"&lt;sup&gt;145&lt;/sup&gt;","plainTextFormattedCitation":"145","previouslyFormattedCitation":"&lt;sup&gt;145&lt;/sup&gt;"},"properties":{"noteIndex":0},"schema":"https://github.com/citation-style-language/schema/raw/master/csl-citation.json"}</w:instrText>
      </w:r>
      <w:r w:rsidR="00A72A98">
        <w:fldChar w:fldCharType="separate"/>
      </w:r>
      <w:r w:rsidR="00D217EC" w:rsidRPr="00D217EC">
        <w:rPr>
          <w:noProof/>
          <w:vertAlign w:val="superscript"/>
        </w:rPr>
        <w:t>145</w:t>
      </w:r>
      <w:r w:rsidR="00A72A98">
        <w:fldChar w:fldCharType="end"/>
      </w:r>
      <w:r w:rsidR="00A72A98">
        <w:t>. In the context of AMPs, n-grams are used to predict amino acid motifs with AMP</w:t>
      </w:r>
      <w:r w:rsidR="005958F6">
        <w:t xml:space="preserve"> activity. This allows AMPGram</w:t>
      </w:r>
      <w:r w:rsidR="00CC2088">
        <w:t xml:space="preserve"> to not only check the activity of novel peptides but </w:t>
      </w:r>
      <w:r w:rsidR="009C477A">
        <w:t xml:space="preserve">also </w:t>
      </w:r>
      <w:r w:rsidR="00CC2088">
        <w:t xml:space="preserve">scan </w:t>
      </w:r>
      <w:r w:rsidR="009C477A">
        <w:t xml:space="preserve">for so-called ‘cryptic’ AMPs, which are </w:t>
      </w:r>
      <w:r w:rsidR="009633C3">
        <w:t xml:space="preserve">antimicrobial </w:t>
      </w:r>
      <w:r w:rsidR="009C477A">
        <w:t>domains and segments of proteins that do not have antimicrobial activity and are obtained from proteolysis of the parent sequence</w:t>
      </w:r>
      <w:r w:rsidR="009C477A">
        <w:fldChar w:fldCharType="begin" w:fldLock="1"/>
      </w:r>
      <w:r w:rsidR="00C06ED7">
        <w:instrText>ADDIN CSL_CITATION {"citationItems":[{"id":"ITEM-1","itemData":{"DOI":"10.1111/febs.13725","ISSN":"1742464X","abstract":"Cationic antimicrobial peptides (AMPs) possess fast and broad-spectrum activity against both Gram-negative and Gram-positive bacteria, as well as fungi. It has become increasingly evident that many AMPs, including those that derive from fragments of host proteins, are multifunctional and able to mediate various immunomodulatory functions and angiogenesis. Among these, synthetic apolipoprotein-derived peptides are safe and well tolerated in humans and have emerged as promising candidates in the treatment of various inflammatory conditions. Here, we report the characterization of a new AMP corresponding to residues 133–150 of human apolipoprotein E. Our results show that this peptide, produced either by chemical synthesis or by recombinant techniques in Escherichia coli, possesses a broad-spectrum antibacterial activity. As shown for several other AMPs, ApoE (133–150) is structured in the presence of TFE and of membrane-mimicking agents, like SDS, or bacterial surface lipopolysaccharide (LPS), and an anionic polysaccharide, alginate, which mimics anionic capsular exo-polysaccharides of several pathogenic microorganisms. Noteworthy, ApoE (133–150) is not toxic toward several human cell lines and triggers a significant innate immune response, assessed either as decreased expression levels of proinflammatory cytokines in differentiated THP-1 monocytic cells or by the induction of chemokines released from PBMCs. This novel bioactive AMP also showed a significant anti-inflammatory effect on human keratinocytes, suggesting its potential use as a model for designing new immunomodulatory therapeutics.","author":[{"dropping-particle":"","family":"Pane","given":"Katia","non-dropping-particle":"","parse-names":false,"suffix":""},{"dropping-particle":"","family":"Sgambati","given":"Valeria","non-dropping-particle":"","parse-names":false,"suffix":""},{"dropping-particle":"","family":"Zanfardino","given":"Anna","non-dropping-particle":"","parse-names":false,"suffix":""},{"dropping-particle":"","family":"Smaldone","given":"Giovanni","non-dropping-particle":"","parse-names":false,"suffix":""},{"dropping-particle":"","family":"Cafaro","given":"Valeria","non-dropping-particle":"","parse-names":false,"suffix":""},{"dropping-particle":"","family":"Angrisano","given":"Tiziana","non-dropping-particle":"","parse-names":false,"suffix":""},{"dropping-particle":"","family":"Pedone","given":"Emilia","non-dropping-particle":"","parse-names":false,"suffix":""},{"dropping-particle":"","family":"Gaetano","given":"Sonia","non-dropping-particle":"Di","parse-names":false,"suffix":""},{"dropping-particle":"","family":"Capasso","given":"Domenica","non-dropping-particle":"","parse-names":false,"suffix":""},{"dropping-particle":"","family":"Haney","given":"Evan F.","non-dropping-particle":"","parse-names":false,"suffix":""},{"dropping-particle":"","family":"Izzo","given":"Viviana","non-dropping-particle":"","parse-names":false,"suffix":""},{"dropping-particle":"","family":"Varcamonti","given":"Mario","non-dropping-particle":"","parse-names":false,"suffix":""},{"dropping-particle":"","family":"Notomista","given":"Eugenio","non-dropping-particle":"","parse-names":false,"suffix":""},{"dropping-particle":"","family":"Hancock","given":"Robert E.W.","non-dropping-particle":"","parse-names":false,"suffix":""},{"dropping-particle":"","family":"Donato","given":"Alberto","non-dropping-particle":"Di","parse-names":false,"suffix":""},{"dropping-particle":"","family":"Pizzo","given":"Elio","non-dropping-particle":"","parse-names":false,"suffix":""}],"container-title":"The FEBS Journal","id":"ITEM-1","issue":"11","issued":{"date-parts":[["2016","6","1"]]},"page":"2115-2131","publisher":"Blackwell Publishing Ltd","title":"A new cryptic cationic antimicrobial peptide from human apolipoprotein E with antibacterial activity and immunomodulatory effects on human cells","type":"article-journal","volume":"283"},"uris":["http://www.mendeley.com/documents/?uuid=1e1eedac-2acf-3b5b-aa49-d6c3bbdc6816"]},{"id":"ITEM-2","itemData":{"DOI":"10.1371/journal.ppat.1000857","ISSN":"15537374","PMID":"20421939","abstract":"The coagulation system is characterized by the sequential and highly localized activation of a series of serine proteases, culminating in the conversion of fibrinogen into fibrin, and formation of a fibrin clot. Here we show that C-terminal peptides of thrombin, a key enzyme in the coagulation cascade, constitute a novel class of host defense peptides, released upon proteolysis of thrombin in vitro, and detected in human wounds in vivo. Under physiological conditions, these peptides exert antimicrobial effects against Gram-positive and Gram-negative bacteria, mediated by membrane lysis, as well as immunomodulatory functions, by inhibiting macrophage responses to bacterial lipopolysaccharide. In mice, they are protective against P. aeruginosa sepsis, as well as lipopolysaccharide-induced shock. Moreover, the thrombin-derived peptides exhibit helical structures upon binding to lipopolysaccharide and can also permeabilize liposomes, features typical of \"classical\" helical antimicrobial peptides. These findings provide a novel link between the coagulation system and host-defense peptides, two fundamental biological systems activated in response to injury and microbial invasion.","author":[{"dropping-particle":"","family":"Papareddy","given":"Praveen","non-dropping-particle":"","parse-names":false,"suffix":""},{"dropping-particle":"","family":"Rydengård","given":"Victoria","non-dropping-particle":"","parse-names":false,"suffix":""},{"dropping-particle":"","family":"Pasupuleti","given":"Mukesh","non-dropping-particle":"","parse-names":false,"suffix":""},{"dropping-particle":"","family":"Walse","given":"Björn","non-dropping-particle":"","parse-names":false,"suffix":""},{"dropping-particle":"","family":"Mörgelin","given":"Matthias","non-dropping-particle":"","parse-names":false,"suffix":""},{"dropping-particle":"","family":"Chalupka","given":"Anna","non-dropping-particle":"","parse-names":false,"suffix":""},{"dropping-particle":"","family":"Malmsten","given":"Martin","non-dropping-particle":"","parse-names":false,"suffix":""},{"dropping-particle":"","family":"Schmidtchen","given":"Artur","non-dropping-particle":"","parse-names":false,"suffix":""}],"container-title":"PLoS pathogens","id":"ITEM-2","issue":"4","issued":{"date-parts":[["2010"]]},"page":"e1000857","publisher":"PLoS Pathog","title":"Proteolysis of human thrombin generates novel host defense peptides.","type":"article-journal","volume":"6"},"uris":["http://www.mendeley.com/documents/?uuid=28d934c1-3966-3085-94a9-eb16309a8907"]}],"mendeley":{"formattedCitation":"&lt;sup&gt;146,147&lt;/sup&gt;","plainTextFormattedCitation":"146,147","previouslyFormattedCitation":"&lt;sup&gt;146,147&lt;/sup&gt;"},"properties":{"noteIndex":0},"schema":"https://github.com/citation-style-language/schema/raw/master/csl-citation.json"}</w:instrText>
      </w:r>
      <w:r w:rsidR="009C477A">
        <w:fldChar w:fldCharType="separate"/>
      </w:r>
      <w:r w:rsidR="00D217EC" w:rsidRPr="00D217EC">
        <w:rPr>
          <w:noProof/>
          <w:vertAlign w:val="superscript"/>
        </w:rPr>
        <w:t>146,147</w:t>
      </w:r>
      <w:r w:rsidR="009C477A">
        <w:fldChar w:fldCharType="end"/>
      </w:r>
      <w:r w:rsidR="009C477A">
        <w:t>.</w:t>
      </w:r>
      <w:r w:rsidR="005958F6">
        <w:t xml:space="preserve"> </w:t>
      </w:r>
      <w:r w:rsidR="00C82511">
        <w:t xml:space="preserve">For example, this approach has been used to find AMP-likely segments in the genome of </w:t>
      </w:r>
      <w:r w:rsidR="00A313B9">
        <w:t xml:space="preserve">chromatophores from the amoeba </w:t>
      </w:r>
      <w:r w:rsidR="00A313B9">
        <w:rPr>
          <w:i/>
        </w:rPr>
        <w:t>Paulinella chromotophora</w:t>
      </w:r>
      <w:r w:rsidR="00A313B9">
        <w:t>, in an effort to understand endosymbiosis and organellogenesis</w:t>
      </w:r>
      <w:r w:rsidR="00A313B9">
        <w:fldChar w:fldCharType="begin" w:fldLock="1"/>
      </w:r>
      <w:r w:rsidR="00C06ED7">
        <w:instrText xml:space="preserve">ADDIN CSL_CITATION {"citationItems":[{"id":"ITEM-1","itemData":{"DOI":"10.3389/fmicb.2020.607182","ISSN":"1664302X","abstract":"The endosymbiotic acquisition of mitochondria and plastids more than one billion years ago was central for the evolution of eukaryotic life. However, owing to their ancient origin, these organelles provide only limited insights into the initial stages of organellogenesis. The cercozoan amoeba Paulinella chromatophora contains photosynthetic organelles—termed chromatophores—that evolved from a cyanobacterium </w:instrText>
      </w:r>
      <w:r w:rsidR="00C06ED7">
        <w:rPr>
          <w:rFonts w:ascii="Cambria Math" w:hAnsi="Cambria Math" w:cs="Cambria Math"/>
        </w:rPr>
        <w:instrText>∼</w:instrText>
      </w:r>
      <w:r w:rsidR="00C06ED7">
        <w:instrText>100 million years ago, independently from plastids in plants and algae. Despite the more recent origin of the chromatophore, it shows tight integration into the host cell. It imports hundreds of nucleus-encoded proteins, and diverse metabolites are continuously exchanged across the two chromatophore envelope membranes. However, the limited set of chromatophore-encoded solute transporters appears insufficient for supporting metabolic connectivity or protein import. Furthermore, chromatophore-localized biosynthetic pathways as well as multiprotein complexes include proteins of dual genetic origin, suggesting that mechanisms evolved that coordinate gene expression levels between chromatophore and nucleus. These findings imply that similar to the situation in mitochondria and plastids, also in P. chromatophora nuclear factors evolved that control metabolite exchange and gene expression in the chromatophore. Here we show by mass spectrometric analyses of enriched insoluble protein fractions that, unexpectedly, nucleus-encoded transporters are not inserted into the chromatophore inner envelope membrane. Thus, despite the apparent maintenance of its barrier function, canonical metabolite transporters are missing in this membrane. Instead we identified several expanded groups of short chromatophore-targeted orphan proteins. Members of one of these groups are characterized by a single transmembrane helix, and others contain amphipathic helices. We hypothesize that these proteins are involved in modulating membrane permeability. Thus, the mechanism generating metabolic connectivity of the chromatophore fundamentally differs from the one for mitochondria and plastids, but likely rather resembles the poorly understood mechanism in various bacterial endosymbionts in plants and insects. Furthermore, our mass spectrometric analysis revealed an expanded family of chromatophore-targeted helical repeat proteins. These proteins show similar domain architectures as known organelle-targeted expression regulators of the octotrico peptide repeat type in algae and plants. …","author":[{"dropping-particle":"","family":"Oberleitner","given":"Linda","non-dropping-particle":"","parse-names":false,"suffix":""},{"dropping-particle":"","family":"Poschmann","given":"Gereon","non-dropping-particle":"","parse-names":false,"suffix":""},{"dropping-particle":"","family":"Macorano","given":"Luis","non-dropping-particle":"","parse-names":false,"suffix":""},{"dropping-particle":"","family":"Schott-Verdugo","given":"Stephan","non-dropping-particle":"","parse-names":false,"suffix":""},{"dropping-particle":"","family":"Gohlke","given":"Holger","non-dropping-particle":"","parse-names":false,"suffix":""},{"dropping-particle":"","family":"Stühler","given":"Kai","non-dropping-particle":"","parse-names":false,"suffix":""},{"dropping-particle":"","family":"Nowack","given":"Eva C.M.","non-dropping-particle":"","parse-names":false,"suffix":""}],"container-title":"Frontiers in Microbiology","id":"ITEM-1","issued":{"date-parts":[["2020","11","27"]]},"page":"607182","publisher":"Frontiers Media S.A.","title":"The Puzzle of Metabolite Exchange and Identification of Putative Octotrico Peptide Repeat Expression Regulators in the Nascent Photosynthetic Organelles of Paulinella chromatophora","type":"article-journal","volume":"11"},"uris":["http://www.mendeley.com/documents/?uuid=2eb8430a-9b60-3b75-ac70-9e1fd3dc5d50"]}],"mendeley":{"formattedCitation":"&lt;sup&gt;148&lt;/sup&gt;","plainTextFormattedCitation":"148","previouslyFormattedCitation":"&lt;sup&gt;148&lt;/sup&gt;"},"properties":{"noteIndex":0},"schema":"https://github.com/citation-style-language/schema/raw/master/csl-citation.json"}</w:instrText>
      </w:r>
      <w:r w:rsidR="00A313B9">
        <w:fldChar w:fldCharType="separate"/>
      </w:r>
      <w:r w:rsidR="00A313B9" w:rsidRPr="00A313B9">
        <w:rPr>
          <w:noProof/>
          <w:vertAlign w:val="superscript"/>
        </w:rPr>
        <w:t>148</w:t>
      </w:r>
      <w:r w:rsidR="00A313B9">
        <w:fldChar w:fldCharType="end"/>
      </w:r>
      <w:r w:rsidR="00A313B9">
        <w:t xml:space="preserve">. </w:t>
      </w:r>
      <w:r w:rsidR="000A0178">
        <w:t xml:space="preserve">Finally, </w:t>
      </w:r>
      <w:r w:rsidR="005958F6">
        <w:t>XGBoost</w:t>
      </w:r>
      <w:r w:rsidR="005958F6">
        <w:fldChar w:fldCharType="begin" w:fldLock="1"/>
      </w:r>
      <w:r w:rsidR="00C06ED7">
        <w:instrText>ADDIN CSL_CITATION {"citationItems":[{"id":"ITEM-1","itemData":{"DOI":"10.5555/176313.176313","abstract":"We address the problem of predicting a word from previous words in a sample of text. In particular, we discuss n-gram models based on classes of words. We also discuss several statistical algorithms for assigning words to classes based on the frequency of their co-occurrence with other words. We find that we are able to extract classes that have the flavor of either syntactically based groupings or semantically based groupings, depending on the nature of the underlying statistics.","author":[{"dropping-particle":"","family":"Brown","given":"Peter F","non-dropping-particle":"","parse-names":false,"suffix":""},{"dropping-particle":"V","family":"DeSouza","given":"Peter","non-dropping-particle":"","parse-names":false,"suffix":""},{"dropping-particle":"","family":"Mercer","given":"Robert L","non-dropping-particle":"","parse-names":false,"suffix":""},{"dropping-particle":"","family":"Pietra","given":"Vincent J","non-dropping-particle":"Della","parse-names":false,"suffix":""},{"dropping-particle":"","family":"Lai","given":"Jenifer C","non-dropping-particle":"","parse-names":false,"suffix":""}],"container-title":"Computational Linguistics","id":"ITEM-1","issue":"4","issued":{"date-parts":[["1992"]]},"page":"467-80","title":"Class-Based n-gram Models of Natural Language","type":"article-journal","volume":"18"},"uris":["http://www.mendeley.com/documents/?uuid=fa436836-cf54-3064-9fad-bcde6982770f"]}],"mendeley":{"formattedCitation":"&lt;sup&gt;145&lt;/sup&gt;","plainTextFormattedCitation":"145","previouslyFormattedCitation":"&lt;sup&gt;145&lt;/sup&gt;"},"properties":{"noteIndex":0},"schema":"https://github.com/citation-style-language/schema/raw/master/csl-citation.json"}</w:instrText>
      </w:r>
      <w:r w:rsidR="005958F6">
        <w:fldChar w:fldCharType="separate"/>
      </w:r>
      <w:r w:rsidR="00D217EC" w:rsidRPr="00D217EC">
        <w:rPr>
          <w:noProof/>
          <w:vertAlign w:val="superscript"/>
        </w:rPr>
        <w:t>145</w:t>
      </w:r>
      <w:r w:rsidR="005958F6">
        <w:fldChar w:fldCharType="end"/>
      </w:r>
      <w:r w:rsidR="005958F6">
        <w:t>, which stands for eXtreme Gradient Boosting</w:t>
      </w:r>
      <w:r w:rsidR="000A0178">
        <w:t>, is a relatively new ML algorithm</w:t>
      </w:r>
      <w:r w:rsidR="005958F6">
        <w:t xml:space="preserve">. </w:t>
      </w:r>
      <w:r w:rsidR="009B5548">
        <w:t xml:space="preserve">Gradient Boosting, the parent model, iteratively constructs weak predictors which become stronger as the ensemble grows; XGBoost is a highly optimised version of this process that focuses on efficiency. It </w:t>
      </w:r>
      <w:r w:rsidR="005958F6">
        <w:t>is particularly well suited for classification and regression, and its main advantage is that it is very fast. The IAMPE predictor tool</w:t>
      </w:r>
      <w:r w:rsidR="005958F6">
        <w:fldChar w:fldCharType="begin" w:fldLock="1"/>
      </w:r>
      <w:r w:rsidR="00AE3E77">
        <w:instrText>ADDIN CSL_CITATION {"citationItems":[{"id":"ITEM-1","itemData":{"DOI":"10.1021/acs.jcim.0c00841","ISSN":"15205142","PMID":"32946226","abstract":"Antimicrobial peptides (AMPs) are at the focus of attention due to their therapeutic importance and developing computational tools for the identification of efficient antibiotics from the primary structure. Here, we utilized the 13CNMR spectral of amino acids and clustered them into various groups. These clusters were used to build feature vectors for the AMP sequences based on the composition, transition, and distribution of cluster members. These features, along with the physicochemical properties of AMPs were exploited to learn computational models to predict active AMPs solely from their sequences. Naive Bayes (NB), k-nearest neighbors (KNN), support-vector machine (SVM), random forest (RF), and eXtreme Gradient Boosting (XGBoost) were employed to build the classification system using the collected AMP datasets from the CAMP, LAMP, ADAM, and AntiBP databases. Our results were validated and compared with the CAMP and ADAM prediction systems and indicated that the synergistic combination of the 13CNMR features with the physicochemical descriptors enables the proposed ensemble mechanism to improve the prediction performance of active AMP sequences. Our web-based AMP prediction platform, IAMPE, is available at http://cbb1.ut.ac.ir/.","author":[{"dropping-particle":"","family":"Kavousi","given":"Kaveh","non-dropping-particle":"","parse-names":false,"suffix":""},{"dropping-particle":"","family":"Bagheri","given":"Mojtaba","non-dropping-particle":"","parse-names":false,"suffix":""},{"dropping-particle":"","family":"Behrouzi","given":"Saman","non-dropping-particle":"","parse-names":false,"suffix":""},{"dropping-particle":"","family":"Vafadar","given":"Safar","non-dropping-particle":"","parse-names":false,"suffix":""},{"dropping-particle":"","family":"Atanaki","given":"Fereshteh Fallah","non-dropping-particle":"","parse-names":false,"suffix":""},{"dropping-particle":"","family":"Lotfabadi","given":"Bahareh Teimouri","non-dropping-particle":"","parse-names":false,"suffix":""},{"dropping-particle":"","family":"Ariaeenejad","given":"Shohreh","non-dropping-particle":"","parse-names":false,"suffix":""},{"dropping-particle":"","family":"Shockravi","given":"Abbas","non-dropping-particle":"","parse-names":false,"suffix":""},{"dropping-particle":"","family":"Moosavi-Movahedi","given":"Ali Akbar","non-dropping-particle":"","parse-names":false,"suffix":""}],"container-title":"Journal of Chemical Information and Modeling","id":"ITEM-1","issue":"10","issued":{"date-parts":[["2020","10","26"]]},"page":"4691-4701","publisher":"American Chemical Society","title":"IAMPE: NMR-assisted computational prediction of antimicrobial peptides","type":"article-journal","volume":"60"},"uris":["http://www.mendeley.com/documents/?uuid=fb9e26bf-e5db-3bcc-94a9-9d3d24ff78a7"]}],"mendeley":{"formattedCitation":"&lt;sup&gt;118&lt;/sup&gt;","plainTextFormattedCitation":"118","previouslyFormattedCitation":"&lt;sup&gt;118&lt;/sup&gt;"},"properties":{"noteIndex":0},"schema":"https://github.com/citation-style-language/schema/raw/master/csl-citation.json"}</w:instrText>
      </w:r>
      <w:r w:rsidR="005958F6">
        <w:fldChar w:fldCharType="separate"/>
      </w:r>
      <w:r w:rsidR="00AB6F80" w:rsidRPr="00AB6F80">
        <w:rPr>
          <w:noProof/>
          <w:vertAlign w:val="superscript"/>
        </w:rPr>
        <w:t>118</w:t>
      </w:r>
      <w:r w:rsidR="005958F6">
        <w:fldChar w:fldCharType="end"/>
      </w:r>
      <w:r w:rsidR="005958F6">
        <w:t xml:space="preserve"> implemented several different ML strategies, </w:t>
      </w:r>
      <w:r w:rsidR="000A0178">
        <w:t>and found XGBoost to</w:t>
      </w:r>
      <w:r w:rsidR="001D25F5">
        <w:t xml:space="preserve"> be</w:t>
      </w:r>
      <w:r w:rsidR="000A0178">
        <w:t xml:space="preserve"> the best performing among the tested ones in terms of </w:t>
      </w:r>
      <w:r w:rsidR="000A0178">
        <w:lastRenderedPageBreak/>
        <w:t>predictions.</w:t>
      </w:r>
      <w:r w:rsidR="009B5548">
        <w:t xml:space="preserve"> XGBoost has </w:t>
      </w:r>
      <w:r w:rsidR="0010299C">
        <w:t>found applications in many fields beyond AMP research where it has proven to be a popular and effective algorithm</w:t>
      </w:r>
      <w:r w:rsidR="0010299C">
        <w:fldChar w:fldCharType="begin" w:fldLock="1"/>
      </w:r>
      <w:r w:rsidR="00576689">
        <w:instrText>ADDIN CSL_CITATION {"citationItems":[{"id":"ITEM-1","itemData":{"DOI":"10.11591/ijece.v9i5.pp4321-4325","ISSN":"2088-8708","abstract":"Football has been one of the most popular and loved sports since its birth on November 6th, 1869. The main reason for this is because it is highly unpredictable in nature. Predicting football matches results seems like the perfect problem for machine learning models. But there are various caveats such as picking the right features from an enormous number of available features. There have been many models which have been applied to various football-related datasets. This paper aims to compare Support Vector Machines a machine learning model and XGBoost an Ensemble learning model and how Ensemble Learning can greatly improve the accuracy of the predictions.","author":[{"dropping-particle":"","family":"Khan","given":"Shuaib","non-dropping-particle":"","parse-names":false,"suffix":""}],"container-title":"International Journal of Electrical and Computer Engineering (IJECE)","id":"ITEM-1","issue":"5","issued":{"date-parts":[["2019"]]},"page":"4321-4325","title":"Comparing machine learning and ensemble learning in the field of football","type":"article-journal","volume":"9"},"uris":["http://www.mendeley.com/documents/?uuid=0fe59ac2-aaac-3712-b156-35bc77fa71ad"]},{"id":"ITEM-2","itemData":{"DOI":"10.3389/fgene.2019.01077","ISSN":"1664-8021","abstract":"Gene expression profiling has been widely used to characterize cell status to reflect the health of the body, to diagnose genetic diseases, etc. In recent years, although the cost of genome-wide expression profiling is gradually decreasing, the cost of collecting expression profiles for thousands of genes is still very high. Considering gene expressions are usually highly correlated in humans, the expression values of the remaining target genes can be predicted by analyzing the values of 943 landmark genes. Hence, we designed an algorithm for predicting gene expression values based on XGBoost, which integrates multiple tree models and has stronger interpretability. We tested the performance of XGBoost model on the GEO dataset and RNA-seq dataset and compared the result with other existing models. Experiments showed that the XGBoost model achieved a significantly lower overall error than the existing D-GEX algorithm, linear regression, and KNN methods. In conclusion, the XGBoost algorithm outperforms existing models and will be a significant contribution to the toolbox for gene expression value prediction.","author":[{"dropping-particle":"","family":"Li","given":"Wei","non-dropping-particle":"","parse-names":false,"suffix":""},{"dropping-particle":"","family":"Yin","given":"Yanbin","non-dropping-particle":"","parse-names":false,"suffix":""},{"dropping-particle":"","family":"Quan","given":"Xiongwen","non-dropping-particle":"","parse-names":false,"suffix":""},{"dropping-particle":"","family":"Zhang","given":"Han","non-dropping-particle":"","parse-names":false,"suffix":""}],"container-title":"Frontiers in Genetics","id":"ITEM-2","issued":{"date-parts":[["2019","11","12"]]},"page":"1077","publisher":"Frontiers Media S.A.","title":"Gene Expression Value Prediction Based on XGBoost Algorithm","type":"article-journal","volume":"10"},"uris":["http://www.mendeley.com/documents/?uuid=0f1e59c3-a0bc-3b94-84b1-069da33d3658"]},{"id":"ITEM-3","itemData":{"DOI":"10.1109/TCBB.2019.2911071","ISSN":"15579964","PMID":"30998478","abstract":"Chronic Kidney Disease (CKD) is a menace that is affecting 10 percent of the world population and 15 percent of the South African population. The early and cheap diagnosis of this disease with accuracy and reliability will save 20,000 lives in South Africa per year. Scientists are developing smart solutions with Artificial Intelligence (AI). In this paper, several typical and recent AI algorithms are studied in the context of CKD and the extreme gradient boosting (XGBoost) is chosen as our base model for its high performance. Then, the model is optimized and the optimal full model trained on all the features achieves a testing accuracy, sensitivity, and specificity of 1.000, 1.000, and 1.000, respectively. Note that, to cover the widest range of people, the time and monetary costs of CKD diagnosis have to be minimized with fewest patient tests. Thus, the reduced model using fewer features is desirable while it should still maintain high performance. To this end, the set-theory based rule is presented which combines a few feature selection methods with their collective strengths. The reduced model using about a half of the original full features performs better than the models based on individual feature selection methods and achieves accuracy, sensitivity and specificity, of 1.000, 1.000, and 1.000, respectively.","author":[{"dropping-particle":"","family":"Ogunleye","given":"Adeola","non-dropping-particle":"","parse-names":false,"suffix":""},{"dropping-particle":"","family":"Wang","given":"Qing Guo","non-dropping-particle":"","parse-names":false,"suffix":""}],"container-title":"IEEE/ACM Transactions on Computational Biology and Bioinformatics","id":"ITEM-3","issue":"6","issued":{"date-parts":[["2020","11","1"]]},"page":"2131-2140","publisher":"Institute of Electrical and Electronics Engineers Inc.","title":"XGBoost Model for Chronic Kidney Disease Diagnosis","type":"article-journal","volume":"17"},"uris":["http://www.mendeley.com/documents/?uuid=4aff1194-ac5f-3519-bb54-805bc8b20c61"]},{"id":"ITEM-4","itemData":{"DOI":"10.1109/UBMK.2017.8093500","ISBN":"9781538609309","abstract":"One of the most important role of economic variables in today's world countries are the price and the change of the price of crude oil. Changes in the price of crude oil have a very critical role in terms of treasury and budget, both in company and state planning. For example, one may choose one of the energy or natural gas indexed energy production plans based on the trend of the crude oil price, for planning to meet the need for electricity next year. Accurate forecasting of the crude oil price and realization of the forecasts based on this forecast will provide savings or gains in government and corporate economies, which can reach billions of dollars. There is a great need for this estimation in countries where crude oil production is low and heavily dependent on crude oil import. In this paper, the parameters which are the factors affecting the crude oil prices will be interpreted using XGBoost, a gradient boosting model, from machine learning libraries and estimation will be made.","author":[{"dropping-particle":"","family":"Gumus","given":"Mesut","non-dropping-particle":"","parse-names":false,"suffix":""},{"dropping-particle":"","family":"Kiran","given":"Mustafa S.","non-dropping-particle":"","parse-names":false,"suffix":""}],"container-title":"2nd International Conference on Computer Science and Engineering, UBMK 2017","id":"ITEM-4","issued":{"date-parts":[["2017","10","31"]]},"page":"1100-1103","publisher":"Institute of Electrical and Electronics Engineers Inc.","title":"Crude oil price forecasting using XGBoost","type":"paper-conference"},"uris":["http://www.mendeley.com/documents/?uuid=6696e4ad-f33c-32b1-8cfe-1c858bcab547"]}],"mendeley":{"formattedCitation":"&lt;sup&gt;149–152&lt;/sup&gt;","plainTextFormattedCitation":"149–152","previouslyFormattedCitation":"&lt;sup&gt;149–152&lt;/sup&gt;"},"properties":{"noteIndex":0},"schema":"https://github.com/citation-style-language/schema/raw/master/csl-citation.json"}</w:instrText>
      </w:r>
      <w:r w:rsidR="0010299C">
        <w:fldChar w:fldCharType="separate"/>
      </w:r>
      <w:r w:rsidR="00A313B9" w:rsidRPr="00A313B9">
        <w:rPr>
          <w:noProof/>
          <w:vertAlign w:val="superscript"/>
        </w:rPr>
        <w:t>149–152</w:t>
      </w:r>
      <w:r w:rsidR="0010299C">
        <w:fldChar w:fldCharType="end"/>
      </w:r>
      <w:r w:rsidR="0010299C">
        <w:t>.</w:t>
      </w:r>
    </w:p>
    <w:p w14:paraId="2D6EE6CA" w14:textId="63454342" w:rsidR="001529CF" w:rsidRDefault="00492337">
      <w:pPr>
        <w:pStyle w:val="LO-normal"/>
        <w:jc w:val="both"/>
      </w:pPr>
      <w:r>
        <w:t>T</w:t>
      </w:r>
      <w:r w:rsidR="0010299C">
        <w:t>o conclude, t</w:t>
      </w:r>
      <w:r>
        <w:t>he field of ML-assisted prediction of AMP sequences and activities is an ever-expanding one, augmented by the large number of available methods and models. These methods are not mutually exclusive; in fact, they are often used in conjunction to bolster each other and improve the quality of the results</w:t>
      </w:r>
      <w:r>
        <w:fldChar w:fldCharType="begin" w:fldLock="1"/>
      </w:r>
      <w:r w:rsidR="00576689">
        <w:instrText>ADDIN CSL_CITATION {"citationItems":[{"id":"ITEM-1","itemData":{"DOI":"10.1186/s12859-019-2766-9","ISSN":"14712105","PMID":"31182007","abstract":"Background: Antimicrobial peptides (AMPs) are essential components of the innate immune system and can protect the host from various pathogenic bacteria. The marine environment is known to be one of the richest sources for AMPs. Effective usage of AMPs and their derivatives can greatly improve the immunity and breeding survival rate of aquatic products. It is highly desirable to develop computational tools for rapidly and accurately identifying AMPs and their functional types, for the purpose of helping design new and more effective antimicrobial agents. Results: In this study, we made an attempt to develop an advanced machine learning based computational approach, MAMPs-Pred, for identification of AMPs and its function types. Initially, SVM-prot 188-D features were extracted that were subsequently used as input to a two-layer multi-label classifier. In specific, the first layer is to identify whether it is an AMP by applying RF classifier, and the second layer addresses the multi-type problem by identifying the activites or function types of AMPs by applying PS-RF and LC-RF classifiers. To benchmark the methods,the MAMPs-Pred method is also compared with existing best-performing methods in literature and has shown an improved identification accuracy. Conclusions: The results reported in this study indicate that the MAMP-Pred method achieves high performance for identifying AMPs and its functional types.The proposed approach is believed to supplement the tools and techniques that have been developed in the past for predicting AMPs and their function types.","author":[{"dropping-particle":"","family":"Lin","given":"Yuan","non-dropping-particle":"","parse-names":false,"suffix":""},{"dropping-particle":"","family":"Cai","given":"Yinyin","non-dropping-particle":"","parse-names":false,"suffix":""},{"dropping-particle":"","family":"Liu","given":"Juan","non-dropping-particle":"","parse-names":false,"suffix":""},{"dropping-particle":"","family":"Lin","given":"Chen","non-dropping-particle":"","parse-names":false,"suffix":""},{"dropping-particle":"","family":"Liu","given":"Xiangrong","non-dropping-particle":"","parse-names":false,"suffix":""}],"container-title":"BMC Bioinformatics","id":"ITEM-1","issue":"S8","issued":{"date-parts":[["2019","6","10"]]},"page":"291","publisher":"BioMed Central Ltd.","title":"An advanced approach to identify antimicrobial peptides and their function types for penaeus through machine learning strategies","type":"article-journal","volume":"20"},"uris":["http://www.mendeley.com/documents/?uuid=1f01652b-4b8a-303a-99f7-2504f64ccaf3"]},{"id":"ITEM-2","itemData":{"DOI":"10.1038/s41598-018-29566-5","ISSN":"20452322","PMID":"30046138","abstract":"The emergence and worldwide spread of multi-drug resistant bacteria makes an urgent challenge for the development of novel antibacterial agents. A perspective weapon to fight against severe infections caused by drug-resistant microorganisms is antimicrobial peptides (AMPs). AMPs are a diverse class of naturally occurring molecules that are produced as a first line of defense by all multi-cellular organisms. Limited by the number of experimental determinate 3D structure, most of the prediction or classification methods of AMPs were based on 2D descriptors, including sequence, amino acid composition, peptide net charge, hydrophobicity, amphiphilic, etc. Due to the rapid development of structural simulation methods, predicted models of proteins (or peptides) have been successfully applied in structure based drug design, for example as targets of virtual ligand screening. Here, we establish the activity prediction model based on the predicted 3D structure of AMPs molecule. To our knowledge, it is the first report of prediction method based on 3D descriptors of AMPs. Novel AMPs were designed by using the model, and their antibacterial effect was measured by in vitro experiments.","author":[{"dropping-particle":"","family":"Liu","given":"Shicai","non-dropping-particle":"","parse-names":false,"suffix":""},{"dropping-particle":"","family":"Bao","given":"Jingxiao","non-dropping-particle":"","parse-names":false,"suffix":""},{"dropping-particle":"","family":"Lao","given":"Xingzhen","non-dropping-particle":"","parse-names":false,"suffix":""},{"dropping-particle":"","family":"Zheng","given":"Heng","non-dropping-particle":"","parse-names":false,"suffix":""}],"container-title":"Scientific Reports","id":"ITEM-2","issue":"1","issued":{"date-parts":[["2018","12","1"]]},"page":"11189","publisher":"Nature Publishing Group","title":"Novel 3D Structure Based Model for Activity Prediction and Design of Antimicrobial Peptides","type":"article-journal","volume":"8"},"uris":["http://www.mendeley.com/documents/?uuid=9c0659c1-2b91-3c73-87cc-dfad1b872927"]}],"mendeley":{"formattedCitation":"&lt;sup&gt;109,153&lt;/sup&gt;","plainTextFormattedCitation":"109,153","previouslyFormattedCitation":"&lt;sup&gt;109,153&lt;/sup&gt;"},"properties":{"noteIndex":0},"schema":"https://github.com/citation-style-language/schema/raw/master/csl-citation.json"}</w:instrText>
      </w:r>
      <w:r>
        <w:fldChar w:fldCharType="separate"/>
      </w:r>
      <w:r w:rsidR="00A313B9" w:rsidRPr="00A313B9">
        <w:rPr>
          <w:noProof/>
          <w:vertAlign w:val="superscript"/>
        </w:rPr>
        <w:t>109,153</w:t>
      </w:r>
      <w:r>
        <w:fldChar w:fldCharType="end"/>
      </w:r>
      <w:r>
        <w:t>. Simpler statistical tools are also available, such as logistic regression</w:t>
      </w:r>
      <w:r>
        <w:fldChar w:fldCharType="begin" w:fldLock="1"/>
      </w:r>
      <w:r w:rsidR="00576689">
        <w:instrText>ADDIN CSL_CITATION {"citationItems":[{"id":"ITEM-1","itemData":{"DOI":"10.1038/s41598-017-01986-9","ISSN":"20452322","PMID":"28526820","abstract":"Antimicrobial peptides (AMPs) are peptide antibiotics with a broad spectrum of antimicrobial activities. Activity prediction of AMPs from their amino acid sequences is of great therapeutic importance but imposes challenges on prediction methods due to label interactions. In this paper we propose a novel multi-label learning model to address this problem. A weighted K-nearest neighbor classifier is adopted for efficient representation learning of the sequence data. A multiple linear regression model is then employed to learn a mapping from the classifier score vectors to the target labels, with label correlations considered. Several popular multi-label learning algorithms and feature extraction methods were tested on a comprehensive, up-to-date AMP dataset with twelve biological activities covered and its filtered version with five activities covered. The experimental results showed that our proposed method has competitive performance with previous works and could be used as a powerful engine for activity prediction of AMPs.","author":[{"dropping-particle":"","family":"Wang","given":"Pu","non-dropping-particle":"","parse-names":false,"suffix":""},{"dropping-particle":"","family":"Ge","given":"Ruiquan","non-dropping-particle":"","parse-names":false,"suffix":""},{"dropping-particle":"","family":"Liu","given":"Liming","non-dropping-particle":"","parse-names":false,"suffix":""},{"dropping-particle":"","family":"Xiao","given":"Xuan","non-dropping-particle":"","parse-names":false,"suffix":""},{"dropping-particle":"","family":"Li","given":"Ye","non-dropping-particle":"","parse-names":false,"suffix":""},{"dropping-particle":"","family":"Cai","given":"Yunpeng","non-dropping-particle":"","parse-names":false,"suffix":""}],"container-title":"Scientific Reports","id":"ITEM-1","issue":"1","issued":{"date-parts":[["2017","12","1"]]},"page":"1-11","publisher":"Nature Publishing Group","title":"Multi-label learning for predicting the activities of antimicrobial peptides","type":"article-journal","volume":"7"},"uris":["http://www.mendeley.com/documents/?uuid=75e26c4c-1d7f-3d88-a949-f79070f875ca"]}],"mendeley":{"formattedCitation":"&lt;sup&gt;154&lt;/sup&gt;","plainTextFormattedCitation":"154","previouslyFormattedCitation":"&lt;sup&gt;154&lt;/sup&gt;"},"properties":{"noteIndex":0},"schema":"https://github.com/citation-style-language/schema/raw/master/csl-citation.json"}</w:instrText>
      </w:r>
      <w:r>
        <w:fldChar w:fldCharType="separate"/>
      </w:r>
      <w:r w:rsidR="00A313B9" w:rsidRPr="00A313B9">
        <w:rPr>
          <w:noProof/>
          <w:vertAlign w:val="superscript"/>
        </w:rPr>
        <w:t>154</w:t>
      </w:r>
      <w:r>
        <w:fldChar w:fldCharType="end"/>
      </w:r>
      <w:r>
        <w:t xml:space="preserve">. These methods can be used in many forms, </w:t>
      </w:r>
      <w:r w:rsidR="000A0178">
        <w:t>and are available as</w:t>
      </w:r>
      <w:r>
        <w:t xml:space="preserve"> open access libraries of scripts</w:t>
      </w:r>
      <w:r w:rsidR="000A0178">
        <w:t xml:space="preserve"> in packages</w:t>
      </w:r>
      <w:r>
        <w:t xml:space="preserve"> such as scikit-learn for python</w:t>
      </w:r>
      <w:r>
        <w:fldChar w:fldCharType="begin" w:fldLock="1"/>
      </w:r>
      <w:r w:rsidR="00D40997">
        <w:instrText>ADDIN CSL_CITATION {"citationItems":[{"id":"ITEM-1","itemData":{"DOI":"10.5555/1953048.2078195","abstract":"Scikit-learn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sourceforge.net.","author":[{"dropping-particle":"","family":"Pedregosa","given":"Fabian","non-dropping-particle":"","parse-names":false,"suffix":""},{"dropping-particle":"","family":"Michel","given":"Vincent","non-dropping-particle":"","parse-names":false,"suffix":""},{"dropping-particle":"","family":"Grisel","given":"Olivier","non-dropping-particle":"","parse-names":false,"suffix":""},{"dropping-particle":"","family":"Blondel","given":"Mathieu","non-dropping-particle":"","parse-names":false,"suffix":""},{"dropping-particle":"","family":"Prettenhofer","given":"Peter","non-dropping-particle":"","parse-names":false,"suffix":""},{"dropping-particle":"","family":"Weiss","given":"Ron","non-dropping-particle":"","parse-names":false,"suffix":""},{"dropping-particle":"","family":"Vanderplas","given":"Jake","non-dropping-particle":"","parse-names":false,"suffix":""},{"dropping-particle":"","family":"Cournapeau","given":"David","non-dropping-particle":"","parse-names":false,"suffix":""},{"dropping-particle":"","family":"Pedregosa","given":"Fabian","non-dropping-particle":"","parse-names":false,"suffix":""},{"dropping-particle":"","family":"Varoquaux","given":"Gaël","non-dropping-particle":"","parse-names":false,"suffix":""},{"dropping-particle":"","family":"Gramfort","given":"Alexandre","non-dropping-particle":"","parse-names":false,"suffix":""},{"dropping-particle":"","family":"Thirion","given":"Bertrand","non-dropping-particle":"","parse-names":false,"suffix":""},{"dropping-particle":"","family":"Grisel","given":"Olivier","non-dropping-particle":"","parse-names":false,"suffix":""},{"dropping-particle":"","family":"Dubourg","given":"Vincent","non-dropping-particle":"","parse-names":false,"suffix":""},{"dropping-particle":"","family":"Passos","given":"Alexandre","non-dropping-particle":"","parse-names":false,"suffix":""},{"dropping-particle":"","family":"Brucher","given":"Matthieu","non-dropping-particle":"","parse-names":false,"suffix":""},{"dropping-particle":"","family":"Perrot","given":"Matthieu","non-dropping-particle":"","parse-names":false,"suffix":""},{"dropping-particle":"","family":"Duchesnay","given":"Édouard","non-dropping-particle":"","parse-names":false,"suffix":""}],"container-title":"Journal of Machine Learning Research","id":"ITEM-1","issued":{"date-parts":[["2011"]]},"page":"2825-2830","title":"Scikit-learn: Machine Learning in Python","type":"article-journal","volume":"12"},"uris":["http://www.mendeley.com/documents/?uuid=3caa76d4-8f4e-39aa-8c2e-2ab2e57790be"]}],"mendeley":{"formattedCitation":"&lt;sup&gt;155&lt;/sup&gt;","plainTextFormattedCitation":"155","previouslyFormattedCitation":"&lt;sup&gt;155&lt;/sup&gt;"},"properties":{"noteIndex":0},"schema":"https://github.com/citation-style-language/schema/raw/master/csl-citation.json"}</w:instrText>
      </w:r>
      <w:r>
        <w:fldChar w:fldCharType="separate"/>
      </w:r>
      <w:r w:rsidR="00A313B9" w:rsidRPr="00A313B9">
        <w:rPr>
          <w:noProof/>
          <w:vertAlign w:val="superscript"/>
        </w:rPr>
        <w:t>155</w:t>
      </w:r>
      <w:r>
        <w:fldChar w:fldCharType="end"/>
      </w:r>
      <w:r>
        <w:t xml:space="preserve"> or the mlr package for R</w:t>
      </w:r>
      <w:r>
        <w:fldChar w:fldCharType="begin" w:fldLock="1"/>
      </w:r>
      <w:r w:rsidR="00D40997">
        <w:instrText>ADDIN CSL_CITATION {"citationItems":[{"id":"ITEM-1","itemData":{"DOI":"10.5555/29446645.3053452","abstract":"The mlr package provides a generic, object-oriented, and extensible framework for classification , regression, survival analysis and clustering for the R language. It provides a unified interface to more than 160 basic learners and includes meta-algorithms and model selection techniques to improve and extend the functionality of basic learners with, e.g., hyperpa-rameter tuning, feature selection, and ensemble construction. Parallel high-performance computing is natively supported. The package targets practitioners who want to quickly apply machine learning algorithms, as well as researchers who want to implement, benchmark , and compare their new methods in a structured environment.","author":[{"dropping-particle":"","family":"Bischl","given":"Bernd","non-dropping-particle":"","parse-names":false,"suffix":""},{"dropping-particle":"","family":"Lang","given":"Michel","non-dropping-particle":"","parse-names":false,"suffix":""},{"dropping-particle":"","family":"Kotthoff","given":"Lars","non-dropping-particle":"","parse-names":false,"suffix":""},{"dropping-particle":"","family":"Schiffner","given":"Julia","non-dropping-particle":"","parse-names":false,"suffix":""},{"dropping-particle":"","family":"Richter","given":"Jakob","non-dropping-particle":"","parse-names":false,"suffix":""},{"dropping-particle":"","family":"Studerus","given":"Erich","non-dropping-particle":"","parse-names":false,"suffix":""},{"dropping-particle":"","family":"Casalicchio","given":"Giuseppe","non-dropping-particle":"","parse-names":false,"suffix":""},{"dropping-particle":"","family":"Jones","given":"Zachary M","non-dropping-particle":"","parse-names":false,"suffix":""}],"container-title":"Journal of Machine Learning Research","id":"ITEM-1","issued":{"date-parts":[["2016"]]},"page":"1-5","title":"mlr: Machine Learning in R","type":"article-journal","volume":"17"},"uris":["http://www.mendeley.com/documents/?uuid=a6e039da-e750-3ea5-9738-38b15ace7ef0"]}],"mendeley":{"formattedCitation":"&lt;sup&gt;156&lt;/sup&gt;","plainTextFormattedCitation":"156","previouslyFormattedCitation":"&lt;sup&gt;156&lt;/sup&gt;"},"properties":{"noteIndex":0},"schema":"https://github.com/citation-style-language/schema/raw/master/csl-citation.json"}</w:instrText>
      </w:r>
      <w:r>
        <w:fldChar w:fldCharType="separate"/>
      </w:r>
      <w:r w:rsidR="00A313B9" w:rsidRPr="00A313B9">
        <w:rPr>
          <w:noProof/>
          <w:vertAlign w:val="superscript"/>
        </w:rPr>
        <w:t>156</w:t>
      </w:r>
      <w:r>
        <w:fldChar w:fldCharType="end"/>
      </w:r>
      <w:r w:rsidR="003D05FF">
        <w:t>; amPEPpy, for example, employs a RF classifier using scikit-learn</w:t>
      </w:r>
      <w:r w:rsidR="003D05FF">
        <w:fldChar w:fldCharType="begin" w:fldLock="1"/>
      </w:r>
      <w:r w:rsidR="0052410F">
        <w:instrText>ADDIN CSL_CITATION {"citationItems":[{"id":"ITEM-1","itemData":{"DOI":"10.1093/bioinformatics/btaa917","ISSN":"1367-4803","abstract":"MOTIVATION Antimicrobial peptides (AMPs) are promising alternative antimicrobial agents. Currently, however, portable, user-friendly, and efficient methods for predicting AMP sequences from genome-scale data are not readily available. Here we present amPEPpy, an open-source, multi-threaded command-line application for predicting AMP sequences using a random forest classifier. AVAILABILITY amPEPpy is implemented in Python 3 and is freely available through GitHub (https://github.com/tlawrence3/amPEPpy). CONTACT lawrencetj@ornl.gov or labbejj@ornl.gov. SUPPLEMENTARY INFORMATION Supplementary data are available at Bioinformatics online.","author":[{"dropping-particle":"","family":"Lawrence","given":"Travis J","non-dropping-particle":"","parse-names":false,"suffix":""},{"dropping-particle":"","family":"Carper","given":"Dana L","non-dropping-particle":"","parse-names":false,"suffix":""},{"dropping-particle":"","family":"Spangler","given":"Margaret K","non-dropping-particle":"","parse-names":false,"suffix":""},{"dropping-particle":"","family":"Carrell","given":"Alyssa A","non-dropping-particle":"","parse-names":false,"suffix":""},{"dropping-particle":"","family":"Rush","given":"Tomás A","non-dropping-particle":"","parse-names":false,"suffix":""},{"dropping-particle":"","family":"Minter","given":"Stephen J","non-dropping-particle":"","parse-names":false,"suffix":""},{"dropping-particle":"","family":"Weston","given":"David J","non-dropping-particle":"","parse-names":false,"suffix":""},{"dropping-particle":"","family":"Labbé","given":"Jessy L","non-dropping-particle":"","parse-names":false,"suffix":""}],"container-title":"Bioinformatics","editor":[{"dropping-particle":"","family":"Pier Luigi","given":"Martelli","non-dropping-particle":"","parse-names":false,"suffix":""}],"id":"ITEM-1","issued":{"date-parts":[["2020","11","2"]]},"page":"1-3","publisher":"Oxford University Press (OUP)","title":"amPEPpy 1.0: a portable and accurate antimicrobial peptide prediction tool","type":"article-journal"},"uris":["http://www.mendeley.com/documents/?uuid=3e60317f-b772-304f-888e-463144ed8e7a"]}],"mendeley":{"formattedCitation":"&lt;sup&gt;116&lt;/sup&gt;","plainTextFormattedCitation":"116","previouslyFormattedCitation":"&lt;sup&gt;116&lt;/sup&gt;"},"properties":{"noteIndex":0},"schema":"https://github.com/citation-style-language/schema/raw/master/csl-citation.json"}</w:instrText>
      </w:r>
      <w:r w:rsidR="003D05FF">
        <w:fldChar w:fldCharType="separate"/>
      </w:r>
      <w:r w:rsidR="00AB6F80" w:rsidRPr="00AB6F80">
        <w:rPr>
          <w:noProof/>
          <w:vertAlign w:val="superscript"/>
        </w:rPr>
        <w:t>116</w:t>
      </w:r>
      <w:r w:rsidR="003D05FF">
        <w:fldChar w:fldCharType="end"/>
      </w:r>
      <w:r w:rsidR="000A0178">
        <w:t>, and IAMPE implemented five machine learning models (NB, KNN, SVM, RF and XGBoost) with scikit-learn.</w:t>
      </w:r>
      <w:r>
        <w:t xml:space="preserve">  As our computational capabilities improve and we can perform more calculations faster, machine-aided prediction will play an increasing role in AMP research.</w:t>
      </w:r>
    </w:p>
    <w:p w14:paraId="1F973774" w14:textId="77777777" w:rsidR="009A45E9" w:rsidRDefault="009A45E9">
      <w:pPr>
        <w:pStyle w:val="LO-normal"/>
        <w:jc w:val="both"/>
      </w:pPr>
    </w:p>
    <w:p w14:paraId="07371AF6" w14:textId="77777777" w:rsidR="009A45E9" w:rsidRDefault="009A45E9">
      <w:pPr>
        <w:pStyle w:val="LO-normal"/>
        <w:jc w:val="both"/>
      </w:pPr>
    </w:p>
    <w:p w14:paraId="6811FD39" w14:textId="76CECA60" w:rsidR="009A45E9" w:rsidRDefault="00D53A98">
      <w:pPr>
        <w:pStyle w:val="LO-normal"/>
        <w:jc w:val="both"/>
      </w:pPr>
      <w:r>
        <w:rPr>
          <w:noProof/>
          <w:lang w:val="en-SG" w:eastAsia="en-SG" w:bidi="ar-SA"/>
        </w:rPr>
        <mc:AlternateContent>
          <mc:Choice Requires="wpg">
            <w:drawing>
              <wp:anchor distT="0" distB="0" distL="114300" distR="114300" simplePos="0" relativeHeight="251777024" behindDoc="0" locked="0" layoutInCell="1" allowOverlap="1" wp14:anchorId="7636C081" wp14:editId="2EE4656A">
                <wp:simplePos x="0" y="0"/>
                <wp:positionH relativeFrom="column">
                  <wp:posOffset>19050</wp:posOffset>
                </wp:positionH>
                <wp:positionV relativeFrom="paragraph">
                  <wp:posOffset>23495</wp:posOffset>
                </wp:positionV>
                <wp:extent cx="6114552" cy="2301820"/>
                <wp:effectExtent l="19050" t="19050" r="38735" b="22860"/>
                <wp:wrapNone/>
                <wp:docPr id="40" name="Group 40"/>
                <wp:cNvGraphicFramePr/>
                <a:graphic xmlns:a="http://schemas.openxmlformats.org/drawingml/2006/main">
                  <a:graphicData uri="http://schemas.microsoft.com/office/word/2010/wordprocessingGroup">
                    <wpg:wgp>
                      <wpg:cNvGrpSpPr/>
                      <wpg:grpSpPr>
                        <a:xfrm>
                          <a:off x="0" y="0"/>
                          <a:ext cx="6114552" cy="2301820"/>
                          <a:chOff x="0" y="0"/>
                          <a:chExt cx="6114552" cy="2301820"/>
                        </a:xfrm>
                      </wpg:grpSpPr>
                      <wpg:grpSp>
                        <wpg:cNvPr id="23" name="Group 23"/>
                        <wpg:cNvGrpSpPr/>
                        <wpg:grpSpPr>
                          <a:xfrm>
                            <a:off x="0" y="0"/>
                            <a:ext cx="6114552" cy="2301820"/>
                            <a:chOff x="0" y="0"/>
                            <a:chExt cx="6114552" cy="2301820"/>
                          </a:xfrm>
                        </wpg:grpSpPr>
                        <wps:wsp>
                          <wps:cNvPr id="3" name="Rounded Rectangle 3"/>
                          <wps:cNvSpPr/>
                          <wps:spPr>
                            <a:xfrm>
                              <a:off x="0" y="0"/>
                              <a:ext cx="904875" cy="523875"/>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4B921F93" w14:textId="1ED7D014" w:rsidR="00C44087" w:rsidRPr="00D53A98" w:rsidRDefault="00C44087" w:rsidP="00D53A98">
                                <w:pPr>
                                  <w:jc w:val="center"/>
                                  <w:rPr>
                                    <w:color w:val="000000" w:themeColor="text1"/>
                                    <w:lang w:val="en-US"/>
                                  </w:rPr>
                                </w:pPr>
                                <w:r w:rsidRPr="00D53A98">
                                  <w:rPr>
                                    <w:color w:val="000000" w:themeColor="text1"/>
                                    <w:lang w:val="en-US"/>
                                  </w:rPr>
                                  <w:t>AMP 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Bent Arrow 7"/>
                          <wps:cNvSpPr/>
                          <wps:spPr>
                            <a:xfrm rot="10800000" flipH="1">
                              <a:off x="341906" y="532738"/>
                              <a:ext cx="1228725" cy="352425"/>
                            </a:xfrm>
                            <a:prstGeom prst="bentArrow">
                              <a:avLst>
                                <a:gd name="adj1" fmla="val 25000"/>
                                <a:gd name="adj2" fmla="val 23913"/>
                                <a:gd name="adj3" fmla="val 250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unded Rectangle 4"/>
                          <wps:cNvSpPr/>
                          <wps:spPr>
                            <a:xfrm>
                              <a:off x="0" y="890546"/>
                              <a:ext cx="904875" cy="533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765E5E1C" w14:textId="77777777" w:rsidR="00C44087" w:rsidRPr="00D53A98" w:rsidRDefault="00C44087" w:rsidP="00D53A98">
                                <w:pPr>
                                  <w:jc w:val="center"/>
                                  <w:rPr>
                                    <w:color w:val="000000" w:themeColor="text1"/>
                                    <w:lang w:val="en-US"/>
                                  </w:rPr>
                                </w:pPr>
                                <w:r w:rsidRPr="00D53A98">
                                  <w:rPr>
                                    <w:color w:val="000000" w:themeColor="text1"/>
                                    <w:lang w:val="en-US"/>
                                  </w:rPr>
                                  <w:t>AMP 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ed Rectangle 11"/>
                          <wps:cNvSpPr/>
                          <wps:spPr>
                            <a:xfrm>
                              <a:off x="1598212" y="516835"/>
                              <a:ext cx="915670" cy="1239424"/>
                            </a:xfrm>
                            <a:prstGeom prst="roundRect">
                              <a:avLst/>
                            </a:prstGeom>
                            <a:solidFill>
                              <a:schemeClr val="bg1"/>
                            </a:solidFill>
                            <a:ln w="571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D91E4" w14:textId="3DC0D41D" w:rsidR="00C44087" w:rsidRPr="00D53A98" w:rsidRDefault="00C44087" w:rsidP="00D53A98">
                                <w:pPr>
                                  <w:jc w:val="center"/>
                                  <w:rPr>
                                    <w:color w:val="000000" w:themeColor="text1"/>
                                    <w:lang w:val="en-US"/>
                                  </w:rPr>
                                </w:pPr>
                                <w:r w:rsidRPr="00D53A98">
                                  <w:rPr>
                                    <w:color w:val="000000" w:themeColor="text1"/>
                                    <w:lang w:val="en-US"/>
                                  </w:rPr>
                                  <w:t>Training Data 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Bent Arrow 10"/>
                          <wps:cNvSpPr/>
                          <wps:spPr>
                            <a:xfrm rot="10800000" flipH="1" flipV="1">
                              <a:off x="906448" y="1073426"/>
                              <a:ext cx="664883" cy="168551"/>
                            </a:xfrm>
                            <a:custGeom>
                              <a:avLst/>
                              <a:gdLst>
                                <a:gd name="connsiteX0" fmla="*/ 0 w 1228725"/>
                                <a:gd name="connsiteY0" fmla="*/ 352425 h 352425"/>
                                <a:gd name="connsiteX1" fmla="*/ 0 w 1228725"/>
                                <a:gd name="connsiteY1" fmla="*/ 194408 h 352425"/>
                                <a:gd name="connsiteX2" fmla="*/ 154186 w 1228725"/>
                                <a:gd name="connsiteY2" fmla="*/ 40222 h 352425"/>
                                <a:gd name="connsiteX3" fmla="*/ 1140619 w 1228725"/>
                                <a:gd name="connsiteY3" fmla="*/ 40222 h 352425"/>
                                <a:gd name="connsiteX4" fmla="*/ 1140619 w 1228725"/>
                                <a:gd name="connsiteY4" fmla="*/ 0 h 352425"/>
                                <a:gd name="connsiteX5" fmla="*/ 1228725 w 1228725"/>
                                <a:gd name="connsiteY5" fmla="*/ 84275 h 352425"/>
                                <a:gd name="connsiteX6" fmla="*/ 1140619 w 1228725"/>
                                <a:gd name="connsiteY6" fmla="*/ 168551 h 352425"/>
                                <a:gd name="connsiteX7" fmla="*/ 1140619 w 1228725"/>
                                <a:gd name="connsiteY7" fmla="*/ 128329 h 352425"/>
                                <a:gd name="connsiteX8" fmla="*/ 154186 w 1228725"/>
                                <a:gd name="connsiteY8" fmla="*/ 128329 h 352425"/>
                                <a:gd name="connsiteX9" fmla="*/ 88106 w 1228725"/>
                                <a:gd name="connsiteY9" fmla="*/ 194409 h 352425"/>
                                <a:gd name="connsiteX10" fmla="*/ 88106 w 1228725"/>
                                <a:gd name="connsiteY10" fmla="*/ 352425 h 352425"/>
                                <a:gd name="connsiteX11" fmla="*/ 0 w 1228725"/>
                                <a:gd name="connsiteY11" fmla="*/ 352425 h 352425"/>
                                <a:gd name="connsiteX0" fmla="*/ 0 w 1228725"/>
                                <a:gd name="connsiteY0" fmla="*/ 352425 h 352425"/>
                                <a:gd name="connsiteX1" fmla="*/ 154186 w 1228725"/>
                                <a:gd name="connsiteY1" fmla="*/ 40222 h 352425"/>
                                <a:gd name="connsiteX2" fmla="*/ 1140619 w 1228725"/>
                                <a:gd name="connsiteY2" fmla="*/ 40222 h 352425"/>
                                <a:gd name="connsiteX3" fmla="*/ 1140619 w 1228725"/>
                                <a:gd name="connsiteY3" fmla="*/ 0 h 352425"/>
                                <a:gd name="connsiteX4" fmla="*/ 1228725 w 1228725"/>
                                <a:gd name="connsiteY4" fmla="*/ 84275 h 352425"/>
                                <a:gd name="connsiteX5" fmla="*/ 1140619 w 1228725"/>
                                <a:gd name="connsiteY5" fmla="*/ 168551 h 352425"/>
                                <a:gd name="connsiteX6" fmla="*/ 1140619 w 1228725"/>
                                <a:gd name="connsiteY6" fmla="*/ 128329 h 352425"/>
                                <a:gd name="connsiteX7" fmla="*/ 154186 w 1228725"/>
                                <a:gd name="connsiteY7" fmla="*/ 128329 h 352425"/>
                                <a:gd name="connsiteX8" fmla="*/ 88106 w 1228725"/>
                                <a:gd name="connsiteY8" fmla="*/ 194409 h 352425"/>
                                <a:gd name="connsiteX9" fmla="*/ 88106 w 1228725"/>
                                <a:gd name="connsiteY9" fmla="*/ 352425 h 352425"/>
                                <a:gd name="connsiteX10" fmla="*/ 0 w 1228725"/>
                                <a:gd name="connsiteY10" fmla="*/ 352425 h 352425"/>
                                <a:gd name="connsiteX0" fmla="*/ 0 w 1228725"/>
                                <a:gd name="connsiteY0" fmla="*/ 352425 h 352425"/>
                                <a:gd name="connsiteX1" fmla="*/ 154186 w 1228725"/>
                                <a:gd name="connsiteY1" fmla="*/ 40222 h 352425"/>
                                <a:gd name="connsiteX2" fmla="*/ 1140619 w 1228725"/>
                                <a:gd name="connsiteY2" fmla="*/ 40222 h 352425"/>
                                <a:gd name="connsiteX3" fmla="*/ 1140619 w 1228725"/>
                                <a:gd name="connsiteY3" fmla="*/ 0 h 352425"/>
                                <a:gd name="connsiteX4" fmla="*/ 1228725 w 1228725"/>
                                <a:gd name="connsiteY4" fmla="*/ 84275 h 352425"/>
                                <a:gd name="connsiteX5" fmla="*/ 1140619 w 1228725"/>
                                <a:gd name="connsiteY5" fmla="*/ 168551 h 352425"/>
                                <a:gd name="connsiteX6" fmla="*/ 1140619 w 1228725"/>
                                <a:gd name="connsiteY6" fmla="*/ 128329 h 352425"/>
                                <a:gd name="connsiteX7" fmla="*/ 154186 w 1228725"/>
                                <a:gd name="connsiteY7" fmla="*/ 128329 h 352425"/>
                                <a:gd name="connsiteX8" fmla="*/ 88106 w 1228725"/>
                                <a:gd name="connsiteY8" fmla="*/ 352425 h 352425"/>
                                <a:gd name="connsiteX9" fmla="*/ 0 w 1228725"/>
                                <a:gd name="connsiteY9" fmla="*/ 352425 h 352425"/>
                                <a:gd name="connsiteX0" fmla="*/ 2701 w 1231426"/>
                                <a:gd name="connsiteY0" fmla="*/ 352425 h 353188"/>
                                <a:gd name="connsiteX1" fmla="*/ 156887 w 1231426"/>
                                <a:gd name="connsiteY1" fmla="*/ 40222 h 353188"/>
                                <a:gd name="connsiteX2" fmla="*/ 1143320 w 1231426"/>
                                <a:gd name="connsiteY2" fmla="*/ 40222 h 353188"/>
                                <a:gd name="connsiteX3" fmla="*/ 1143320 w 1231426"/>
                                <a:gd name="connsiteY3" fmla="*/ 0 h 353188"/>
                                <a:gd name="connsiteX4" fmla="*/ 1231426 w 1231426"/>
                                <a:gd name="connsiteY4" fmla="*/ 84275 h 353188"/>
                                <a:gd name="connsiteX5" fmla="*/ 1143320 w 1231426"/>
                                <a:gd name="connsiteY5" fmla="*/ 168551 h 353188"/>
                                <a:gd name="connsiteX6" fmla="*/ 1143320 w 1231426"/>
                                <a:gd name="connsiteY6" fmla="*/ 128329 h 353188"/>
                                <a:gd name="connsiteX7" fmla="*/ 156887 w 1231426"/>
                                <a:gd name="connsiteY7" fmla="*/ 128329 h 353188"/>
                                <a:gd name="connsiteX8" fmla="*/ 2701 w 1231426"/>
                                <a:gd name="connsiteY8" fmla="*/ 352425 h 353188"/>
                                <a:gd name="connsiteX0" fmla="*/ 123304 w 1197843"/>
                                <a:gd name="connsiteY0" fmla="*/ 128329 h 168551"/>
                                <a:gd name="connsiteX1" fmla="*/ 123304 w 1197843"/>
                                <a:gd name="connsiteY1" fmla="*/ 40222 h 168551"/>
                                <a:gd name="connsiteX2" fmla="*/ 1109737 w 1197843"/>
                                <a:gd name="connsiteY2" fmla="*/ 40222 h 168551"/>
                                <a:gd name="connsiteX3" fmla="*/ 1109737 w 1197843"/>
                                <a:gd name="connsiteY3" fmla="*/ 0 h 168551"/>
                                <a:gd name="connsiteX4" fmla="*/ 1197843 w 1197843"/>
                                <a:gd name="connsiteY4" fmla="*/ 84275 h 168551"/>
                                <a:gd name="connsiteX5" fmla="*/ 1109737 w 1197843"/>
                                <a:gd name="connsiteY5" fmla="*/ 168551 h 168551"/>
                                <a:gd name="connsiteX6" fmla="*/ 1109737 w 1197843"/>
                                <a:gd name="connsiteY6" fmla="*/ 128329 h 168551"/>
                                <a:gd name="connsiteX7" fmla="*/ 123304 w 1197843"/>
                                <a:gd name="connsiteY7" fmla="*/ 128329 h 168551"/>
                                <a:gd name="connsiteX0" fmla="*/ 0 w 1074539"/>
                                <a:gd name="connsiteY0" fmla="*/ 128329 h 168551"/>
                                <a:gd name="connsiteX1" fmla="*/ 0 w 1074539"/>
                                <a:gd name="connsiteY1" fmla="*/ 40222 h 168551"/>
                                <a:gd name="connsiteX2" fmla="*/ 986433 w 1074539"/>
                                <a:gd name="connsiteY2" fmla="*/ 40222 h 168551"/>
                                <a:gd name="connsiteX3" fmla="*/ 986433 w 1074539"/>
                                <a:gd name="connsiteY3" fmla="*/ 0 h 168551"/>
                                <a:gd name="connsiteX4" fmla="*/ 1074539 w 1074539"/>
                                <a:gd name="connsiteY4" fmla="*/ 84275 h 168551"/>
                                <a:gd name="connsiteX5" fmla="*/ 986433 w 1074539"/>
                                <a:gd name="connsiteY5" fmla="*/ 168551 h 168551"/>
                                <a:gd name="connsiteX6" fmla="*/ 986433 w 1074539"/>
                                <a:gd name="connsiteY6" fmla="*/ 128329 h 168551"/>
                                <a:gd name="connsiteX7" fmla="*/ 0 w 1074539"/>
                                <a:gd name="connsiteY7" fmla="*/ 128329 h 168551"/>
                                <a:gd name="connsiteX0" fmla="*/ 0 w 1074539"/>
                                <a:gd name="connsiteY0" fmla="*/ 128329 h 168551"/>
                                <a:gd name="connsiteX1" fmla="*/ 304834 w 1074539"/>
                                <a:gd name="connsiteY1" fmla="*/ 30681 h 168551"/>
                                <a:gd name="connsiteX2" fmla="*/ 986433 w 1074539"/>
                                <a:gd name="connsiteY2" fmla="*/ 40222 h 168551"/>
                                <a:gd name="connsiteX3" fmla="*/ 986433 w 1074539"/>
                                <a:gd name="connsiteY3" fmla="*/ 0 h 168551"/>
                                <a:gd name="connsiteX4" fmla="*/ 1074539 w 1074539"/>
                                <a:gd name="connsiteY4" fmla="*/ 84275 h 168551"/>
                                <a:gd name="connsiteX5" fmla="*/ 986433 w 1074539"/>
                                <a:gd name="connsiteY5" fmla="*/ 168551 h 168551"/>
                                <a:gd name="connsiteX6" fmla="*/ 986433 w 1074539"/>
                                <a:gd name="connsiteY6" fmla="*/ 128329 h 168551"/>
                                <a:gd name="connsiteX7" fmla="*/ 0 w 1074539"/>
                                <a:gd name="connsiteY7" fmla="*/ 128329 h 168551"/>
                                <a:gd name="connsiteX0" fmla="*/ 0 w 788757"/>
                                <a:gd name="connsiteY0" fmla="*/ 137870 h 168551"/>
                                <a:gd name="connsiteX1" fmla="*/ 19052 w 788757"/>
                                <a:gd name="connsiteY1" fmla="*/ 30681 h 168551"/>
                                <a:gd name="connsiteX2" fmla="*/ 700651 w 788757"/>
                                <a:gd name="connsiteY2" fmla="*/ 40222 h 168551"/>
                                <a:gd name="connsiteX3" fmla="*/ 700651 w 788757"/>
                                <a:gd name="connsiteY3" fmla="*/ 0 h 168551"/>
                                <a:gd name="connsiteX4" fmla="*/ 788757 w 788757"/>
                                <a:gd name="connsiteY4" fmla="*/ 84275 h 168551"/>
                                <a:gd name="connsiteX5" fmla="*/ 700651 w 788757"/>
                                <a:gd name="connsiteY5" fmla="*/ 168551 h 168551"/>
                                <a:gd name="connsiteX6" fmla="*/ 700651 w 788757"/>
                                <a:gd name="connsiteY6" fmla="*/ 128329 h 168551"/>
                                <a:gd name="connsiteX7" fmla="*/ 0 w 788757"/>
                                <a:gd name="connsiteY7" fmla="*/ 137870 h 168551"/>
                                <a:gd name="connsiteX0" fmla="*/ 21145 w 769705"/>
                                <a:gd name="connsiteY0" fmla="*/ 137870 h 168551"/>
                                <a:gd name="connsiteX1" fmla="*/ 0 w 769705"/>
                                <a:gd name="connsiteY1" fmla="*/ 30681 h 168551"/>
                                <a:gd name="connsiteX2" fmla="*/ 681599 w 769705"/>
                                <a:gd name="connsiteY2" fmla="*/ 40222 h 168551"/>
                                <a:gd name="connsiteX3" fmla="*/ 681599 w 769705"/>
                                <a:gd name="connsiteY3" fmla="*/ 0 h 168551"/>
                                <a:gd name="connsiteX4" fmla="*/ 769705 w 769705"/>
                                <a:gd name="connsiteY4" fmla="*/ 84275 h 168551"/>
                                <a:gd name="connsiteX5" fmla="*/ 681599 w 769705"/>
                                <a:gd name="connsiteY5" fmla="*/ 168551 h 168551"/>
                                <a:gd name="connsiteX6" fmla="*/ 681599 w 769705"/>
                                <a:gd name="connsiteY6" fmla="*/ 128329 h 168551"/>
                                <a:gd name="connsiteX7" fmla="*/ 21145 w 769705"/>
                                <a:gd name="connsiteY7" fmla="*/ 137870 h 168551"/>
                                <a:gd name="connsiteX0" fmla="*/ 0 w 748560"/>
                                <a:gd name="connsiteY0" fmla="*/ 137870 h 168551"/>
                                <a:gd name="connsiteX1" fmla="*/ 3979 w 748560"/>
                                <a:gd name="connsiteY1" fmla="*/ 30681 h 168551"/>
                                <a:gd name="connsiteX2" fmla="*/ 660454 w 748560"/>
                                <a:gd name="connsiteY2" fmla="*/ 40222 h 168551"/>
                                <a:gd name="connsiteX3" fmla="*/ 660454 w 748560"/>
                                <a:gd name="connsiteY3" fmla="*/ 0 h 168551"/>
                                <a:gd name="connsiteX4" fmla="*/ 748560 w 748560"/>
                                <a:gd name="connsiteY4" fmla="*/ 84275 h 168551"/>
                                <a:gd name="connsiteX5" fmla="*/ 660454 w 748560"/>
                                <a:gd name="connsiteY5" fmla="*/ 168551 h 168551"/>
                                <a:gd name="connsiteX6" fmla="*/ 660454 w 748560"/>
                                <a:gd name="connsiteY6" fmla="*/ 128329 h 168551"/>
                                <a:gd name="connsiteX7" fmla="*/ 0 w 748560"/>
                                <a:gd name="connsiteY7" fmla="*/ 137870 h 168551"/>
                                <a:gd name="connsiteX0" fmla="*/ 0 w 748560"/>
                                <a:gd name="connsiteY0" fmla="*/ 122773 h 168551"/>
                                <a:gd name="connsiteX1" fmla="*/ 3979 w 748560"/>
                                <a:gd name="connsiteY1" fmla="*/ 30681 h 168551"/>
                                <a:gd name="connsiteX2" fmla="*/ 660454 w 748560"/>
                                <a:gd name="connsiteY2" fmla="*/ 40222 h 168551"/>
                                <a:gd name="connsiteX3" fmla="*/ 660454 w 748560"/>
                                <a:gd name="connsiteY3" fmla="*/ 0 h 168551"/>
                                <a:gd name="connsiteX4" fmla="*/ 748560 w 748560"/>
                                <a:gd name="connsiteY4" fmla="*/ 84275 h 168551"/>
                                <a:gd name="connsiteX5" fmla="*/ 660454 w 748560"/>
                                <a:gd name="connsiteY5" fmla="*/ 168551 h 168551"/>
                                <a:gd name="connsiteX6" fmla="*/ 660454 w 748560"/>
                                <a:gd name="connsiteY6" fmla="*/ 128329 h 168551"/>
                                <a:gd name="connsiteX7" fmla="*/ 0 w 748560"/>
                                <a:gd name="connsiteY7" fmla="*/ 122773 h 168551"/>
                                <a:gd name="connsiteX0" fmla="*/ 51326 w 744581"/>
                                <a:gd name="connsiteY0" fmla="*/ 147935 h 168551"/>
                                <a:gd name="connsiteX1" fmla="*/ 0 w 744581"/>
                                <a:gd name="connsiteY1" fmla="*/ 30681 h 168551"/>
                                <a:gd name="connsiteX2" fmla="*/ 656475 w 744581"/>
                                <a:gd name="connsiteY2" fmla="*/ 40222 h 168551"/>
                                <a:gd name="connsiteX3" fmla="*/ 656475 w 744581"/>
                                <a:gd name="connsiteY3" fmla="*/ 0 h 168551"/>
                                <a:gd name="connsiteX4" fmla="*/ 744581 w 744581"/>
                                <a:gd name="connsiteY4" fmla="*/ 84275 h 168551"/>
                                <a:gd name="connsiteX5" fmla="*/ 656475 w 744581"/>
                                <a:gd name="connsiteY5" fmla="*/ 168551 h 168551"/>
                                <a:gd name="connsiteX6" fmla="*/ 656475 w 744581"/>
                                <a:gd name="connsiteY6" fmla="*/ 128329 h 168551"/>
                                <a:gd name="connsiteX7" fmla="*/ 51326 w 744581"/>
                                <a:gd name="connsiteY7" fmla="*/ 147935 h 168551"/>
                                <a:gd name="connsiteX0" fmla="*/ 1060 w 694315"/>
                                <a:gd name="connsiteY0" fmla="*/ 147935 h 168551"/>
                                <a:gd name="connsiteX1" fmla="*/ 0 w 694315"/>
                                <a:gd name="connsiteY1" fmla="*/ 30681 h 168551"/>
                                <a:gd name="connsiteX2" fmla="*/ 606209 w 694315"/>
                                <a:gd name="connsiteY2" fmla="*/ 40222 h 168551"/>
                                <a:gd name="connsiteX3" fmla="*/ 606209 w 694315"/>
                                <a:gd name="connsiteY3" fmla="*/ 0 h 168551"/>
                                <a:gd name="connsiteX4" fmla="*/ 694315 w 694315"/>
                                <a:gd name="connsiteY4" fmla="*/ 84275 h 168551"/>
                                <a:gd name="connsiteX5" fmla="*/ 606209 w 694315"/>
                                <a:gd name="connsiteY5" fmla="*/ 168551 h 168551"/>
                                <a:gd name="connsiteX6" fmla="*/ 606209 w 694315"/>
                                <a:gd name="connsiteY6" fmla="*/ 128329 h 168551"/>
                                <a:gd name="connsiteX7" fmla="*/ 1060 w 694315"/>
                                <a:gd name="connsiteY7" fmla="*/ 147935 h 168551"/>
                                <a:gd name="connsiteX0" fmla="*/ 101 w 694416"/>
                                <a:gd name="connsiteY0" fmla="*/ 132839 h 168551"/>
                                <a:gd name="connsiteX1" fmla="*/ 101 w 694416"/>
                                <a:gd name="connsiteY1" fmla="*/ 30681 h 168551"/>
                                <a:gd name="connsiteX2" fmla="*/ 606310 w 694416"/>
                                <a:gd name="connsiteY2" fmla="*/ 40222 h 168551"/>
                                <a:gd name="connsiteX3" fmla="*/ 606310 w 694416"/>
                                <a:gd name="connsiteY3" fmla="*/ 0 h 168551"/>
                                <a:gd name="connsiteX4" fmla="*/ 694416 w 694416"/>
                                <a:gd name="connsiteY4" fmla="*/ 84275 h 168551"/>
                                <a:gd name="connsiteX5" fmla="*/ 606310 w 694416"/>
                                <a:gd name="connsiteY5" fmla="*/ 168551 h 168551"/>
                                <a:gd name="connsiteX6" fmla="*/ 606310 w 694416"/>
                                <a:gd name="connsiteY6" fmla="*/ 128329 h 168551"/>
                                <a:gd name="connsiteX7" fmla="*/ 101 w 694416"/>
                                <a:gd name="connsiteY7" fmla="*/ 132839 h 168551"/>
                                <a:gd name="connsiteX0" fmla="*/ 15 w 694330"/>
                                <a:gd name="connsiteY0" fmla="*/ 132839 h 168551"/>
                                <a:gd name="connsiteX1" fmla="*/ 5465 w 694330"/>
                                <a:gd name="connsiteY1" fmla="*/ 45778 h 168551"/>
                                <a:gd name="connsiteX2" fmla="*/ 606224 w 694330"/>
                                <a:gd name="connsiteY2" fmla="*/ 40222 h 168551"/>
                                <a:gd name="connsiteX3" fmla="*/ 606224 w 694330"/>
                                <a:gd name="connsiteY3" fmla="*/ 0 h 168551"/>
                                <a:gd name="connsiteX4" fmla="*/ 694330 w 694330"/>
                                <a:gd name="connsiteY4" fmla="*/ 84275 h 168551"/>
                                <a:gd name="connsiteX5" fmla="*/ 606224 w 694330"/>
                                <a:gd name="connsiteY5" fmla="*/ 168551 h 168551"/>
                                <a:gd name="connsiteX6" fmla="*/ 606224 w 694330"/>
                                <a:gd name="connsiteY6" fmla="*/ 128329 h 168551"/>
                                <a:gd name="connsiteX7" fmla="*/ 15 w 694330"/>
                                <a:gd name="connsiteY7" fmla="*/ 132839 h 168551"/>
                                <a:gd name="connsiteX0" fmla="*/ 16227 w 688865"/>
                                <a:gd name="connsiteY0" fmla="*/ 132839 h 168551"/>
                                <a:gd name="connsiteX1" fmla="*/ 0 w 688865"/>
                                <a:gd name="connsiteY1" fmla="*/ 45778 h 168551"/>
                                <a:gd name="connsiteX2" fmla="*/ 600759 w 688865"/>
                                <a:gd name="connsiteY2" fmla="*/ 40222 h 168551"/>
                                <a:gd name="connsiteX3" fmla="*/ 600759 w 688865"/>
                                <a:gd name="connsiteY3" fmla="*/ 0 h 168551"/>
                                <a:gd name="connsiteX4" fmla="*/ 688865 w 688865"/>
                                <a:gd name="connsiteY4" fmla="*/ 84275 h 168551"/>
                                <a:gd name="connsiteX5" fmla="*/ 600759 w 688865"/>
                                <a:gd name="connsiteY5" fmla="*/ 168551 h 168551"/>
                                <a:gd name="connsiteX6" fmla="*/ 600759 w 688865"/>
                                <a:gd name="connsiteY6" fmla="*/ 128329 h 168551"/>
                                <a:gd name="connsiteX7" fmla="*/ 16227 w 688865"/>
                                <a:gd name="connsiteY7" fmla="*/ 132839 h 168551"/>
                                <a:gd name="connsiteX0" fmla="*/ 10 w 672648"/>
                                <a:gd name="connsiteY0" fmla="*/ 132839 h 168551"/>
                                <a:gd name="connsiteX1" fmla="*/ 8946 w 672648"/>
                                <a:gd name="connsiteY1" fmla="*/ 37097 h 168551"/>
                                <a:gd name="connsiteX2" fmla="*/ 584542 w 672648"/>
                                <a:gd name="connsiteY2" fmla="*/ 40222 h 168551"/>
                                <a:gd name="connsiteX3" fmla="*/ 584542 w 672648"/>
                                <a:gd name="connsiteY3" fmla="*/ 0 h 168551"/>
                                <a:gd name="connsiteX4" fmla="*/ 672648 w 672648"/>
                                <a:gd name="connsiteY4" fmla="*/ 84275 h 168551"/>
                                <a:gd name="connsiteX5" fmla="*/ 584542 w 672648"/>
                                <a:gd name="connsiteY5" fmla="*/ 168551 h 168551"/>
                                <a:gd name="connsiteX6" fmla="*/ 584542 w 672648"/>
                                <a:gd name="connsiteY6" fmla="*/ 128329 h 168551"/>
                                <a:gd name="connsiteX7" fmla="*/ 10 w 672648"/>
                                <a:gd name="connsiteY7" fmla="*/ 132839 h 168551"/>
                                <a:gd name="connsiteX0" fmla="*/ 46 w 664883"/>
                                <a:gd name="connsiteY0" fmla="*/ 132839 h 168551"/>
                                <a:gd name="connsiteX1" fmla="*/ 1181 w 664883"/>
                                <a:gd name="connsiteY1" fmla="*/ 37097 h 168551"/>
                                <a:gd name="connsiteX2" fmla="*/ 576777 w 664883"/>
                                <a:gd name="connsiteY2" fmla="*/ 40222 h 168551"/>
                                <a:gd name="connsiteX3" fmla="*/ 576777 w 664883"/>
                                <a:gd name="connsiteY3" fmla="*/ 0 h 168551"/>
                                <a:gd name="connsiteX4" fmla="*/ 664883 w 664883"/>
                                <a:gd name="connsiteY4" fmla="*/ 84275 h 168551"/>
                                <a:gd name="connsiteX5" fmla="*/ 576777 w 664883"/>
                                <a:gd name="connsiteY5" fmla="*/ 168551 h 168551"/>
                                <a:gd name="connsiteX6" fmla="*/ 576777 w 664883"/>
                                <a:gd name="connsiteY6" fmla="*/ 128329 h 168551"/>
                                <a:gd name="connsiteX7" fmla="*/ 46 w 664883"/>
                                <a:gd name="connsiteY7" fmla="*/ 132839 h 1685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64883" h="168551">
                                  <a:moveTo>
                                    <a:pt x="46" y="132839"/>
                                  </a:moveTo>
                                  <a:cubicBezTo>
                                    <a:pt x="-307" y="93754"/>
                                    <a:pt x="1534" y="76182"/>
                                    <a:pt x="1181" y="37097"/>
                                  </a:cubicBezTo>
                                  <a:lnTo>
                                    <a:pt x="576777" y="40222"/>
                                  </a:lnTo>
                                  <a:lnTo>
                                    <a:pt x="576777" y="0"/>
                                  </a:lnTo>
                                  <a:lnTo>
                                    <a:pt x="664883" y="84275"/>
                                  </a:lnTo>
                                  <a:lnTo>
                                    <a:pt x="576777" y="168551"/>
                                  </a:lnTo>
                                  <a:lnTo>
                                    <a:pt x="576777" y="128329"/>
                                  </a:lnTo>
                                  <a:lnTo>
                                    <a:pt x="46" y="132839"/>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Bent Arrow 9"/>
                          <wps:cNvSpPr/>
                          <wps:spPr>
                            <a:xfrm rot="10800000" flipH="1" flipV="1">
                              <a:off x="341906" y="1439186"/>
                              <a:ext cx="1228725" cy="352425"/>
                            </a:xfrm>
                            <a:prstGeom prst="bentArrow">
                              <a:avLst>
                                <a:gd name="adj1" fmla="val 25000"/>
                                <a:gd name="adj2" fmla="val 23913"/>
                                <a:gd name="adj3" fmla="val 250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0" y="1796995"/>
                              <a:ext cx="904875" cy="504825"/>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4457445E" w14:textId="77777777" w:rsidR="00C44087" w:rsidRPr="00D53A98" w:rsidRDefault="00C44087" w:rsidP="00D53A98">
                                <w:pPr>
                                  <w:jc w:val="center"/>
                                  <w:rPr>
                                    <w:color w:val="000000" w:themeColor="text1"/>
                                    <w:lang w:val="en-US"/>
                                  </w:rPr>
                                </w:pPr>
                                <w:r w:rsidRPr="00D53A98">
                                  <w:rPr>
                                    <w:color w:val="000000" w:themeColor="text1"/>
                                    <w:lang w:val="en-US"/>
                                  </w:rPr>
                                  <w:t>AMP 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2703443" y="906449"/>
                              <a:ext cx="876300" cy="609600"/>
                            </a:xfrm>
                            <a:prstGeom prst="roundRect">
                              <a:avLst/>
                            </a:prstGeom>
                            <a:solidFill>
                              <a:schemeClr val="bg1"/>
                            </a:solid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E1DDA4" w14:textId="226CC03A" w:rsidR="00C44087" w:rsidRPr="00D53A98" w:rsidRDefault="00C44087" w:rsidP="00D53A98">
                                <w:pPr>
                                  <w:jc w:val="center"/>
                                  <w:rPr>
                                    <w:color w:val="000000" w:themeColor="text1"/>
                                    <w:lang w:val="en-US"/>
                                  </w:rPr>
                                </w:pPr>
                                <w:r w:rsidRPr="00D53A98">
                                  <w:rPr>
                                    <w:color w:val="000000" w:themeColor="text1"/>
                                    <w:lang w:val="en-US"/>
                                  </w:rPr>
                                  <w:t>ML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Bent Arrow 15"/>
                          <wps:cNvSpPr/>
                          <wps:spPr>
                            <a:xfrm rot="16200000" flipH="1" flipV="1">
                              <a:off x="2747175" y="433346"/>
                              <a:ext cx="233365" cy="639127"/>
                            </a:xfrm>
                            <a:prstGeom prst="bentArrow">
                              <a:avLst>
                                <a:gd name="adj1" fmla="val 25000"/>
                                <a:gd name="adj2" fmla="val 23913"/>
                                <a:gd name="adj3" fmla="val 25000"/>
                                <a:gd name="adj4" fmla="val 43750"/>
                              </a:avLst>
                            </a:prstGeom>
                            <a:solidFill>
                              <a:schemeClr val="accent1">
                                <a:lumMod val="7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Bent Arrow 16"/>
                          <wps:cNvSpPr/>
                          <wps:spPr>
                            <a:xfrm rot="5400000" flipH="1">
                              <a:off x="3466769" y="1176793"/>
                              <a:ext cx="273050" cy="1033034"/>
                            </a:xfrm>
                            <a:custGeom>
                              <a:avLst/>
                              <a:gdLst>
                                <a:gd name="connsiteX0" fmla="*/ 0 w 233365"/>
                                <a:gd name="connsiteY0" fmla="*/ 639127 h 639127"/>
                                <a:gd name="connsiteX1" fmla="*/ 0 w 233365"/>
                                <a:gd name="connsiteY1" fmla="*/ 128731 h 639127"/>
                                <a:gd name="connsiteX2" fmla="*/ 102097 w 233365"/>
                                <a:gd name="connsiteY2" fmla="*/ 26634 h 639127"/>
                                <a:gd name="connsiteX3" fmla="*/ 175024 w 233365"/>
                                <a:gd name="connsiteY3" fmla="*/ 26634 h 639127"/>
                                <a:gd name="connsiteX4" fmla="*/ 175024 w 233365"/>
                                <a:gd name="connsiteY4" fmla="*/ 0 h 639127"/>
                                <a:gd name="connsiteX5" fmla="*/ 233365 w 233365"/>
                                <a:gd name="connsiteY5" fmla="*/ 55805 h 639127"/>
                                <a:gd name="connsiteX6" fmla="*/ 175024 w 233365"/>
                                <a:gd name="connsiteY6" fmla="*/ 111609 h 639127"/>
                                <a:gd name="connsiteX7" fmla="*/ 175024 w 233365"/>
                                <a:gd name="connsiteY7" fmla="*/ 84975 h 639127"/>
                                <a:gd name="connsiteX8" fmla="*/ 102097 w 233365"/>
                                <a:gd name="connsiteY8" fmla="*/ 84975 h 639127"/>
                                <a:gd name="connsiteX9" fmla="*/ 58341 w 233365"/>
                                <a:gd name="connsiteY9" fmla="*/ 128731 h 639127"/>
                                <a:gd name="connsiteX10" fmla="*/ 58341 w 233365"/>
                                <a:gd name="connsiteY10" fmla="*/ 639127 h 639127"/>
                                <a:gd name="connsiteX11" fmla="*/ 0 w 233365"/>
                                <a:gd name="connsiteY11" fmla="*/ 639127 h 639127"/>
                                <a:gd name="connsiteX0" fmla="*/ 0 w 233365"/>
                                <a:gd name="connsiteY0" fmla="*/ 639127 h 639127"/>
                                <a:gd name="connsiteX1" fmla="*/ 0 w 233365"/>
                                <a:gd name="connsiteY1" fmla="*/ 128731 h 639127"/>
                                <a:gd name="connsiteX2" fmla="*/ 102097 w 233365"/>
                                <a:gd name="connsiteY2" fmla="*/ 26634 h 639127"/>
                                <a:gd name="connsiteX3" fmla="*/ 175024 w 233365"/>
                                <a:gd name="connsiteY3" fmla="*/ 26634 h 639127"/>
                                <a:gd name="connsiteX4" fmla="*/ 175024 w 233365"/>
                                <a:gd name="connsiteY4" fmla="*/ 0 h 639127"/>
                                <a:gd name="connsiteX5" fmla="*/ 233365 w 233365"/>
                                <a:gd name="connsiteY5" fmla="*/ 55805 h 639127"/>
                                <a:gd name="connsiteX6" fmla="*/ 175024 w 233365"/>
                                <a:gd name="connsiteY6" fmla="*/ 111609 h 639127"/>
                                <a:gd name="connsiteX7" fmla="*/ 175024 w 233365"/>
                                <a:gd name="connsiteY7" fmla="*/ 84975 h 639127"/>
                                <a:gd name="connsiteX8" fmla="*/ 102097 w 233365"/>
                                <a:gd name="connsiteY8" fmla="*/ 84975 h 639127"/>
                                <a:gd name="connsiteX9" fmla="*/ 58341 w 233365"/>
                                <a:gd name="connsiteY9" fmla="*/ 128731 h 639127"/>
                                <a:gd name="connsiteX10" fmla="*/ 62853 w 233365"/>
                                <a:gd name="connsiteY10" fmla="*/ 450558 h 639127"/>
                                <a:gd name="connsiteX11" fmla="*/ 58341 w 233365"/>
                                <a:gd name="connsiteY11" fmla="*/ 639127 h 639127"/>
                                <a:gd name="connsiteX12" fmla="*/ 0 w 233365"/>
                                <a:gd name="connsiteY12" fmla="*/ 639127 h 639127"/>
                                <a:gd name="connsiteX0" fmla="*/ 2985 w 236350"/>
                                <a:gd name="connsiteY0" fmla="*/ 639127 h 639127"/>
                                <a:gd name="connsiteX1" fmla="*/ 0 w 236350"/>
                                <a:gd name="connsiteY1" fmla="*/ 457873 h 639127"/>
                                <a:gd name="connsiteX2" fmla="*/ 2985 w 236350"/>
                                <a:gd name="connsiteY2" fmla="*/ 128731 h 639127"/>
                                <a:gd name="connsiteX3" fmla="*/ 105082 w 236350"/>
                                <a:gd name="connsiteY3" fmla="*/ 26634 h 639127"/>
                                <a:gd name="connsiteX4" fmla="*/ 178009 w 236350"/>
                                <a:gd name="connsiteY4" fmla="*/ 26634 h 639127"/>
                                <a:gd name="connsiteX5" fmla="*/ 178009 w 236350"/>
                                <a:gd name="connsiteY5" fmla="*/ 0 h 639127"/>
                                <a:gd name="connsiteX6" fmla="*/ 236350 w 236350"/>
                                <a:gd name="connsiteY6" fmla="*/ 55805 h 639127"/>
                                <a:gd name="connsiteX7" fmla="*/ 178009 w 236350"/>
                                <a:gd name="connsiteY7" fmla="*/ 111609 h 639127"/>
                                <a:gd name="connsiteX8" fmla="*/ 178009 w 236350"/>
                                <a:gd name="connsiteY8" fmla="*/ 84975 h 639127"/>
                                <a:gd name="connsiteX9" fmla="*/ 105082 w 236350"/>
                                <a:gd name="connsiteY9" fmla="*/ 84975 h 639127"/>
                                <a:gd name="connsiteX10" fmla="*/ 61326 w 236350"/>
                                <a:gd name="connsiteY10" fmla="*/ 128731 h 639127"/>
                                <a:gd name="connsiteX11" fmla="*/ 65838 w 236350"/>
                                <a:gd name="connsiteY11" fmla="*/ 450558 h 639127"/>
                                <a:gd name="connsiteX12" fmla="*/ 61326 w 236350"/>
                                <a:gd name="connsiteY12" fmla="*/ 639127 h 639127"/>
                                <a:gd name="connsiteX13" fmla="*/ 2985 w 236350"/>
                                <a:gd name="connsiteY13" fmla="*/ 639127 h 639127"/>
                                <a:gd name="connsiteX0" fmla="*/ 2985 w 236350"/>
                                <a:gd name="connsiteY0" fmla="*/ 639127 h 639127"/>
                                <a:gd name="connsiteX1" fmla="*/ 0 w 236350"/>
                                <a:gd name="connsiteY1" fmla="*/ 457873 h 639127"/>
                                <a:gd name="connsiteX2" fmla="*/ 2985 w 236350"/>
                                <a:gd name="connsiteY2" fmla="*/ 128731 h 639127"/>
                                <a:gd name="connsiteX3" fmla="*/ 105082 w 236350"/>
                                <a:gd name="connsiteY3" fmla="*/ 26634 h 639127"/>
                                <a:gd name="connsiteX4" fmla="*/ 178009 w 236350"/>
                                <a:gd name="connsiteY4" fmla="*/ 26634 h 639127"/>
                                <a:gd name="connsiteX5" fmla="*/ 178009 w 236350"/>
                                <a:gd name="connsiteY5" fmla="*/ 0 h 639127"/>
                                <a:gd name="connsiteX6" fmla="*/ 236350 w 236350"/>
                                <a:gd name="connsiteY6" fmla="*/ 55805 h 639127"/>
                                <a:gd name="connsiteX7" fmla="*/ 178009 w 236350"/>
                                <a:gd name="connsiteY7" fmla="*/ 111609 h 639127"/>
                                <a:gd name="connsiteX8" fmla="*/ 178009 w 236350"/>
                                <a:gd name="connsiteY8" fmla="*/ 84975 h 639127"/>
                                <a:gd name="connsiteX9" fmla="*/ 105082 w 236350"/>
                                <a:gd name="connsiteY9" fmla="*/ 84975 h 639127"/>
                                <a:gd name="connsiteX10" fmla="*/ 61326 w 236350"/>
                                <a:gd name="connsiteY10" fmla="*/ 128731 h 639127"/>
                                <a:gd name="connsiteX11" fmla="*/ 65838 w 236350"/>
                                <a:gd name="connsiteY11" fmla="*/ 450558 h 639127"/>
                                <a:gd name="connsiteX12" fmla="*/ 60782 w 236350"/>
                                <a:gd name="connsiteY12" fmla="*/ 565531 h 639127"/>
                                <a:gd name="connsiteX13" fmla="*/ 61326 w 236350"/>
                                <a:gd name="connsiteY13" fmla="*/ 639127 h 639127"/>
                                <a:gd name="connsiteX14" fmla="*/ 2985 w 236350"/>
                                <a:gd name="connsiteY14" fmla="*/ 639127 h 639127"/>
                                <a:gd name="connsiteX0" fmla="*/ 2985 w 236350"/>
                                <a:gd name="connsiteY0" fmla="*/ 639127 h 639127"/>
                                <a:gd name="connsiteX1" fmla="*/ 9576 w 236350"/>
                                <a:gd name="connsiteY1" fmla="*/ 565531 h 639127"/>
                                <a:gd name="connsiteX2" fmla="*/ 0 w 236350"/>
                                <a:gd name="connsiteY2" fmla="*/ 457873 h 639127"/>
                                <a:gd name="connsiteX3" fmla="*/ 2985 w 236350"/>
                                <a:gd name="connsiteY3" fmla="*/ 128731 h 639127"/>
                                <a:gd name="connsiteX4" fmla="*/ 105082 w 236350"/>
                                <a:gd name="connsiteY4" fmla="*/ 26634 h 639127"/>
                                <a:gd name="connsiteX5" fmla="*/ 178009 w 236350"/>
                                <a:gd name="connsiteY5" fmla="*/ 26634 h 639127"/>
                                <a:gd name="connsiteX6" fmla="*/ 178009 w 236350"/>
                                <a:gd name="connsiteY6" fmla="*/ 0 h 639127"/>
                                <a:gd name="connsiteX7" fmla="*/ 236350 w 236350"/>
                                <a:gd name="connsiteY7" fmla="*/ 55805 h 639127"/>
                                <a:gd name="connsiteX8" fmla="*/ 178009 w 236350"/>
                                <a:gd name="connsiteY8" fmla="*/ 111609 h 639127"/>
                                <a:gd name="connsiteX9" fmla="*/ 178009 w 236350"/>
                                <a:gd name="connsiteY9" fmla="*/ 84975 h 639127"/>
                                <a:gd name="connsiteX10" fmla="*/ 105082 w 236350"/>
                                <a:gd name="connsiteY10" fmla="*/ 84975 h 639127"/>
                                <a:gd name="connsiteX11" fmla="*/ 61326 w 236350"/>
                                <a:gd name="connsiteY11" fmla="*/ 128731 h 639127"/>
                                <a:gd name="connsiteX12" fmla="*/ 65838 w 236350"/>
                                <a:gd name="connsiteY12" fmla="*/ 450558 h 639127"/>
                                <a:gd name="connsiteX13" fmla="*/ 60782 w 236350"/>
                                <a:gd name="connsiteY13" fmla="*/ 565531 h 639127"/>
                                <a:gd name="connsiteX14" fmla="*/ 61326 w 236350"/>
                                <a:gd name="connsiteY14" fmla="*/ 639127 h 639127"/>
                                <a:gd name="connsiteX15" fmla="*/ 2985 w 236350"/>
                                <a:gd name="connsiteY15" fmla="*/ 639127 h 639127"/>
                                <a:gd name="connsiteX0" fmla="*/ 273796 w 273796"/>
                                <a:gd name="connsiteY0" fmla="*/ 1188039 h 1188039"/>
                                <a:gd name="connsiteX1" fmla="*/ 9576 w 273796"/>
                                <a:gd name="connsiteY1" fmla="*/ 565531 h 1188039"/>
                                <a:gd name="connsiteX2" fmla="*/ 0 w 273796"/>
                                <a:gd name="connsiteY2" fmla="*/ 457873 h 1188039"/>
                                <a:gd name="connsiteX3" fmla="*/ 2985 w 273796"/>
                                <a:gd name="connsiteY3" fmla="*/ 128731 h 1188039"/>
                                <a:gd name="connsiteX4" fmla="*/ 105082 w 273796"/>
                                <a:gd name="connsiteY4" fmla="*/ 26634 h 1188039"/>
                                <a:gd name="connsiteX5" fmla="*/ 178009 w 273796"/>
                                <a:gd name="connsiteY5" fmla="*/ 26634 h 1188039"/>
                                <a:gd name="connsiteX6" fmla="*/ 178009 w 273796"/>
                                <a:gd name="connsiteY6" fmla="*/ 0 h 1188039"/>
                                <a:gd name="connsiteX7" fmla="*/ 236350 w 273796"/>
                                <a:gd name="connsiteY7" fmla="*/ 55805 h 1188039"/>
                                <a:gd name="connsiteX8" fmla="*/ 178009 w 273796"/>
                                <a:gd name="connsiteY8" fmla="*/ 111609 h 1188039"/>
                                <a:gd name="connsiteX9" fmla="*/ 178009 w 273796"/>
                                <a:gd name="connsiteY9" fmla="*/ 84975 h 1188039"/>
                                <a:gd name="connsiteX10" fmla="*/ 105082 w 273796"/>
                                <a:gd name="connsiteY10" fmla="*/ 84975 h 1188039"/>
                                <a:gd name="connsiteX11" fmla="*/ 61326 w 273796"/>
                                <a:gd name="connsiteY11" fmla="*/ 128731 h 1188039"/>
                                <a:gd name="connsiteX12" fmla="*/ 65838 w 273796"/>
                                <a:gd name="connsiteY12" fmla="*/ 450558 h 1188039"/>
                                <a:gd name="connsiteX13" fmla="*/ 60782 w 273796"/>
                                <a:gd name="connsiteY13" fmla="*/ 565531 h 1188039"/>
                                <a:gd name="connsiteX14" fmla="*/ 61326 w 273796"/>
                                <a:gd name="connsiteY14" fmla="*/ 639127 h 1188039"/>
                                <a:gd name="connsiteX15" fmla="*/ 273796 w 273796"/>
                                <a:gd name="connsiteY15" fmla="*/ 1188039 h 1188039"/>
                                <a:gd name="connsiteX0" fmla="*/ 273796 w 273796"/>
                                <a:gd name="connsiteY0" fmla="*/ 1188039 h 1188039"/>
                                <a:gd name="connsiteX1" fmla="*/ 9576 w 273796"/>
                                <a:gd name="connsiteY1" fmla="*/ 565531 h 1188039"/>
                                <a:gd name="connsiteX2" fmla="*/ 0 w 273796"/>
                                <a:gd name="connsiteY2" fmla="*/ 457873 h 1188039"/>
                                <a:gd name="connsiteX3" fmla="*/ 2985 w 273796"/>
                                <a:gd name="connsiteY3" fmla="*/ 128731 h 1188039"/>
                                <a:gd name="connsiteX4" fmla="*/ 105082 w 273796"/>
                                <a:gd name="connsiteY4" fmla="*/ 26634 h 1188039"/>
                                <a:gd name="connsiteX5" fmla="*/ 178009 w 273796"/>
                                <a:gd name="connsiteY5" fmla="*/ 26634 h 1188039"/>
                                <a:gd name="connsiteX6" fmla="*/ 178009 w 273796"/>
                                <a:gd name="connsiteY6" fmla="*/ 0 h 1188039"/>
                                <a:gd name="connsiteX7" fmla="*/ 236350 w 273796"/>
                                <a:gd name="connsiteY7" fmla="*/ 55805 h 1188039"/>
                                <a:gd name="connsiteX8" fmla="*/ 178009 w 273796"/>
                                <a:gd name="connsiteY8" fmla="*/ 111609 h 1188039"/>
                                <a:gd name="connsiteX9" fmla="*/ 178009 w 273796"/>
                                <a:gd name="connsiteY9" fmla="*/ 84975 h 1188039"/>
                                <a:gd name="connsiteX10" fmla="*/ 105082 w 273796"/>
                                <a:gd name="connsiteY10" fmla="*/ 84975 h 1188039"/>
                                <a:gd name="connsiteX11" fmla="*/ 61326 w 273796"/>
                                <a:gd name="connsiteY11" fmla="*/ 128731 h 1188039"/>
                                <a:gd name="connsiteX12" fmla="*/ 65838 w 273796"/>
                                <a:gd name="connsiteY12" fmla="*/ 450558 h 1188039"/>
                                <a:gd name="connsiteX13" fmla="*/ 60782 w 273796"/>
                                <a:gd name="connsiteY13" fmla="*/ 565531 h 1188039"/>
                                <a:gd name="connsiteX14" fmla="*/ 260062 w 273796"/>
                                <a:gd name="connsiteY14" fmla="*/ 1052284 h 1188039"/>
                                <a:gd name="connsiteX15" fmla="*/ 273796 w 273796"/>
                                <a:gd name="connsiteY15" fmla="*/ 1188039 h 1188039"/>
                                <a:gd name="connsiteX0" fmla="*/ 273797 w 273797"/>
                                <a:gd name="connsiteY0" fmla="*/ 1188039 h 1188039"/>
                                <a:gd name="connsiteX1" fmla="*/ 0 w 273797"/>
                                <a:gd name="connsiteY1" fmla="*/ 1172994 h 1188039"/>
                                <a:gd name="connsiteX2" fmla="*/ 1 w 273797"/>
                                <a:gd name="connsiteY2" fmla="*/ 457873 h 1188039"/>
                                <a:gd name="connsiteX3" fmla="*/ 2986 w 273797"/>
                                <a:gd name="connsiteY3" fmla="*/ 128731 h 1188039"/>
                                <a:gd name="connsiteX4" fmla="*/ 105083 w 273797"/>
                                <a:gd name="connsiteY4" fmla="*/ 26634 h 1188039"/>
                                <a:gd name="connsiteX5" fmla="*/ 178010 w 273797"/>
                                <a:gd name="connsiteY5" fmla="*/ 26634 h 1188039"/>
                                <a:gd name="connsiteX6" fmla="*/ 178010 w 273797"/>
                                <a:gd name="connsiteY6" fmla="*/ 0 h 1188039"/>
                                <a:gd name="connsiteX7" fmla="*/ 236351 w 273797"/>
                                <a:gd name="connsiteY7" fmla="*/ 55805 h 1188039"/>
                                <a:gd name="connsiteX8" fmla="*/ 178010 w 273797"/>
                                <a:gd name="connsiteY8" fmla="*/ 111609 h 1188039"/>
                                <a:gd name="connsiteX9" fmla="*/ 178010 w 273797"/>
                                <a:gd name="connsiteY9" fmla="*/ 84975 h 1188039"/>
                                <a:gd name="connsiteX10" fmla="*/ 105083 w 273797"/>
                                <a:gd name="connsiteY10" fmla="*/ 84975 h 1188039"/>
                                <a:gd name="connsiteX11" fmla="*/ 61327 w 273797"/>
                                <a:gd name="connsiteY11" fmla="*/ 128731 h 1188039"/>
                                <a:gd name="connsiteX12" fmla="*/ 65839 w 273797"/>
                                <a:gd name="connsiteY12" fmla="*/ 450558 h 1188039"/>
                                <a:gd name="connsiteX13" fmla="*/ 60783 w 273797"/>
                                <a:gd name="connsiteY13" fmla="*/ 565531 h 1188039"/>
                                <a:gd name="connsiteX14" fmla="*/ 260063 w 273797"/>
                                <a:gd name="connsiteY14" fmla="*/ 1052284 h 1188039"/>
                                <a:gd name="connsiteX15" fmla="*/ 273797 w 273797"/>
                                <a:gd name="connsiteY15" fmla="*/ 1188039 h 1188039"/>
                                <a:gd name="connsiteX0" fmla="*/ 273797 w 273797"/>
                                <a:gd name="connsiteY0" fmla="*/ 1188039 h 1188039"/>
                                <a:gd name="connsiteX1" fmla="*/ 0 w 273797"/>
                                <a:gd name="connsiteY1" fmla="*/ 1172994 h 1188039"/>
                                <a:gd name="connsiteX2" fmla="*/ 1 w 273797"/>
                                <a:gd name="connsiteY2" fmla="*/ 457873 h 1188039"/>
                                <a:gd name="connsiteX3" fmla="*/ 2986 w 273797"/>
                                <a:gd name="connsiteY3" fmla="*/ 128731 h 1188039"/>
                                <a:gd name="connsiteX4" fmla="*/ 105083 w 273797"/>
                                <a:gd name="connsiteY4" fmla="*/ 26634 h 1188039"/>
                                <a:gd name="connsiteX5" fmla="*/ 178010 w 273797"/>
                                <a:gd name="connsiteY5" fmla="*/ 26634 h 1188039"/>
                                <a:gd name="connsiteX6" fmla="*/ 178010 w 273797"/>
                                <a:gd name="connsiteY6" fmla="*/ 0 h 1188039"/>
                                <a:gd name="connsiteX7" fmla="*/ 236351 w 273797"/>
                                <a:gd name="connsiteY7" fmla="*/ 55805 h 1188039"/>
                                <a:gd name="connsiteX8" fmla="*/ 178010 w 273797"/>
                                <a:gd name="connsiteY8" fmla="*/ 111609 h 1188039"/>
                                <a:gd name="connsiteX9" fmla="*/ 178010 w 273797"/>
                                <a:gd name="connsiteY9" fmla="*/ 84975 h 1188039"/>
                                <a:gd name="connsiteX10" fmla="*/ 105083 w 273797"/>
                                <a:gd name="connsiteY10" fmla="*/ 84975 h 1188039"/>
                                <a:gd name="connsiteX11" fmla="*/ 61327 w 273797"/>
                                <a:gd name="connsiteY11" fmla="*/ 128731 h 1188039"/>
                                <a:gd name="connsiteX12" fmla="*/ 65839 w 273797"/>
                                <a:gd name="connsiteY12" fmla="*/ 450558 h 1188039"/>
                                <a:gd name="connsiteX13" fmla="*/ 75419 w 273797"/>
                                <a:gd name="connsiteY13" fmla="*/ 1085167 h 1188039"/>
                                <a:gd name="connsiteX14" fmla="*/ 260063 w 273797"/>
                                <a:gd name="connsiteY14" fmla="*/ 1052284 h 1188039"/>
                                <a:gd name="connsiteX15" fmla="*/ 273797 w 273797"/>
                                <a:gd name="connsiteY15" fmla="*/ 1188039 h 1188039"/>
                                <a:gd name="connsiteX0" fmla="*/ 273796 w 273796"/>
                                <a:gd name="connsiteY0" fmla="*/ 1188039 h 1188039"/>
                                <a:gd name="connsiteX1" fmla="*/ 107047 w 273796"/>
                                <a:gd name="connsiteY1" fmla="*/ 1178833 h 1188039"/>
                                <a:gd name="connsiteX2" fmla="*/ 0 w 273796"/>
                                <a:gd name="connsiteY2" fmla="*/ 457873 h 1188039"/>
                                <a:gd name="connsiteX3" fmla="*/ 2985 w 273796"/>
                                <a:gd name="connsiteY3" fmla="*/ 128731 h 1188039"/>
                                <a:gd name="connsiteX4" fmla="*/ 105082 w 273796"/>
                                <a:gd name="connsiteY4" fmla="*/ 26634 h 1188039"/>
                                <a:gd name="connsiteX5" fmla="*/ 178009 w 273796"/>
                                <a:gd name="connsiteY5" fmla="*/ 26634 h 1188039"/>
                                <a:gd name="connsiteX6" fmla="*/ 178009 w 273796"/>
                                <a:gd name="connsiteY6" fmla="*/ 0 h 1188039"/>
                                <a:gd name="connsiteX7" fmla="*/ 236350 w 273796"/>
                                <a:gd name="connsiteY7" fmla="*/ 55805 h 1188039"/>
                                <a:gd name="connsiteX8" fmla="*/ 178009 w 273796"/>
                                <a:gd name="connsiteY8" fmla="*/ 111609 h 1188039"/>
                                <a:gd name="connsiteX9" fmla="*/ 178009 w 273796"/>
                                <a:gd name="connsiteY9" fmla="*/ 84975 h 1188039"/>
                                <a:gd name="connsiteX10" fmla="*/ 105082 w 273796"/>
                                <a:gd name="connsiteY10" fmla="*/ 84975 h 1188039"/>
                                <a:gd name="connsiteX11" fmla="*/ 61326 w 273796"/>
                                <a:gd name="connsiteY11" fmla="*/ 128731 h 1188039"/>
                                <a:gd name="connsiteX12" fmla="*/ 65838 w 273796"/>
                                <a:gd name="connsiteY12" fmla="*/ 450558 h 1188039"/>
                                <a:gd name="connsiteX13" fmla="*/ 75418 w 273796"/>
                                <a:gd name="connsiteY13" fmla="*/ 1085167 h 1188039"/>
                                <a:gd name="connsiteX14" fmla="*/ 260062 w 273796"/>
                                <a:gd name="connsiteY14" fmla="*/ 1052284 h 1188039"/>
                                <a:gd name="connsiteX15" fmla="*/ 273796 w 273796"/>
                                <a:gd name="connsiteY15" fmla="*/ 1188039 h 1188039"/>
                                <a:gd name="connsiteX0" fmla="*/ 273796 w 273796"/>
                                <a:gd name="connsiteY0" fmla="*/ 1188039 h 1188039"/>
                                <a:gd name="connsiteX1" fmla="*/ 107047 w 273796"/>
                                <a:gd name="connsiteY1" fmla="*/ 1178833 h 1188039"/>
                                <a:gd name="connsiteX2" fmla="*/ 0 w 273796"/>
                                <a:gd name="connsiteY2" fmla="*/ 457873 h 1188039"/>
                                <a:gd name="connsiteX3" fmla="*/ 2985 w 273796"/>
                                <a:gd name="connsiteY3" fmla="*/ 128731 h 1188039"/>
                                <a:gd name="connsiteX4" fmla="*/ 105082 w 273796"/>
                                <a:gd name="connsiteY4" fmla="*/ 26634 h 1188039"/>
                                <a:gd name="connsiteX5" fmla="*/ 178009 w 273796"/>
                                <a:gd name="connsiteY5" fmla="*/ 26634 h 1188039"/>
                                <a:gd name="connsiteX6" fmla="*/ 178009 w 273796"/>
                                <a:gd name="connsiteY6" fmla="*/ 0 h 1188039"/>
                                <a:gd name="connsiteX7" fmla="*/ 236350 w 273796"/>
                                <a:gd name="connsiteY7" fmla="*/ 55805 h 1188039"/>
                                <a:gd name="connsiteX8" fmla="*/ 178009 w 273796"/>
                                <a:gd name="connsiteY8" fmla="*/ 111609 h 1188039"/>
                                <a:gd name="connsiteX9" fmla="*/ 178009 w 273796"/>
                                <a:gd name="connsiteY9" fmla="*/ 84975 h 1188039"/>
                                <a:gd name="connsiteX10" fmla="*/ 105082 w 273796"/>
                                <a:gd name="connsiteY10" fmla="*/ 84975 h 1188039"/>
                                <a:gd name="connsiteX11" fmla="*/ 61326 w 273796"/>
                                <a:gd name="connsiteY11" fmla="*/ 128731 h 1188039"/>
                                <a:gd name="connsiteX12" fmla="*/ 65838 w 273796"/>
                                <a:gd name="connsiteY12" fmla="*/ 450558 h 1188039"/>
                                <a:gd name="connsiteX13" fmla="*/ 100718 w 273796"/>
                                <a:gd name="connsiteY13" fmla="*/ 1069594 h 1188039"/>
                                <a:gd name="connsiteX14" fmla="*/ 260062 w 273796"/>
                                <a:gd name="connsiteY14" fmla="*/ 1052284 h 1188039"/>
                                <a:gd name="connsiteX15" fmla="*/ 273796 w 273796"/>
                                <a:gd name="connsiteY15" fmla="*/ 1188039 h 1188039"/>
                                <a:gd name="connsiteX0" fmla="*/ 287421 w 287421"/>
                                <a:gd name="connsiteY0" fmla="*/ 1188039 h 1188039"/>
                                <a:gd name="connsiteX1" fmla="*/ 120672 w 287421"/>
                                <a:gd name="connsiteY1" fmla="*/ 1178833 h 1188039"/>
                                <a:gd name="connsiteX2" fmla="*/ 0 w 287421"/>
                                <a:gd name="connsiteY2" fmla="*/ 967854 h 1188039"/>
                                <a:gd name="connsiteX3" fmla="*/ 16610 w 287421"/>
                                <a:gd name="connsiteY3" fmla="*/ 128731 h 1188039"/>
                                <a:gd name="connsiteX4" fmla="*/ 118707 w 287421"/>
                                <a:gd name="connsiteY4" fmla="*/ 26634 h 1188039"/>
                                <a:gd name="connsiteX5" fmla="*/ 191634 w 287421"/>
                                <a:gd name="connsiteY5" fmla="*/ 26634 h 1188039"/>
                                <a:gd name="connsiteX6" fmla="*/ 191634 w 287421"/>
                                <a:gd name="connsiteY6" fmla="*/ 0 h 1188039"/>
                                <a:gd name="connsiteX7" fmla="*/ 249975 w 287421"/>
                                <a:gd name="connsiteY7" fmla="*/ 55805 h 1188039"/>
                                <a:gd name="connsiteX8" fmla="*/ 191634 w 287421"/>
                                <a:gd name="connsiteY8" fmla="*/ 111609 h 1188039"/>
                                <a:gd name="connsiteX9" fmla="*/ 191634 w 287421"/>
                                <a:gd name="connsiteY9" fmla="*/ 84975 h 1188039"/>
                                <a:gd name="connsiteX10" fmla="*/ 118707 w 287421"/>
                                <a:gd name="connsiteY10" fmla="*/ 84975 h 1188039"/>
                                <a:gd name="connsiteX11" fmla="*/ 74951 w 287421"/>
                                <a:gd name="connsiteY11" fmla="*/ 128731 h 1188039"/>
                                <a:gd name="connsiteX12" fmla="*/ 79463 w 287421"/>
                                <a:gd name="connsiteY12" fmla="*/ 450558 h 1188039"/>
                                <a:gd name="connsiteX13" fmla="*/ 114343 w 287421"/>
                                <a:gd name="connsiteY13" fmla="*/ 1069594 h 1188039"/>
                                <a:gd name="connsiteX14" fmla="*/ 273687 w 287421"/>
                                <a:gd name="connsiteY14" fmla="*/ 1052284 h 1188039"/>
                                <a:gd name="connsiteX15" fmla="*/ 287421 w 287421"/>
                                <a:gd name="connsiteY15" fmla="*/ 1188039 h 1188039"/>
                                <a:gd name="connsiteX0" fmla="*/ 289370 w 289370"/>
                                <a:gd name="connsiteY0" fmla="*/ 1188039 h 1226428"/>
                                <a:gd name="connsiteX1" fmla="*/ 122621 w 289370"/>
                                <a:gd name="connsiteY1" fmla="*/ 1178833 h 1226428"/>
                                <a:gd name="connsiteX2" fmla="*/ 0 w 289370"/>
                                <a:gd name="connsiteY2" fmla="*/ 1154717 h 1226428"/>
                                <a:gd name="connsiteX3" fmla="*/ 18559 w 289370"/>
                                <a:gd name="connsiteY3" fmla="*/ 128731 h 1226428"/>
                                <a:gd name="connsiteX4" fmla="*/ 120656 w 289370"/>
                                <a:gd name="connsiteY4" fmla="*/ 26634 h 1226428"/>
                                <a:gd name="connsiteX5" fmla="*/ 193583 w 289370"/>
                                <a:gd name="connsiteY5" fmla="*/ 26634 h 1226428"/>
                                <a:gd name="connsiteX6" fmla="*/ 193583 w 289370"/>
                                <a:gd name="connsiteY6" fmla="*/ 0 h 1226428"/>
                                <a:gd name="connsiteX7" fmla="*/ 251924 w 289370"/>
                                <a:gd name="connsiteY7" fmla="*/ 55805 h 1226428"/>
                                <a:gd name="connsiteX8" fmla="*/ 193583 w 289370"/>
                                <a:gd name="connsiteY8" fmla="*/ 111609 h 1226428"/>
                                <a:gd name="connsiteX9" fmla="*/ 193583 w 289370"/>
                                <a:gd name="connsiteY9" fmla="*/ 84975 h 1226428"/>
                                <a:gd name="connsiteX10" fmla="*/ 120656 w 289370"/>
                                <a:gd name="connsiteY10" fmla="*/ 84975 h 1226428"/>
                                <a:gd name="connsiteX11" fmla="*/ 76900 w 289370"/>
                                <a:gd name="connsiteY11" fmla="*/ 128731 h 1226428"/>
                                <a:gd name="connsiteX12" fmla="*/ 81412 w 289370"/>
                                <a:gd name="connsiteY12" fmla="*/ 450558 h 1226428"/>
                                <a:gd name="connsiteX13" fmla="*/ 116292 w 289370"/>
                                <a:gd name="connsiteY13" fmla="*/ 1069594 h 1226428"/>
                                <a:gd name="connsiteX14" fmla="*/ 275636 w 289370"/>
                                <a:gd name="connsiteY14" fmla="*/ 1052284 h 1226428"/>
                                <a:gd name="connsiteX15" fmla="*/ 289370 w 289370"/>
                                <a:gd name="connsiteY15" fmla="*/ 1188039 h 1226428"/>
                                <a:gd name="connsiteX0" fmla="*/ 289370 w 289370"/>
                                <a:gd name="connsiteY0" fmla="*/ 1188039 h 1226428"/>
                                <a:gd name="connsiteX1" fmla="*/ 122621 w 289370"/>
                                <a:gd name="connsiteY1" fmla="*/ 1178833 h 1226428"/>
                                <a:gd name="connsiteX2" fmla="*/ 0 w 289370"/>
                                <a:gd name="connsiteY2" fmla="*/ 1154717 h 1226428"/>
                                <a:gd name="connsiteX3" fmla="*/ 18559 w 289370"/>
                                <a:gd name="connsiteY3" fmla="*/ 128731 h 1226428"/>
                                <a:gd name="connsiteX4" fmla="*/ 120656 w 289370"/>
                                <a:gd name="connsiteY4" fmla="*/ 26634 h 1226428"/>
                                <a:gd name="connsiteX5" fmla="*/ 193583 w 289370"/>
                                <a:gd name="connsiteY5" fmla="*/ 26634 h 1226428"/>
                                <a:gd name="connsiteX6" fmla="*/ 193583 w 289370"/>
                                <a:gd name="connsiteY6" fmla="*/ 0 h 1226428"/>
                                <a:gd name="connsiteX7" fmla="*/ 251924 w 289370"/>
                                <a:gd name="connsiteY7" fmla="*/ 55805 h 1226428"/>
                                <a:gd name="connsiteX8" fmla="*/ 193583 w 289370"/>
                                <a:gd name="connsiteY8" fmla="*/ 111609 h 1226428"/>
                                <a:gd name="connsiteX9" fmla="*/ 193583 w 289370"/>
                                <a:gd name="connsiteY9" fmla="*/ 84975 h 1226428"/>
                                <a:gd name="connsiteX10" fmla="*/ 120656 w 289370"/>
                                <a:gd name="connsiteY10" fmla="*/ 84975 h 1226428"/>
                                <a:gd name="connsiteX11" fmla="*/ 76900 w 289370"/>
                                <a:gd name="connsiteY11" fmla="*/ 128731 h 1226428"/>
                                <a:gd name="connsiteX12" fmla="*/ 71670 w 289370"/>
                                <a:gd name="connsiteY12" fmla="*/ 1017113 h 1226428"/>
                                <a:gd name="connsiteX13" fmla="*/ 116292 w 289370"/>
                                <a:gd name="connsiteY13" fmla="*/ 1069594 h 1226428"/>
                                <a:gd name="connsiteX14" fmla="*/ 275636 w 289370"/>
                                <a:gd name="connsiteY14" fmla="*/ 1052284 h 1226428"/>
                                <a:gd name="connsiteX15" fmla="*/ 289370 w 289370"/>
                                <a:gd name="connsiteY15" fmla="*/ 1188039 h 1226428"/>
                                <a:gd name="connsiteX0" fmla="*/ 289370 w 289370"/>
                                <a:gd name="connsiteY0" fmla="*/ 1188039 h 1226428"/>
                                <a:gd name="connsiteX1" fmla="*/ 122621 w 289370"/>
                                <a:gd name="connsiteY1" fmla="*/ 1178833 h 1226428"/>
                                <a:gd name="connsiteX2" fmla="*/ 0 w 289370"/>
                                <a:gd name="connsiteY2" fmla="*/ 1154717 h 1226428"/>
                                <a:gd name="connsiteX3" fmla="*/ 18559 w 289370"/>
                                <a:gd name="connsiteY3" fmla="*/ 128731 h 1226428"/>
                                <a:gd name="connsiteX4" fmla="*/ 120656 w 289370"/>
                                <a:gd name="connsiteY4" fmla="*/ 26634 h 1226428"/>
                                <a:gd name="connsiteX5" fmla="*/ 193583 w 289370"/>
                                <a:gd name="connsiteY5" fmla="*/ 26634 h 1226428"/>
                                <a:gd name="connsiteX6" fmla="*/ 193583 w 289370"/>
                                <a:gd name="connsiteY6" fmla="*/ 0 h 1226428"/>
                                <a:gd name="connsiteX7" fmla="*/ 251924 w 289370"/>
                                <a:gd name="connsiteY7" fmla="*/ 55805 h 1226428"/>
                                <a:gd name="connsiteX8" fmla="*/ 193583 w 289370"/>
                                <a:gd name="connsiteY8" fmla="*/ 111609 h 1226428"/>
                                <a:gd name="connsiteX9" fmla="*/ 193583 w 289370"/>
                                <a:gd name="connsiteY9" fmla="*/ 84975 h 1226428"/>
                                <a:gd name="connsiteX10" fmla="*/ 120656 w 289370"/>
                                <a:gd name="connsiteY10" fmla="*/ 84975 h 1226428"/>
                                <a:gd name="connsiteX11" fmla="*/ 76900 w 289370"/>
                                <a:gd name="connsiteY11" fmla="*/ 128731 h 1226428"/>
                                <a:gd name="connsiteX12" fmla="*/ 71670 w 289370"/>
                                <a:gd name="connsiteY12" fmla="*/ 1017113 h 1226428"/>
                                <a:gd name="connsiteX13" fmla="*/ 116292 w 289370"/>
                                <a:gd name="connsiteY13" fmla="*/ 1069594 h 1226428"/>
                                <a:gd name="connsiteX14" fmla="*/ 275636 w 289370"/>
                                <a:gd name="connsiteY14" fmla="*/ 1052284 h 1226428"/>
                                <a:gd name="connsiteX15" fmla="*/ 289370 w 289370"/>
                                <a:gd name="connsiteY15" fmla="*/ 1188039 h 1226428"/>
                                <a:gd name="connsiteX0" fmla="*/ 289371 w 289371"/>
                                <a:gd name="connsiteY0" fmla="*/ 1188039 h 1212865"/>
                                <a:gd name="connsiteX1" fmla="*/ 122622 w 289371"/>
                                <a:gd name="connsiteY1" fmla="*/ 1178833 h 1212865"/>
                                <a:gd name="connsiteX2" fmla="*/ 0 w 289371"/>
                                <a:gd name="connsiteY2" fmla="*/ 1139141 h 1212865"/>
                                <a:gd name="connsiteX3" fmla="*/ 18560 w 289371"/>
                                <a:gd name="connsiteY3" fmla="*/ 128731 h 1212865"/>
                                <a:gd name="connsiteX4" fmla="*/ 120657 w 289371"/>
                                <a:gd name="connsiteY4" fmla="*/ 26634 h 1212865"/>
                                <a:gd name="connsiteX5" fmla="*/ 193584 w 289371"/>
                                <a:gd name="connsiteY5" fmla="*/ 26634 h 1212865"/>
                                <a:gd name="connsiteX6" fmla="*/ 193584 w 289371"/>
                                <a:gd name="connsiteY6" fmla="*/ 0 h 1212865"/>
                                <a:gd name="connsiteX7" fmla="*/ 251925 w 289371"/>
                                <a:gd name="connsiteY7" fmla="*/ 55805 h 1212865"/>
                                <a:gd name="connsiteX8" fmla="*/ 193584 w 289371"/>
                                <a:gd name="connsiteY8" fmla="*/ 111609 h 1212865"/>
                                <a:gd name="connsiteX9" fmla="*/ 193584 w 289371"/>
                                <a:gd name="connsiteY9" fmla="*/ 84975 h 1212865"/>
                                <a:gd name="connsiteX10" fmla="*/ 120657 w 289371"/>
                                <a:gd name="connsiteY10" fmla="*/ 84975 h 1212865"/>
                                <a:gd name="connsiteX11" fmla="*/ 76901 w 289371"/>
                                <a:gd name="connsiteY11" fmla="*/ 128731 h 1212865"/>
                                <a:gd name="connsiteX12" fmla="*/ 71671 w 289371"/>
                                <a:gd name="connsiteY12" fmla="*/ 1017113 h 1212865"/>
                                <a:gd name="connsiteX13" fmla="*/ 116293 w 289371"/>
                                <a:gd name="connsiteY13" fmla="*/ 1069594 h 1212865"/>
                                <a:gd name="connsiteX14" fmla="*/ 275637 w 289371"/>
                                <a:gd name="connsiteY14" fmla="*/ 1052284 h 1212865"/>
                                <a:gd name="connsiteX15" fmla="*/ 289371 w 289371"/>
                                <a:gd name="connsiteY15" fmla="*/ 1188039 h 1212865"/>
                                <a:gd name="connsiteX0" fmla="*/ 289371 w 289371"/>
                                <a:gd name="connsiteY0" fmla="*/ 1188039 h 1270024"/>
                                <a:gd name="connsiteX1" fmla="*/ 122622 w 289371"/>
                                <a:gd name="connsiteY1" fmla="*/ 1178833 h 1270024"/>
                                <a:gd name="connsiteX2" fmla="*/ 0 w 289371"/>
                                <a:gd name="connsiteY2" fmla="*/ 1139141 h 1270024"/>
                                <a:gd name="connsiteX3" fmla="*/ 18560 w 289371"/>
                                <a:gd name="connsiteY3" fmla="*/ 128731 h 1270024"/>
                                <a:gd name="connsiteX4" fmla="*/ 120657 w 289371"/>
                                <a:gd name="connsiteY4" fmla="*/ 26634 h 1270024"/>
                                <a:gd name="connsiteX5" fmla="*/ 193584 w 289371"/>
                                <a:gd name="connsiteY5" fmla="*/ 26634 h 1270024"/>
                                <a:gd name="connsiteX6" fmla="*/ 193584 w 289371"/>
                                <a:gd name="connsiteY6" fmla="*/ 0 h 1270024"/>
                                <a:gd name="connsiteX7" fmla="*/ 251925 w 289371"/>
                                <a:gd name="connsiteY7" fmla="*/ 55805 h 1270024"/>
                                <a:gd name="connsiteX8" fmla="*/ 193584 w 289371"/>
                                <a:gd name="connsiteY8" fmla="*/ 111609 h 1270024"/>
                                <a:gd name="connsiteX9" fmla="*/ 193584 w 289371"/>
                                <a:gd name="connsiteY9" fmla="*/ 84975 h 1270024"/>
                                <a:gd name="connsiteX10" fmla="*/ 120657 w 289371"/>
                                <a:gd name="connsiteY10" fmla="*/ 84975 h 1270024"/>
                                <a:gd name="connsiteX11" fmla="*/ 76901 w 289371"/>
                                <a:gd name="connsiteY11" fmla="*/ 128731 h 1270024"/>
                                <a:gd name="connsiteX12" fmla="*/ 71671 w 289371"/>
                                <a:gd name="connsiteY12" fmla="*/ 1017113 h 1270024"/>
                                <a:gd name="connsiteX13" fmla="*/ 116293 w 289371"/>
                                <a:gd name="connsiteY13" fmla="*/ 1069594 h 1270024"/>
                                <a:gd name="connsiteX14" fmla="*/ 275637 w 289371"/>
                                <a:gd name="connsiteY14" fmla="*/ 1052284 h 1270024"/>
                                <a:gd name="connsiteX15" fmla="*/ 289371 w 289371"/>
                                <a:gd name="connsiteY15" fmla="*/ 1188039 h 1270024"/>
                                <a:gd name="connsiteX0" fmla="*/ 289371 w 289371"/>
                                <a:gd name="connsiteY0" fmla="*/ 1188039 h 1270024"/>
                                <a:gd name="connsiteX1" fmla="*/ 122622 w 289371"/>
                                <a:gd name="connsiteY1" fmla="*/ 1178833 h 1270024"/>
                                <a:gd name="connsiteX2" fmla="*/ 0 w 289371"/>
                                <a:gd name="connsiteY2" fmla="*/ 1139141 h 1270024"/>
                                <a:gd name="connsiteX3" fmla="*/ 18560 w 289371"/>
                                <a:gd name="connsiteY3" fmla="*/ 128731 h 1270024"/>
                                <a:gd name="connsiteX4" fmla="*/ 120657 w 289371"/>
                                <a:gd name="connsiteY4" fmla="*/ 26634 h 1270024"/>
                                <a:gd name="connsiteX5" fmla="*/ 193584 w 289371"/>
                                <a:gd name="connsiteY5" fmla="*/ 26634 h 1270024"/>
                                <a:gd name="connsiteX6" fmla="*/ 193584 w 289371"/>
                                <a:gd name="connsiteY6" fmla="*/ 0 h 1270024"/>
                                <a:gd name="connsiteX7" fmla="*/ 251925 w 289371"/>
                                <a:gd name="connsiteY7" fmla="*/ 55805 h 1270024"/>
                                <a:gd name="connsiteX8" fmla="*/ 193584 w 289371"/>
                                <a:gd name="connsiteY8" fmla="*/ 111609 h 1270024"/>
                                <a:gd name="connsiteX9" fmla="*/ 193584 w 289371"/>
                                <a:gd name="connsiteY9" fmla="*/ 84975 h 1270024"/>
                                <a:gd name="connsiteX10" fmla="*/ 120657 w 289371"/>
                                <a:gd name="connsiteY10" fmla="*/ 84975 h 1270024"/>
                                <a:gd name="connsiteX11" fmla="*/ 76901 w 289371"/>
                                <a:gd name="connsiteY11" fmla="*/ 128731 h 1270024"/>
                                <a:gd name="connsiteX12" fmla="*/ 71671 w 289371"/>
                                <a:gd name="connsiteY12" fmla="*/ 1017113 h 1270024"/>
                                <a:gd name="connsiteX13" fmla="*/ 116293 w 289371"/>
                                <a:gd name="connsiteY13" fmla="*/ 1069594 h 1270024"/>
                                <a:gd name="connsiteX14" fmla="*/ 275637 w 289371"/>
                                <a:gd name="connsiteY14" fmla="*/ 1052284 h 1270024"/>
                                <a:gd name="connsiteX15" fmla="*/ 289371 w 289371"/>
                                <a:gd name="connsiteY15" fmla="*/ 1188039 h 1270024"/>
                                <a:gd name="connsiteX0" fmla="*/ 289371 w 289371"/>
                                <a:gd name="connsiteY0" fmla="*/ 1188039 h 1188039"/>
                                <a:gd name="connsiteX1" fmla="*/ 122622 w 289371"/>
                                <a:gd name="connsiteY1" fmla="*/ 1178833 h 1188039"/>
                                <a:gd name="connsiteX2" fmla="*/ 0 w 289371"/>
                                <a:gd name="connsiteY2" fmla="*/ 1139141 h 1188039"/>
                                <a:gd name="connsiteX3" fmla="*/ 18560 w 289371"/>
                                <a:gd name="connsiteY3" fmla="*/ 128731 h 1188039"/>
                                <a:gd name="connsiteX4" fmla="*/ 120657 w 289371"/>
                                <a:gd name="connsiteY4" fmla="*/ 26634 h 1188039"/>
                                <a:gd name="connsiteX5" fmla="*/ 193584 w 289371"/>
                                <a:gd name="connsiteY5" fmla="*/ 26634 h 1188039"/>
                                <a:gd name="connsiteX6" fmla="*/ 193584 w 289371"/>
                                <a:gd name="connsiteY6" fmla="*/ 0 h 1188039"/>
                                <a:gd name="connsiteX7" fmla="*/ 251925 w 289371"/>
                                <a:gd name="connsiteY7" fmla="*/ 55805 h 1188039"/>
                                <a:gd name="connsiteX8" fmla="*/ 193584 w 289371"/>
                                <a:gd name="connsiteY8" fmla="*/ 111609 h 1188039"/>
                                <a:gd name="connsiteX9" fmla="*/ 193584 w 289371"/>
                                <a:gd name="connsiteY9" fmla="*/ 84975 h 1188039"/>
                                <a:gd name="connsiteX10" fmla="*/ 120657 w 289371"/>
                                <a:gd name="connsiteY10" fmla="*/ 84975 h 1188039"/>
                                <a:gd name="connsiteX11" fmla="*/ 76901 w 289371"/>
                                <a:gd name="connsiteY11" fmla="*/ 128731 h 1188039"/>
                                <a:gd name="connsiteX12" fmla="*/ 71671 w 289371"/>
                                <a:gd name="connsiteY12" fmla="*/ 1017113 h 1188039"/>
                                <a:gd name="connsiteX13" fmla="*/ 116293 w 289371"/>
                                <a:gd name="connsiteY13" fmla="*/ 1069594 h 1188039"/>
                                <a:gd name="connsiteX14" fmla="*/ 275637 w 289371"/>
                                <a:gd name="connsiteY14" fmla="*/ 1052284 h 1188039"/>
                                <a:gd name="connsiteX15" fmla="*/ 289371 w 289371"/>
                                <a:gd name="connsiteY15" fmla="*/ 1188039 h 1188039"/>
                                <a:gd name="connsiteX0" fmla="*/ 289371 w 289371"/>
                                <a:gd name="connsiteY0" fmla="*/ 1188039 h 1226489"/>
                                <a:gd name="connsiteX1" fmla="*/ 122622 w 289371"/>
                                <a:gd name="connsiteY1" fmla="*/ 1178833 h 1226489"/>
                                <a:gd name="connsiteX2" fmla="*/ 0 w 289371"/>
                                <a:gd name="connsiteY2" fmla="*/ 1139141 h 1226489"/>
                                <a:gd name="connsiteX3" fmla="*/ 18560 w 289371"/>
                                <a:gd name="connsiteY3" fmla="*/ 128731 h 1226489"/>
                                <a:gd name="connsiteX4" fmla="*/ 120657 w 289371"/>
                                <a:gd name="connsiteY4" fmla="*/ 26634 h 1226489"/>
                                <a:gd name="connsiteX5" fmla="*/ 193584 w 289371"/>
                                <a:gd name="connsiteY5" fmla="*/ 26634 h 1226489"/>
                                <a:gd name="connsiteX6" fmla="*/ 193584 w 289371"/>
                                <a:gd name="connsiteY6" fmla="*/ 0 h 1226489"/>
                                <a:gd name="connsiteX7" fmla="*/ 251925 w 289371"/>
                                <a:gd name="connsiteY7" fmla="*/ 55805 h 1226489"/>
                                <a:gd name="connsiteX8" fmla="*/ 193584 w 289371"/>
                                <a:gd name="connsiteY8" fmla="*/ 111609 h 1226489"/>
                                <a:gd name="connsiteX9" fmla="*/ 193584 w 289371"/>
                                <a:gd name="connsiteY9" fmla="*/ 84975 h 1226489"/>
                                <a:gd name="connsiteX10" fmla="*/ 120657 w 289371"/>
                                <a:gd name="connsiteY10" fmla="*/ 84975 h 1226489"/>
                                <a:gd name="connsiteX11" fmla="*/ 76901 w 289371"/>
                                <a:gd name="connsiteY11" fmla="*/ 128731 h 1226489"/>
                                <a:gd name="connsiteX12" fmla="*/ 71671 w 289371"/>
                                <a:gd name="connsiteY12" fmla="*/ 1017113 h 1226489"/>
                                <a:gd name="connsiteX13" fmla="*/ 116293 w 289371"/>
                                <a:gd name="connsiteY13" fmla="*/ 1069594 h 1226489"/>
                                <a:gd name="connsiteX14" fmla="*/ 275637 w 289371"/>
                                <a:gd name="connsiteY14" fmla="*/ 1052284 h 1226489"/>
                                <a:gd name="connsiteX15" fmla="*/ 289371 w 289371"/>
                                <a:gd name="connsiteY15" fmla="*/ 1188039 h 1226489"/>
                                <a:gd name="connsiteX0" fmla="*/ 289371 w 289371"/>
                                <a:gd name="connsiteY0" fmla="*/ 1188039 h 1188039"/>
                                <a:gd name="connsiteX1" fmla="*/ 122622 w 289371"/>
                                <a:gd name="connsiteY1" fmla="*/ 1178833 h 1188039"/>
                                <a:gd name="connsiteX2" fmla="*/ 0 w 289371"/>
                                <a:gd name="connsiteY2" fmla="*/ 1139141 h 1188039"/>
                                <a:gd name="connsiteX3" fmla="*/ 18560 w 289371"/>
                                <a:gd name="connsiteY3" fmla="*/ 128731 h 1188039"/>
                                <a:gd name="connsiteX4" fmla="*/ 120657 w 289371"/>
                                <a:gd name="connsiteY4" fmla="*/ 26634 h 1188039"/>
                                <a:gd name="connsiteX5" fmla="*/ 193584 w 289371"/>
                                <a:gd name="connsiteY5" fmla="*/ 26634 h 1188039"/>
                                <a:gd name="connsiteX6" fmla="*/ 193584 w 289371"/>
                                <a:gd name="connsiteY6" fmla="*/ 0 h 1188039"/>
                                <a:gd name="connsiteX7" fmla="*/ 251925 w 289371"/>
                                <a:gd name="connsiteY7" fmla="*/ 55805 h 1188039"/>
                                <a:gd name="connsiteX8" fmla="*/ 193584 w 289371"/>
                                <a:gd name="connsiteY8" fmla="*/ 111609 h 1188039"/>
                                <a:gd name="connsiteX9" fmla="*/ 193584 w 289371"/>
                                <a:gd name="connsiteY9" fmla="*/ 84975 h 1188039"/>
                                <a:gd name="connsiteX10" fmla="*/ 120657 w 289371"/>
                                <a:gd name="connsiteY10" fmla="*/ 84975 h 1188039"/>
                                <a:gd name="connsiteX11" fmla="*/ 76901 w 289371"/>
                                <a:gd name="connsiteY11" fmla="*/ 128731 h 1188039"/>
                                <a:gd name="connsiteX12" fmla="*/ 71671 w 289371"/>
                                <a:gd name="connsiteY12" fmla="*/ 1017113 h 1188039"/>
                                <a:gd name="connsiteX13" fmla="*/ 116293 w 289371"/>
                                <a:gd name="connsiteY13" fmla="*/ 1069594 h 1188039"/>
                                <a:gd name="connsiteX14" fmla="*/ 275637 w 289371"/>
                                <a:gd name="connsiteY14" fmla="*/ 1052284 h 1188039"/>
                                <a:gd name="connsiteX15" fmla="*/ 289371 w 289371"/>
                                <a:gd name="connsiteY15" fmla="*/ 1188039 h 1188039"/>
                                <a:gd name="connsiteX0" fmla="*/ 291321 w 291321"/>
                                <a:gd name="connsiteY0" fmla="*/ 1188039 h 1188039"/>
                                <a:gd name="connsiteX1" fmla="*/ 124572 w 291321"/>
                                <a:gd name="connsiteY1" fmla="*/ 1178833 h 1188039"/>
                                <a:gd name="connsiteX2" fmla="*/ 0 w 291321"/>
                                <a:gd name="connsiteY2" fmla="*/ 1104066 h 1188039"/>
                                <a:gd name="connsiteX3" fmla="*/ 20510 w 291321"/>
                                <a:gd name="connsiteY3" fmla="*/ 128731 h 1188039"/>
                                <a:gd name="connsiteX4" fmla="*/ 122607 w 291321"/>
                                <a:gd name="connsiteY4" fmla="*/ 26634 h 1188039"/>
                                <a:gd name="connsiteX5" fmla="*/ 195534 w 291321"/>
                                <a:gd name="connsiteY5" fmla="*/ 26634 h 1188039"/>
                                <a:gd name="connsiteX6" fmla="*/ 195534 w 291321"/>
                                <a:gd name="connsiteY6" fmla="*/ 0 h 1188039"/>
                                <a:gd name="connsiteX7" fmla="*/ 253875 w 291321"/>
                                <a:gd name="connsiteY7" fmla="*/ 55805 h 1188039"/>
                                <a:gd name="connsiteX8" fmla="*/ 195534 w 291321"/>
                                <a:gd name="connsiteY8" fmla="*/ 111609 h 1188039"/>
                                <a:gd name="connsiteX9" fmla="*/ 195534 w 291321"/>
                                <a:gd name="connsiteY9" fmla="*/ 84975 h 1188039"/>
                                <a:gd name="connsiteX10" fmla="*/ 122607 w 291321"/>
                                <a:gd name="connsiteY10" fmla="*/ 84975 h 1188039"/>
                                <a:gd name="connsiteX11" fmla="*/ 78851 w 291321"/>
                                <a:gd name="connsiteY11" fmla="*/ 128731 h 1188039"/>
                                <a:gd name="connsiteX12" fmla="*/ 73621 w 291321"/>
                                <a:gd name="connsiteY12" fmla="*/ 1017113 h 1188039"/>
                                <a:gd name="connsiteX13" fmla="*/ 118243 w 291321"/>
                                <a:gd name="connsiteY13" fmla="*/ 1069594 h 1188039"/>
                                <a:gd name="connsiteX14" fmla="*/ 277587 w 291321"/>
                                <a:gd name="connsiteY14" fmla="*/ 1052284 h 1188039"/>
                                <a:gd name="connsiteX15" fmla="*/ 291321 w 291321"/>
                                <a:gd name="connsiteY15" fmla="*/ 1188039 h 1188039"/>
                                <a:gd name="connsiteX0" fmla="*/ 291321 w 291321"/>
                                <a:gd name="connsiteY0" fmla="*/ 1188039 h 1188039"/>
                                <a:gd name="connsiteX1" fmla="*/ 124572 w 291321"/>
                                <a:gd name="connsiteY1" fmla="*/ 1178833 h 1188039"/>
                                <a:gd name="connsiteX2" fmla="*/ 0 w 291321"/>
                                <a:gd name="connsiteY2" fmla="*/ 1104066 h 1188039"/>
                                <a:gd name="connsiteX3" fmla="*/ 20510 w 291321"/>
                                <a:gd name="connsiteY3" fmla="*/ 128731 h 1188039"/>
                                <a:gd name="connsiteX4" fmla="*/ 122607 w 291321"/>
                                <a:gd name="connsiteY4" fmla="*/ 26634 h 1188039"/>
                                <a:gd name="connsiteX5" fmla="*/ 195534 w 291321"/>
                                <a:gd name="connsiteY5" fmla="*/ 26634 h 1188039"/>
                                <a:gd name="connsiteX6" fmla="*/ 195534 w 291321"/>
                                <a:gd name="connsiteY6" fmla="*/ 0 h 1188039"/>
                                <a:gd name="connsiteX7" fmla="*/ 253875 w 291321"/>
                                <a:gd name="connsiteY7" fmla="*/ 55805 h 1188039"/>
                                <a:gd name="connsiteX8" fmla="*/ 195534 w 291321"/>
                                <a:gd name="connsiteY8" fmla="*/ 111609 h 1188039"/>
                                <a:gd name="connsiteX9" fmla="*/ 195534 w 291321"/>
                                <a:gd name="connsiteY9" fmla="*/ 84975 h 1188039"/>
                                <a:gd name="connsiteX10" fmla="*/ 122607 w 291321"/>
                                <a:gd name="connsiteY10" fmla="*/ 84975 h 1188039"/>
                                <a:gd name="connsiteX11" fmla="*/ 78851 w 291321"/>
                                <a:gd name="connsiteY11" fmla="*/ 128731 h 1188039"/>
                                <a:gd name="connsiteX12" fmla="*/ 73621 w 291321"/>
                                <a:gd name="connsiteY12" fmla="*/ 1017113 h 1188039"/>
                                <a:gd name="connsiteX13" fmla="*/ 118243 w 291321"/>
                                <a:gd name="connsiteY13" fmla="*/ 1069594 h 1188039"/>
                                <a:gd name="connsiteX14" fmla="*/ 277587 w 291321"/>
                                <a:gd name="connsiteY14" fmla="*/ 1052284 h 1188039"/>
                                <a:gd name="connsiteX15" fmla="*/ 291321 w 291321"/>
                                <a:gd name="connsiteY15" fmla="*/ 1188039 h 1188039"/>
                                <a:gd name="connsiteX0" fmla="*/ 273781 w 273781"/>
                                <a:gd name="connsiteY0" fmla="*/ 1188039 h 1188039"/>
                                <a:gd name="connsiteX1" fmla="*/ 107032 w 273781"/>
                                <a:gd name="connsiteY1" fmla="*/ 1178833 h 1188039"/>
                                <a:gd name="connsiteX2" fmla="*/ 0 w 273781"/>
                                <a:gd name="connsiteY2" fmla="*/ 1100169 h 1188039"/>
                                <a:gd name="connsiteX3" fmla="*/ 2970 w 273781"/>
                                <a:gd name="connsiteY3" fmla="*/ 128731 h 1188039"/>
                                <a:gd name="connsiteX4" fmla="*/ 105067 w 273781"/>
                                <a:gd name="connsiteY4" fmla="*/ 26634 h 1188039"/>
                                <a:gd name="connsiteX5" fmla="*/ 177994 w 273781"/>
                                <a:gd name="connsiteY5" fmla="*/ 26634 h 1188039"/>
                                <a:gd name="connsiteX6" fmla="*/ 177994 w 273781"/>
                                <a:gd name="connsiteY6" fmla="*/ 0 h 1188039"/>
                                <a:gd name="connsiteX7" fmla="*/ 236335 w 273781"/>
                                <a:gd name="connsiteY7" fmla="*/ 55805 h 1188039"/>
                                <a:gd name="connsiteX8" fmla="*/ 177994 w 273781"/>
                                <a:gd name="connsiteY8" fmla="*/ 111609 h 1188039"/>
                                <a:gd name="connsiteX9" fmla="*/ 177994 w 273781"/>
                                <a:gd name="connsiteY9" fmla="*/ 84975 h 1188039"/>
                                <a:gd name="connsiteX10" fmla="*/ 105067 w 273781"/>
                                <a:gd name="connsiteY10" fmla="*/ 84975 h 1188039"/>
                                <a:gd name="connsiteX11" fmla="*/ 61311 w 273781"/>
                                <a:gd name="connsiteY11" fmla="*/ 128731 h 1188039"/>
                                <a:gd name="connsiteX12" fmla="*/ 56081 w 273781"/>
                                <a:gd name="connsiteY12" fmla="*/ 1017113 h 1188039"/>
                                <a:gd name="connsiteX13" fmla="*/ 100703 w 273781"/>
                                <a:gd name="connsiteY13" fmla="*/ 1069594 h 1188039"/>
                                <a:gd name="connsiteX14" fmla="*/ 260047 w 273781"/>
                                <a:gd name="connsiteY14" fmla="*/ 1052284 h 1188039"/>
                                <a:gd name="connsiteX15" fmla="*/ 273781 w 273781"/>
                                <a:gd name="connsiteY15" fmla="*/ 1188039 h 1188039"/>
                                <a:gd name="connsiteX0" fmla="*/ 273781 w 273781"/>
                                <a:gd name="connsiteY0" fmla="*/ 1188039 h 1188039"/>
                                <a:gd name="connsiteX1" fmla="*/ 107032 w 273781"/>
                                <a:gd name="connsiteY1" fmla="*/ 1178833 h 1188039"/>
                                <a:gd name="connsiteX2" fmla="*/ 0 w 273781"/>
                                <a:gd name="connsiteY2" fmla="*/ 1100169 h 1188039"/>
                                <a:gd name="connsiteX3" fmla="*/ 2970 w 273781"/>
                                <a:gd name="connsiteY3" fmla="*/ 128731 h 1188039"/>
                                <a:gd name="connsiteX4" fmla="*/ 105067 w 273781"/>
                                <a:gd name="connsiteY4" fmla="*/ 26634 h 1188039"/>
                                <a:gd name="connsiteX5" fmla="*/ 177994 w 273781"/>
                                <a:gd name="connsiteY5" fmla="*/ 26634 h 1188039"/>
                                <a:gd name="connsiteX6" fmla="*/ 177994 w 273781"/>
                                <a:gd name="connsiteY6" fmla="*/ 0 h 1188039"/>
                                <a:gd name="connsiteX7" fmla="*/ 236335 w 273781"/>
                                <a:gd name="connsiteY7" fmla="*/ 55805 h 1188039"/>
                                <a:gd name="connsiteX8" fmla="*/ 177994 w 273781"/>
                                <a:gd name="connsiteY8" fmla="*/ 111609 h 1188039"/>
                                <a:gd name="connsiteX9" fmla="*/ 177994 w 273781"/>
                                <a:gd name="connsiteY9" fmla="*/ 84975 h 1188039"/>
                                <a:gd name="connsiteX10" fmla="*/ 105067 w 273781"/>
                                <a:gd name="connsiteY10" fmla="*/ 84975 h 1188039"/>
                                <a:gd name="connsiteX11" fmla="*/ 61311 w 273781"/>
                                <a:gd name="connsiteY11" fmla="*/ 128731 h 1188039"/>
                                <a:gd name="connsiteX12" fmla="*/ 56081 w 273781"/>
                                <a:gd name="connsiteY12" fmla="*/ 1017113 h 1188039"/>
                                <a:gd name="connsiteX13" fmla="*/ 100703 w 273781"/>
                                <a:gd name="connsiteY13" fmla="*/ 1069594 h 1188039"/>
                                <a:gd name="connsiteX14" fmla="*/ 273781 w 273781"/>
                                <a:gd name="connsiteY14" fmla="*/ 1124380 h 1188039"/>
                                <a:gd name="connsiteX15" fmla="*/ 273781 w 273781"/>
                                <a:gd name="connsiteY15" fmla="*/ 1188039 h 1188039"/>
                                <a:gd name="connsiteX0" fmla="*/ 273781 w 273781"/>
                                <a:gd name="connsiteY0" fmla="*/ 1188039 h 1188039"/>
                                <a:gd name="connsiteX1" fmla="*/ 107032 w 273781"/>
                                <a:gd name="connsiteY1" fmla="*/ 1178833 h 1188039"/>
                                <a:gd name="connsiteX2" fmla="*/ 0 w 273781"/>
                                <a:gd name="connsiteY2" fmla="*/ 1100169 h 1188039"/>
                                <a:gd name="connsiteX3" fmla="*/ 2970 w 273781"/>
                                <a:gd name="connsiteY3" fmla="*/ 128731 h 1188039"/>
                                <a:gd name="connsiteX4" fmla="*/ 105067 w 273781"/>
                                <a:gd name="connsiteY4" fmla="*/ 26634 h 1188039"/>
                                <a:gd name="connsiteX5" fmla="*/ 177994 w 273781"/>
                                <a:gd name="connsiteY5" fmla="*/ 26634 h 1188039"/>
                                <a:gd name="connsiteX6" fmla="*/ 177994 w 273781"/>
                                <a:gd name="connsiteY6" fmla="*/ 0 h 1188039"/>
                                <a:gd name="connsiteX7" fmla="*/ 236335 w 273781"/>
                                <a:gd name="connsiteY7" fmla="*/ 55805 h 1188039"/>
                                <a:gd name="connsiteX8" fmla="*/ 177994 w 273781"/>
                                <a:gd name="connsiteY8" fmla="*/ 111609 h 1188039"/>
                                <a:gd name="connsiteX9" fmla="*/ 177994 w 273781"/>
                                <a:gd name="connsiteY9" fmla="*/ 84975 h 1188039"/>
                                <a:gd name="connsiteX10" fmla="*/ 105067 w 273781"/>
                                <a:gd name="connsiteY10" fmla="*/ 84975 h 1188039"/>
                                <a:gd name="connsiteX11" fmla="*/ 61311 w 273781"/>
                                <a:gd name="connsiteY11" fmla="*/ 128731 h 1188039"/>
                                <a:gd name="connsiteX12" fmla="*/ 56081 w 273781"/>
                                <a:gd name="connsiteY12" fmla="*/ 1017113 h 1188039"/>
                                <a:gd name="connsiteX13" fmla="*/ 106555 w 273781"/>
                                <a:gd name="connsiteY13" fmla="*/ 1104669 h 1188039"/>
                                <a:gd name="connsiteX14" fmla="*/ 273781 w 273781"/>
                                <a:gd name="connsiteY14" fmla="*/ 1124380 h 1188039"/>
                                <a:gd name="connsiteX15" fmla="*/ 273781 w 273781"/>
                                <a:gd name="connsiteY15" fmla="*/ 1188039 h 1188039"/>
                                <a:gd name="connsiteX0" fmla="*/ 273781 w 273781"/>
                                <a:gd name="connsiteY0" fmla="*/ 1188039 h 1188039"/>
                                <a:gd name="connsiteX1" fmla="*/ 107032 w 273781"/>
                                <a:gd name="connsiteY1" fmla="*/ 1178833 h 1188039"/>
                                <a:gd name="connsiteX2" fmla="*/ 0 w 273781"/>
                                <a:gd name="connsiteY2" fmla="*/ 1100169 h 1188039"/>
                                <a:gd name="connsiteX3" fmla="*/ 2970 w 273781"/>
                                <a:gd name="connsiteY3" fmla="*/ 128731 h 1188039"/>
                                <a:gd name="connsiteX4" fmla="*/ 105067 w 273781"/>
                                <a:gd name="connsiteY4" fmla="*/ 26634 h 1188039"/>
                                <a:gd name="connsiteX5" fmla="*/ 177994 w 273781"/>
                                <a:gd name="connsiteY5" fmla="*/ 26634 h 1188039"/>
                                <a:gd name="connsiteX6" fmla="*/ 177994 w 273781"/>
                                <a:gd name="connsiteY6" fmla="*/ 0 h 1188039"/>
                                <a:gd name="connsiteX7" fmla="*/ 236335 w 273781"/>
                                <a:gd name="connsiteY7" fmla="*/ 55805 h 1188039"/>
                                <a:gd name="connsiteX8" fmla="*/ 177994 w 273781"/>
                                <a:gd name="connsiteY8" fmla="*/ 111609 h 1188039"/>
                                <a:gd name="connsiteX9" fmla="*/ 177994 w 273781"/>
                                <a:gd name="connsiteY9" fmla="*/ 84975 h 1188039"/>
                                <a:gd name="connsiteX10" fmla="*/ 105067 w 273781"/>
                                <a:gd name="connsiteY10" fmla="*/ 84975 h 1188039"/>
                                <a:gd name="connsiteX11" fmla="*/ 61311 w 273781"/>
                                <a:gd name="connsiteY11" fmla="*/ 128731 h 1188039"/>
                                <a:gd name="connsiteX12" fmla="*/ 56081 w 273781"/>
                                <a:gd name="connsiteY12" fmla="*/ 1017113 h 1188039"/>
                                <a:gd name="connsiteX13" fmla="*/ 106555 w 273781"/>
                                <a:gd name="connsiteY13" fmla="*/ 1104669 h 1188039"/>
                                <a:gd name="connsiteX14" fmla="*/ 273781 w 273781"/>
                                <a:gd name="connsiteY14" fmla="*/ 1124380 h 1188039"/>
                                <a:gd name="connsiteX15" fmla="*/ 273781 w 273781"/>
                                <a:gd name="connsiteY15" fmla="*/ 1188039 h 1188039"/>
                                <a:gd name="connsiteX0" fmla="*/ 273781 w 273781"/>
                                <a:gd name="connsiteY0" fmla="*/ 1188039 h 1188039"/>
                                <a:gd name="connsiteX1" fmla="*/ 107032 w 273781"/>
                                <a:gd name="connsiteY1" fmla="*/ 1178833 h 1188039"/>
                                <a:gd name="connsiteX2" fmla="*/ 0 w 273781"/>
                                <a:gd name="connsiteY2" fmla="*/ 1100169 h 1188039"/>
                                <a:gd name="connsiteX3" fmla="*/ 2970 w 273781"/>
                                <a:gd name="connsiteY3" fmla="*/ 128731 h 1188039"/>
                                <a:gd name="connsiteX4" fmla="*/ 105067 w 273781"/>
                                <a:gd name="connsiteY4" fmla="*/ 26634 h 1188039"/>
                                <a:gd name="connsiteX5" fmla="*/ 177994 w 273781"/>
                                <a:gd name="connsiteY5" fmla="*/ 26634 h 1188039"/>
                                <a:gd name="connsiteX6" fmla="*/ 177994 w 273781"/>
                                <a:gd name="connsiteY6" fmla="*/ 0 h 1188039"/>
                                <a:gd name="connsiteX7" fmla="*/ 236335 w 273781"/>
                                <a:gd name="connsiteY7" fmla="*/ 55805 h 1188039"/>
                                <a:gd name="connsiteX8" fmla="*/ 177994 w 273781"/>
                                <a:gd name="connsiteY8" fmla="*/ 111609 h 1188039"/>
                                <a:gd name="connsiteX9" fmla="*/ 177994 w 273781"/>
                                <a:gd name="connsiteY9" fmla="*/ 84975 h 1188039"/>
                                <a:gd name="connsiteX10" fmla="*/ 105067 w 273781"/>
                                <a:gd name="connsiteY10" fmla="*/ 84975 h 1188039"/>
                                <a:gd name="connsiteX11" fmla="*/ 61311 w 273781"/>
                                <a:gd name="connsiteY11" fmla="*/ 128731 h 1188039"/>
                                <a:gd name="connsiteX12" fmla="*/ 56081 w 273781"/>
                                <a:gd name="connsiteY12" fmla="*/ 1017113 h 1188039"/>
                                <a:gd name="connsiteX13" fmla="*/ 110457 w 273781"/>
                                <a:gd name="connsiteY13" fmla="*/ 1124155 h 1188039"/>
                                <a:gd name="connsiteX14" fmla="*/ 273781 w 273781"/>
                                <a:gd name="connsiteY14" fmla="*/ 1124380 h 1188039"/>
                                <a:gd name="connsiteX15" fmla="*/ 273781 w 273781"/>
                                <a:gd name="connsiteY15" fmla="*/ 1188039 h 1188039"/>
                                <a:gd name="connsiteX0" fmla="*/ 273781 w 273781"/>
                                <a:gd name="connsiteY0" fmla="*/ 1188039 h 1188039"/>
                                <a:gd name="connsiteX1" fmla="*/ 110933 w 273781"/>
                                <a:gd name="connsiteY1" fmla="*/ 1188039 h 1188039"/>
                                <a:gd name="connsiteX2" fmla="*/ 0 w 273781"/>
                                <a:gd name="connsiteY2" fmla="*/ 1100169 h 1188039"/>
                                <a:gd name="connsiteX3" fmla="*/ 2970 w 273781"/>
                                <a:gd name="connsiteY3" fmla="*/ 128731 h 1188039"/>
                                <a:gd name="connsiteX4" fmla="*/ 105067 w 273781"/>
                                <a:gd name="connsiteY4" fmla="*/ 26634 h 1188039"/>
                                <a:gd name="connsiteX5" fmla="*/ 177994 w 273781"/>
                                <a:gd name="connsiteY5" fmla="*/ 26634 h 1188039"/>
                                <a:gd name="connsiteX6" fmla="*/ 177994 w 273781"/>
                                <a:gd name="connsiteY6" fmla="*/ 0 h 1188039"/>
                                <a:gd name="connsiteX7" fmla="*/ 236335 w 273781"/>
                                <a:gd name="connsiteY7" fmla="*/ 55805 h 1188039"/>
                                <a:gd name="connsiteX8" fmla="*/ 177994 w 273781"/>
                                <a:gd name="connsiteY8" fmla="*/ 111609 h 1188039"/>
                                <a:gd name="connsiteX9" fmla="*/ 177994 w 273781"/>
                                <a:gd name="connsiteY9" fmla="*/ 84975 h 1188039"/>
                                <a:gd name="connsiteX10" fmla="*/ 105067 w 273781"/>
                                <a:gd name="connsiteY10" fmla="*/ 84975 h 1188039"/>
                                <a:gd name="connsiteX11" fmla="*/ 61311 w 273781"/>
                                <a:gd name="connsiteY11" fmla="*/ 128731 h 1188039"/>
                                <a:gd name="connsiteX12" fmla="*/ 56081 w 273781"/>
                                <a:gd name="connsiteY12" fmla="*/ 1017113 h 1188039"/>
                                <a:gd name="connsiteX13" fmla="*/ 110457 w 273781"/>
                                <a:gd name="connsiteY13" fmla="*/ 1124155 h 1188039"/>
                                <a:gd name="connsiteX14" fmla="*/ 273781 w 273781"/>
                                <a:gd name="connsiteY14" fmla="*/ 1124380 h 1188039"/>
                                <a:gd name="connsiteX15" fmla="*/ 273781 w 273781"/>
                                <a:gd name="connsiteY15" fmla="*/ 1188039 h 1188039"/>
                                <a:gd name="connsiteX0" fmla="*/ 273781 w 273781"/>
                                <a:gd name="connsiteY0" fmla="*/ 1188039 h 1188039"/>
                                <a:gd name="connsiteX1" fmla="*/ 110933 w 273781"/>
                                <a:gd name="connsiteY1" fmla="*/ 1188039 h 1188039"/>
                                <a:gd name="connsiteX2" fmla="*/ 0 w 273781"/>
                                <a:gd name="connsiteY2" fmla="*/ 1100169 h 1188039"/>
                                <a:gd name="connsiteX3" fmla="*/ 2970 w 273781"/>
                                <a:gd name="connsiteY3" fmla="*/ 128731 h 1188039"/>
                                <a:gd name="connsiteX4" fmla="*/ 105067 w 273781"/>
                                <a:gd name="connsiteY4" fmla="*/ 26634 h 1188039"/>
                                <a:gd name="connsiteX5" fmla="*/ 177994 w 273781"/>
                                <a:gd name="connsiteY5" fmla="*/ 26634 h 1188039"/>
                                <a:gd name="connsiteX6" fmla="*/ 177994 w 273781"/>
                                <a:gd name="connsiteY6" fmla="*/ 0 h 1188039"/>
                                <a:gd name="connsiteX7" fmla="*/ 236335 w 273781"/>
                                <a:gd name="connsiteY7" fmla="*/ 55805 h 1188039"/>
                                <a:gd name="connsiteX8" fmla="*/ 177994 w 273781"/>
                                <a:gd name="connsiteY8" fmla="*/ 111609 h 1188039"/>
                                <a:gd name="connsiteX9" fmla="*/ 177994 w 273781"/>
                                <a:gd name="connsiteY9" fmla="*/ 84975 h 1188039"/>
                                <a:gd name="connsiteX10" fmla="*/ 105067 w 273781"/>
                                <a:gd name="connsiteY10" fmla="*/ 84975 h 1188039"/>
                                <a:gd name="connsiteX11" fmla="*/ 61311 w 273781"/>
                                <a:gd name="connsiteY11" fmla="*/ 128731 h 1188039"/>
                                <a:gd name="connsiteX12" fmla="*/ 59982 w 273781"/>
                                <a:gd name="connsiteY12" fmla="*/ 1091158 h 1188039"/>
                                <a:gd name="connsiteX13" fmla="*/ 110457 w 273781"/>
                                <a:gd name="connsiteY13" fmla="*/ 1124155 h 1188039"/>
                                <a:gd name="connsiteX14" fmla="*/ 273781 w 273781"/>
                                <a:gd name="connsiteY14" fmla="*/ 1124380 h 1188039"/>
                                <a:gd name="connsiteX15" fmla="*/ 273781 w 273781"/>
                                <a:gd name="connsiteY15" fmla="*/ 1188039 h 1188039"/>
                                <a:gd name="connsiteX0" fmla="*/ 273781 w 273781"/>
                                <a:gd name="connsiteY0" fmla="*/ 1188039 h 1188039"/>
                                <a:gd name="connsiteX1" fmla="*/ 110933 w 273781"/>
                                <a:gd name="connsiteY1" fmla="*/ 1188039 h 1188039"/>
                                <a:gd name="connsiteX2" fmla="*/ 0 w 273781"/>
                                <a:gd name="connsiteY2" fmla="*/ 1100169 h 1188039"/>
                                <a:gd name="connsiteX3" fmla="*/ 2970 w 273781"/>
                                <a:gd name="connsiteY3" fmla="*/ 128731 h 1188039"/>
                                <a:gd name="connsiteX4" fmla="*/ 105067 w 273781"/>
                                <a:gd name="connsiteY4" fmla="*/ 26634 h 1188039"/>
                                <a:gd name="connsiteX5" fmla="*/ 177994 w 273781"/>
                                <a:gd name="connsiteY5" fmla="*/ 26634 h 1188039"/>
                                <a:gd name="connsiteX6" fmla="*/ 177994 w 273781"/>
                                <a:gd name="connsiteY6" fmla="*/ 0 h 1188039"/>
                                <a:gd name="connsiteX7" fmla="*/ 236335 w 273781"/>
                                <a:gd name="connsiteY7" fmla="*/ 55805 h 1188039"/>
                                <a:gd name="connsiteX8" fmla="*/ 177994 w 273781"/>
                                <a:gd name="connsiteY8" fmla="*/ 111609 h 1188039"/>
                                <a:gd name="connsiteX9" fmla="*/ 177994 w 273781"/>
                                <a:gd name="connsiteY9" fmla="*/ 84975 h 1188039"/>
                                <a:gd name="connsiteX10" fmla="*/ 105067 w 273781"/>
                                <a:gd name="connsiteY10" fmla="*/ 84975 h 1188039"/>
                                <a:gd name="connsiteX11" fmla="*/ 61311 w 273781"/>
                                <a:gd name="connsiteY11" fmla="*/ 128731 h 1188039"/>
                                <a:gd name="connsiteX12" fmla="*/ 59982 w 273781"/>
                                <a:gd name="connsiteY12" fmla="*/ 1091158 h 1188039"/>
                                <a:gd name="connsiteX13" fmla="*/ 110457 w 273781"/>
                                <a:gd name="connsiteY13" fmla="*/ 1124155 h 1188039"/>
                                <a:gd name="connsiteX14" fmla="*/ 273781 w 273781"/>
                                <a:gd name="connsiteY14" fmla="*/ 1124380 h 1188039"/>
                                <a:gd name="connsiteX15" fmla="*/ 273781 w 273781"/>
                                <a:gd name="connsiteY15" fmla="*/ 1188039 h 1188039"/>
                                <a:gd name="connsiteX0" fmla="*/ 273781 w 273781"/>
                                <a:gd name="connsiteY0" fmla="*/ 1188039 h 1188039"/>
                                <a:gd name="connsiteX1" fmla="*/ 110933 w 273781"/>
                                <a:gd name="connsiteY1" fmla="*/ 1188039 h 1188039"/>
                                <a:gd name="connsiteX2" fmla="*/ 0 w 273781"/>
                                <a:gd name="connsiteY2" fmla="*/ 1100169 h 1188039"/>
                                <a:gd name="connsiteX3" fmla="*/ 2970 w 273781"/>
                                <a:gd name="connsiteY3" fmla="*/ 128731 h 1188039"/>
                                <a:gd name="connsiteX4" fmla="*/ 105067 w 273781"/>
                                <a:gd name="connsiteY4" fmla="*/ 26634 h 1188039"/>
                                <a:gd name="connsiteX5" fmla="*/ 177994 w 273781"/>
                                <a:gd name="connsiteY5" fmla="*/ 26634 h 1188039"/>
                                <a:gd name="connsiteX6" fmla="*/ 177994 w 273781"/>
                                <a:gd name="connsiteY6" fmla="*/ 0 h 1188039"/>
                                <a:gd name="connsiteX7" fmla="*/ 236335 w 273781"/>
                                <a:gd name="connsiteY7" fmla="*/ 55805 h 1188039"/>
                                <a:gd name="connsiteX8" fmla="*/ 177994 w 273781"/>
                                <a:gd name="connsiteY8" fmla="*/ 111609 h 1188039"/>
                                <a:gd name="connsiteX9" fmla="*/ 177994 w 273781"/>
                                <a:gd name="connsiteY9" fmla="*/ 84975 h 1188039"/>
                                <a:gd name="connsiteX10" fmla="*/ 105067 w 273781"/>
                                <a:gd name="connsiteY10" fmla="*/ 84975 h 1188039"/>
                                <a:gd name="connsiteX11" fmla="*/ 61311 w 273781"/>
                                <a:gd name="connsiteY11" fmla="*/ 128731 h 1188039"/>
                                <a:gd name="connsiteX12" fmla="*/ 58031 w 273781"/>
                                <a:gd name="connsiteY12" fmla="*/ 1059981 h 1188039"/>
                                <a:gd name="connsiteX13" fmla="*/ 110457 w 273781"/>
                                <a:gd name="connsiteY13" fmla="*/ 1124155 h 1188039"/>
                                <a:gd name="connsiteX14" fmla="*/ 273781 w 273781"/>
                                <a:gd name="connsiteY14" fmla="*/ 1124380 h 1188039"/>
                                <a:gd name="connsiteX15" fmla="*/ 273781 w 273781"/>
                                <a:gd name="connsiteY15" fmla="*/ 1188039 h 1188039"/>
                                <a:gd name="connsiteX0" fmla="*/ 273781 w 273781"/>
                                <a:gd name="connsiteY0" fmla="*/ 1188039 h 1188039"/>
                                <a:gd name="connsiteX1" fmla="*/ 110933 w 273781"/>
                                <a:gd name="connsiteY1" fmla="*/ 1188039 h 1188039"/>
                                <a:gd name="connsiteX2" fmla="*/ 0 w 273781"/>
                                <a:gd name="connsiteY2" fmla="*/ 1100169 h 1188039"/>
                                <a:gd name="connsiteX3" fmla="*/ 2970 w 273781"/>
                                <a:gd name="connsiteY3" fmla="*/ 128731 h 1188039"/>
                                <a:gd name="connsiteX4" fmla="*/ 105067 w 273781"/>
                                <a:gd name="connsiteY4" fmla="*/ 26634 h 1188039"/>
                                <a:gd name="connsiteX5" fmla="*/ 177994 w 273781"/>
                                <a:gd name="connsiteY5" fmla="*/ 26634 h 1188039"/>
                                <a:gd name="connsiteX6" fmla="*/ 177994 w 273781"/>
                                <a:gd name="connsiteY6" fmla="*/ 0 h 1188039"/>
                                <a:gd name="connsiteX7" fmla="*/ 236335 w 273781"/>
                                <a:gd name="connsiteY7" fmla="*/ 55805 h 1188039"/>
                                <a:gd name="connsiteX8" fmla="*/ 177994 w 273781"/>
                                <a:gd name="connsiteY8" fmla="*/ 111609 h 1188039"/>
                                <a:gd name="connsiteX9" fmla="*/ 177994 w 273781"/>
                                <a:gd name="connsiteY9" fmla="*/ 84975 h 1188039"/>
                                <a:gd name="connsiteX10" fmla="*/ 105067 w 273781"/>
                                <a:gd name="connsiteY10" fmla="*/ 84975 h 1188039"/>
                                <a:gd name="connsiteX11" fmla="*/ 61311 w 273781"/>
                                <a:gd name="connsiteY11" fmla="*/ 128731 h 1188039"/>
                                <a:gd name="connsiteX12" fmla="*/ 58031 w 273781"/>
                                <a:gd name="connsiteY12" fmla="*/ 1059981 h 1188039"/>
                                <a:gd name="connsiteX13" fmla="*/ 110457 w 273781"/>
                                <a:gd name="connsiteY13" fmla="*/ 1124155 h 1188039"/>
                                <a:gd name="connsiteX14" fmla="*/ 273781 w 273781"/>
                                <a:gd name="connsiteY14" fmla="*/ 1124380 h 1188039"/>
                                <a:gd name="connsiteX15" fmla="*/ 273781 w 273781"/>
                                <a:gd name="connsiteY15" fmla="*/ 1188039 h 1188039"/>
                                <a:gd name="connsiteX0" fmla="*/ 273781 w 273781"/>
                                <a:gd name="connsiteY0" fmla="*/ 1188039 h 1188039"/>
                                <a:gd name="connsiteX1" fmla="*/ 110933 w 273781"/>
                                <a:gd name="connsiteY1" fmla="*/ 1188039 h 1188039"/>
                                <a:gd name="connsiteX2" fmla="*/ 0 w 273781"/>
                                <a:gd name="connsiteY2" fmla="*/ 1100169 h 1188039"/>
                                <a:gd name="connsiteX3" fmla="*/ 2970 w 273781"/>
                                <a:gd name="connsiteY3" fmla="*/ 128731 h 1188039"/>
                                <a:gd name="connsiteX4" fmla="*/ 105067 w 273781"/>
                                <a:gd name="connsiteY4" fmla="*/ 26634 h 1188039"/>
                                <a:gd name="connsiteX5" fmla="*/ 177994 w 273781"/>
                                <a:gd name="connsiteY5" fmla="*/ 26634 h 1188039"/>
                                <a:gd name="connsiteX6" fmla="*/ 177994 w 273781"/>
                                <a:gd name="connsiteY6" fmla="*/ 0 h 1188039"/>
                                <a:gd name="connsiteX7" fmla="*/ 236335 w 273781"/>
                                <a:gd name="connsiteY7" fmla="*/ 55805 h 1188039"/>
                                <a:gd name="connsiteX8" fmla="*/ 177994 w 273781"/>
                                <a:gd name="connsiteY8" fmla="*/ 111609 h 1188039"/>
                                <a:gd name="connsiteX9" fmla="*/ 177994 w 273781"/>
                                <a:gd name="connsiteY9" fmla="*/ 84975 h 1188039"/>
                                <a:gd name="connsiteX10" fmla="*/ 105067 w 273781"/>
                                <a:gd name="connsiteY10" fmla="*/ 84975 h 1188039"/>
                                <a:gd name="connsiteX11" fmla="*/ 61311 w 273781"/>
                                <a:gd name="connsiteY11" fmla="*/ 128731 h 1188039"/>
                                <a:gd name="connsiteX12" fmla="*/ 58031 w 273781"/>
                                <a:gd name="connsiteY12" fmla="*/ 1059981 h 1188039"/>
                                <a:gd name="connsiteX13" fmla="*/ 110457 w 273781"/>
                                <a:gd name="connsiteY13" fmla="*/ 1124155 h 1188039"/>
                                <a:gd name="connsiteX14" fmla="*/ 273781 w 273781"/>
                                <a:gd name="connsiteY14" fmla="*/ 1124380 h 1188039"/>
                                <a:gd name="connsiteX15" fmla="*/ 273781 w 273781"/>
                                <a:gd name="connsiteY15" fmla="*/ 1188039 h 1188039"/>
                                <a:gd name="connsiteX0" fmla="*/ 273781 w 273781"/>
                                <a:gd name="connsiteY0" fmla="*/ 1188039 h 1188039"/>
                                <a:gd name="connsiteX1" fmla="*/ 110933 w 273781"/>
                                <a:gd name="connsiteY1" fmla="*/ 1188039 h 1188039"/>
                                <a:gd name="connsiteX2" fmla="*/ 0 w 273781"/>
                                <a:gd name="connsiteY2" fmla="*/ 1061199 h 1188039"/>
                                <a:gd name="connsiteX3" fmla="*/ 2970 w 273781"/>
                                <a:gd name="connsiteY3" fmla="*/ 128731 h 1188039"/>
                                <a:gd name="connsiteX4" fmla="*/ 105067 w 273781"/>
                                <a:gd name="connsiteY4" fmla="*/ 26634 h 1188039"/>
                                <a:gd name="connsiteX5" fmla="*/ 177994 w 273781"/>
                                <a:gd name="connsiteY5" fmla="*/ 26634 h 1188039"/>
                                <a:gd name="connsiteX6" fmla="*/ 177994 w 273781"/>
                                <a:gd name="connsiteY6" fmla="*/ 0 h 1188039"/>
                                <a:gd name="connsiteX7" fmla="*/ 236335 w 273781"/>
                                <a:gd name="connsiteY7" fmla="*/ 55805 h 1188039"/>
                                <a:gd name="connsiteX8" fmla="*/ 177994 w 273781"/>
                                <a:gd name="connsiteY8" fmla="*/ 111609 h 1188039"/>
                                <a:gd name="connsiteX9" fmla="*/ 177994 w 273781"/>
                                <a:gd name="connsiteY9" fmla="*/ 84975 h 1188039"/>
                                <a:gd name="connsiteX10" fmla="*/ 105067 w 273781"/>
                                <a:gd name="connsiteY10" fmla="*/ 84975 h 1188039"/>
                                <a:gd name="connsiteX11" fmla="*/ 61311 w 273781"/>
                                <a:gd name="connsiteY11" fmla="*/ 128731 h 1188039"/>
                                <a:gd name="connsiteX12" fmla="*/ 58031 w 273781"/>
                                <a:gd name="connsiteY12" fmla="*/ 1059981 h 1188039"/>
                                <a:gd name="connsiteX13" fmla="*/ 110457 w 273781"/>
                                <a:gd name="connsiteY13" fmla="*/ 1124155 h 1188039"/>
                                <a:gd name="connsiteX14" fmla="*/ 273781 w 273781"/>
                                <a:gd name="connsiteY14" fmla="*/ 1124380 h 1188039"/>
                                <a:gd name="connsiteX15" fmla="*/ 273781 w 273781"/>
                                <a:gd name="connsiteY15" fmla="*/ 1188039 h 1188039"/>
                                <a:gd name="connsiteX0" fmla="*/ 273781 w 273781"/>
                                <a:gd name="connsiteY0" fmla="*/ 1188039 h 1188039"/>
                                <a:gd name="connsiteX1" fmla="*/ 110933 w 273781"/>
                                <a:gd name="connsiteY1" fmla="*/ 1188039 h 1188039"/>
                                <a:gd name="connsiteX2" fmla="*/ 0 w 273781"/>
                                <a:gd name="connsiteY2" fmla="*/ 1061199 h 1188039"/>
                                <a:gd name="connsiteX3" fmla="*/ 2970 w 273781"/>
                                <a:gd name="connsiteY3" fmla="*/ 128731 h 1188039"/>
                                <a:gd name="connsiteX4" fmla="*/ 105067 w 273781"/>
                                <a:gd name="connsiteY4" fmla="*/ 26634 h 1188039"/>
                                <a:gd name="connsiteX5" fmla="*/ 177994 w 273781"/>
                                <a:gd name="connsiteY5" fmla="*/ 26634 h 1188039"/>
                                <a:gd name="connsiteX6" fmla="*/ 177994 w 273781"/>
                                <a:gd name="connsiteY6" fmla="*/ 0 h 1188039"/>
                                <a:gd name="connsiteX7" fmla="*/ 236335 w 273781"/>
                                <a:gd name="connsiteY7" fmla="*/ 55805 h 1188039"/>
                                <a:gd name="connsiteX8" fmla="*/ 177994 w 273781"/>
                                <a:gd name="connsiteY8" fmla="*/ 111609 h 1188039"/>
                                <a:gd name="connsiteX9" fmla="*/ 177994 w 273781"/>
                                <a:gd name="connsiteY9" fmla="*/ 84975 h 1188039"/>
                                <a:gd name="connsiteX10" fmla="*/ 105067 w 273781"/>
                                <a:gd name="connsiteY10" fmla="*/ 84975 h 1188039"/>
                                <a:gd name="connsiteX11" fmla="*/ 61311 w 273781"/>
                                <a:gd name="connsiteY11" fmla="*/ 128731 h 1188039"/>
                                <a:gd name="connsiteX12" fmla="*/ 58031 w 273781"/>
                                <a:gd name="connsiteY12" fmla="*/ 1059981 h 1188039"/>
                                <a:gd name="connsiteX13" fmla="*/ 110457 w 273781"/>
                                <a:gd name="connsiteY13" fmla="*/ 1124155 h 1188039"/>
                                <a:gd name="connsiteX14" fmla="*/ 273781 w 273781"/>
                                <a:gd name="connsiteY14" fmla="*/ 1124380 h 1188039"/>
                                <a:gd name="connsiteX15" fmla="*/ 273781 w 273781"/>
                                <a:gd name="connsiteY15" fmla="*/ 1188039 h 1188039"/>
                                <a:gd name="connsiteX0" fmla="*/ 273781 w 273781"/>
                                <a:gd name="connsiteY0" fmla="*/ 1188039 h 1188039"/>
                                <a:gd name="connsiteX1" fmla="*/ 110933 w 273781"/>
                                <a:gd name="connsiteY1" fmla="*/ 1188039 h 1188039"/>
                                <a:gd name="connsiteX2" fmla="*/ 0 w 273781"/>
                                <a:gd name="connsiteY2" fmla="*/ 1061199 h 1188039"/>
                                <a:gd name="connsiteX3" fmla="*/ 2970 w 273781"/>
                                <a:gd name="connsiteY3" fmla="*/ 128731 h 1188039"/>
                                <a:gd name="connsiteX4" fmla="*/ 105067 w 273781"/>
                                <a:gd name="connsiteY4" fmla="*/ 26634 h 1188039"/>
                                <a:gd name="connsiteX5" fmla="*/ 177994 w 273781"/>
                                <a:gd name="connsiteY5" fmla="*/ 26634 h 1188039"/>
                                <a:gd name="connsiteX6" fmla="*/ 177994 w 273781"/>
                                <a:gd name="connsiteY6" fmla="*/ 0 h 1188039"/>
                                <a:gd name="connsiteX7" fmla="*/ 236335 w 273781"/>
                                <a:gd name="connsiteY7" fmla="*/ 55805 h 1188039"/>
                                <a:gd name="connsiteX8" fmla="*/ 177994 w 273781"/>
                                <a:gd name="connsiteY8" fmla="*/ 111609 h 1188039"/>
                                <a:gd name="connsiteX9" fmla="*/ 177994 w 273781"/>
                                <a:gd name="connsiteY9" fmla="*/ 84975 h 1188039"/>
                                <a:gd name="connsiteX10" fmla="*/ 105067 w 273781"/>
                                <a:gd name="connsiteY10" fmla="*/ 84975 h 1188039"/>
                                <a:gd name="connsiteX11" fmla="*/ 61311 w 273781"/>
                                <a:gd name="connsiteY11" fmla="*/ 128731 h 1188039"/>
                                <a:gd name="connsiteX12" fmla="*/ 58031 w 273781"/>
                                <a:gd name="connsiteY12" fmla="*/ 1059981 h 1188039"/>
                                <a:gd name="connsiteX13" fmla="*/ 110457 w 273781"/>
                                <a:gd name="connsiteY13" fmla="*/ 1124155 h 1188039"/>
                                <a:gd name="connsiteX14" fmla="*/ 273781 w 273781"/>
                                <a:gd name="connsiteY14" fmla="*/ 1124380 h 1188039"/>
                                <a:gd name="connsiteX15" fmla="*/ 273781 w 273781"/>
                                <a:gd name="connsiteY15" fmla="*/ 1188039 h 1188039"/>
                                <a:gd name="connsiteX0" fmla="*/ 273781 w 273781"/>
                                <a:gd name="connsiteY0" fmla="*/ 1188039 h 1188039"/>
                                <a:gd name="connsiteX1" fmla="*/ 110933 w 273781"/>
                                <a:gd name="connsiteY1" fmla="*/ 1188039 h 1188039"/>
                                <a:gd name="connsiteX2" fmla="*/ 0 w 273781"/>
                                <a:gd name="connsiteY2" fmla="*/ 1061199 h 1188039"/>
                                <a:gd name="connsiteX3" fmla="*/ 2970 w 273781"/>
                                <a:gd name="connsiteY3" fmla="*/ 128731 h 1188039"/>
                                <a:gd name="connsiteX4" fmla="*/ 105067 w 273781"/>
                                <a:gd name="connsiteY4" fmla="*/ 26634 h 1188039"/>
                                <a:gd name="connsiteX5" fmla="*/ 177994 w 273781"/>
                                <a:gd name="connsiteY5" fmla="*/ 26634 h 1188039"/>
                                <a:gd name="connsiteX6" fmla="*/ 177994 w 273781"/>
                                <a:gd name="connsiteY6" fmla="*/ 0 h 1188039"/>
                                <a:gd name="connsiteX7" fmla="*/ 236335 w 273781"/>
                                <a:gd name="connsiteY7" fmla="*/ 55805 h 1188039"/>
                                <a:gd name="connsiteX8" fmla="*/ 177994 w 273781"/>
                                <a:gd name="connsiteY8" fmla="*/ 111609 h 1188039"/>
                                <a:gd name="connsiteX9" fmla="*/ 177994 w 273781"/>
                                <a:gd name="connsiteY9" fmla="*/ 84975 h 1188039"/>
                                <a:gd name="connsiteX10" fmla="*/ 105067 w 273781"/>
                                <a:gd name="connsiteY10" fmla="*/ 84975 h 1188039"/>
                                <a:gd name="connsiteX11" fmla="*/ 61311 w 273781"/>
                                <a:gd name="connsiteY11" fmla="*/ 128731 h 1188039"/>
                                <a:gd name="connsiteX12" fmla="*/ 58031 w 273781"/>
                                <a:gd name="connsiteY12" fmla="*/ 1059981 h 1188039"/>
                                <a:gd name="connsiteX13" fmla="*/ 110457 w 273781"/>
                                <a:gd name="connsiteY13" fmla="*/ 1124155 h 1188039"/>
                                <a:gd name="connsiteX14" fmla="*/ 273781 w 273781"/>
                                <a:gd name="connsiteY14" fmla="*/ 1124380 h 1188039"/>
                                <a:gd name="connsiteX15" fmla="*/ 273781 w 273781"/>
                                <a:gd name="connsiteY15" fmla="*/ 1188039 h 1188039"/>
                                <a:gd name="connsiteX0" fmla="*/ 273781 w 273781"/>
                                <a:gd name="connsiteY0" fmla="*/ 1188039 h 1188039"/>
                                <a:gd name="connsiteX1" fmla="*/ 110933 w 273781"/>
                                <a:gd name="connsiteY1" fmla="*/ 1188039 h 1188039"/>
                                <a:gd name="connsiteX2" fmla="*/ 0 w 273781"/>
                                <a:gd name="connsiteY2" fmla="*/ 1061199 h 1188039"/>
                                <a:gd name="connsiteX3" fmla="*/ 2970 w 273781"/>
                                <a:gd name="connsiteY3" fmla="*/ 128731 h 1188039"/>
                                <a:gd name="connsiteX4" fmla="*/ 105067 w 273781"/>
                                <a:gd name="connsiteY4" fmla="*/ 26634 h 1188039"/>
                                <a:gd name="connsiteX5" fmla="*/ 177994 w 273781"/>
                                <a:gd name="connsiteY5" fmla="*/ 26634 h 1188039"/>
                                <a:gd name="connsiteX6" fmla="*/ 177994 w 273781"/>
                                <a:gd name="connsiteY6" fmla="*/ 0 h 1188039"/>
                                <a:gd name="connsiteX7" fmla="*/ 236335 w 273781"/>
                                <a:gd name="connsiteY7" fmla="*/ 55805 h 1188039"/>
                                <a:gd name="connsiteX8" fmla="*/ 177994 w 273781"/>
                                <a:gd name="connsiteY8" fmla="*/ 111609 h 1188039"/>
                                <a:gd name="connsiteX9" fmla="*/ 177994 w 273781"/>
                                <a:gd name="connsiteY9" fmla="*/ 84975 h 1188039"/>
                                <a:gd name="connsiteX10" fmla="*/ 105067 w 273781"/>
                                <a:gd name="connsiteY10" fmla="*/ 84975 h 1188039"/>
                                <a:gd name="connsiteX11" fmla="*/ 61311 w 273781"/>
                                <a:gd name="connsiteY11" fmla="*/ 128731 h 1188039"/>
                                <a:gd name="connsiteX12" fmla="*/ 58031 w 273781"/>
                                <a:gd name="connsiteY12" fmla="*/ 1059981 h 1188039"/>
                                <a:gd name="connsiteX13" fmla="*/ 110457 w 273781"/>
                                <a:gd name="connsiteY13" fmla="*/ 1124155 h 1188039"/>
                                <a:gd name="connsiteX14" fmla="*/ 273781 w 273781"/>
                                <a:gd name="connsiteY14" fmla="*/ 1124380 h 1188039"/>
                                <a:gd name="connsiteX15" fmla="*/ 273781 w 273781"/>
                                <a:gd name="connsiteY15" fmla="*/ 1188039 h 1188039"/>
                                <a:gd name="connsiteX0" fmla="*/ 273781 w 273781"/>
                                <a:gd name="connsiteY0" fmla="*/ 1188039 h 1188039"/>
                                <a:gd name="connsiteX1" fmla="*/ 110933 w 273781"/>
                                <a:gd name="connsiteY1" fmla="*/ 1188039 h 1188039"/>
                                <a:gd name="connsiteX2" fmla="*/ 0 w 273781"/>
                                <a:gd name="connsiteY2" fmla="*/ 1061199 h 1188039"/>
                                <a:gd name="connsiteX3" fmla="*/ 2970 w 273781"/>
                                <a:gd name="connsiteY3" fmla="*/ 128731 h 1188039"/>
                                <a:gd name="connsiteX4" fmla="*/ 105067 w 273781"/>
                                <a:gd name="connsiteY4" fmla="*/ 26634 h 1188039"/>
                                <a:gd name="connsiteX5" fmla="*/ 177994 w 273781"/>
                                <a:gd name="connsiteY5" fmla="*/ 26634 h 1188039"/>
                                <a:gd name="connsiteX6" fmla="*/ 177994 w 273781"/>
                                <a:gd name="connsiteY6" fmla="*/ 0 h 1188039"/>
                                <a:gd name="connsiteX7" fmla="*/ 236335 w 273781"/>
                                <a:gd name="connsiteY7" fmla="*/ 55805 h 1188039"/>
                                <a:gd name="connsiteX8" fmla="*/ 177994 w 273781"/>
                                <a:gd name="connsiteY8" fmla="*/ 111609 h 1188039"/>
                                <a:gd name="connsiteX9" fmla="*/ 177994 w 273781"/>
                                <a:gd name="connsiteY9" fmla="*/ 84975 h 1188039"/>
                                <a:gd name="connsiteX10" fmla="*/ 105067 w 273781"/>
                                <a:gd name="connsiteY10" fmla="*/ 84975 h 1188039"/>
                                <a:gd name="connsiteX11" fmla="*/ 61311 w 273781"/>
                                <a:gd name="connsiteY11" fmla="*/ 128731 h 1188039"/>
                                <a:gd name="connsiteX12" fmla="*/ 58031 w 273781"/>
                                <a:gd name="connsiteY12" fmla="*/ 1059981 h 1188039"/>
                                <a:gd name="connsiteX13" fmla="*/ 110457 w 273781"/>
                                <a:gd name="connsiteY13" fmla="*/ 1124155 h 1188039"/>
                                <a:gd name="connsiteX14" fmla="*/ 273781 w 273781"/>
                                <a:gd name="connsiteY14" fmla="*/ 1124380 h 1188039"/>
                                <a:gd name="connsiteX15" fmla="*/ 273781 w 273781"/>
                                <a:gd name="connsiteY15" fmla="*/ 1188039 h 1188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73781" h="1188039">
                                  <a:moveTo>
                                    <a:pt x="273781" y="1188039"/>
                                  </a:moveTo>
                                  <a:lnTo>
                                    <a:pt x="110933" y="1188039"/>
                                  </a:lnTo>
                                  <a:cubicBezTo>
                                    <a:pt x="51001" y="1187683"/>
                                    <a:pt x="-197" y="1117386"/>
                                    <a:pt x="0" y="1061199"/>
                                  </a:cubicBezTo>
                                  <a:lnTo>
                                    <a:pt x="2970" y="128731"/>
                                  </a:lnTo>
                                  <a:cubicBezTo>
                                    <a:pt x="2970" y="72344"/>
                                    <a:pt x="48680" y="26634"/>
                                    <a:pt x="105067" y="26634"/>
                                  </a:cubicBezTo>
                                  <a:lnTo>
                                    <a:pt x="177994" y="26634"/>
                                  </a:lnTo>
                                  <a:lnTo>
                                    <a:pt x="177994" y="0"/>
                                  </a:lnTo>
                                  <a:lnTo>
                                    <a:pt x="236335" y="55805"/>
                                  </a:lnTo>
                                  <a:lnTo>
                                    <a:pt x="177994" y="111609"/>
                                  </a:lnTo>
                                  <a:lnTo>
                                    <a:pt x="177994" y="84975"/>
                                  </a:lnTo>
                                  <a:lnTo>
                                    <a:pt x="105067" y="84975"/>
                                  </a:lnTo>
                                  <a:cubicBezTo>
                                    <a:pt x="80901" y="84975"/>
                                    <a:pt x="61311" y="104565"/>
                                    <a:pt x="61311" y="128731"/>
                                  </a:cubicBezTo>
                                  <a:cubicBezTo>
                                    <a:pt x="59568" y="424858"/>
                                    <a:pt x="59774" y="763854"/>
                                    <a:pt x="58031" y="1059981"/>
                                  </a:cubicBezTo>
                                  <a:cubicBezTo>
                                    <a:pt x="57316" y="1089138"/>
                                    <a:pt x="81928" y="1130043"/>
                                    <a:pt x="110457" y="1124155"/>
                                  </a:cubicBezTo>
                                  <a:lnTo>
                                    <a:pt x="273781" y="1124380"/>
                                  </a:lnTo>
                                  <a:lnTo>
                                    <a:pt x="273781" y="1188039"/>
                                  </a:lnTo>
                                  <a:close/>
                                </a:path>
                              </a:pathLst>
                            </a:custGeom>
                            <a:solidFill>
                              <a:schemeClr val="accent1">
                                <a:lumMod val="7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le 17"/>
                          <wps:cNvSpPr/>
                          <wps:spPr>
                            <a:xfrm>
                              <a:off x="3745064" y="1248355"/>
                              <a:ext cx="1160890" cy="302150"/>
                            </a:xfrm>
                            <a:prstGeom prst="roundRect">
                              <a:avLst/>
                            </a:prstGeom>
                            <a:solidFill>
                              <a:schemeClr val="bg1"/>
                            </a:solid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733BBD" w14:textId="79C6F3A2" w:rsidR="00C44087" w:rsidRPr="00D53A98" w:rsidRDefault="00C44087" w:rsidP="00D53A98">
                                <w:pPr>
                                  <w:jc w:val="center"/>
                                  <w:rPr>
                                    <w:color w:val="000000" w:themeColor="text1"/>
                                    <w:lang w:val="en-US"/>
                                  </w:rPr>
                                </w:pPr>
                                <w:r w:rsidRPr="00D53A98">
                                  <w:rPr>
                                    <w:color w:val="000000" w:themeColor="text1"/>
                                    <w:lang w:val="en-US"/>
                                  </w:rPr>
                                  <w:t>Prediction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Bent Arrow 18"/>
                          <wps:cNvSpPr/>
                          <wps:spPr>
                            <a:xfrm rot="16200000" flipH="1" flipV="1">
                              <a:off x="2492734" y="-1387503"/>
                              <a:ext cx="318925" cy="3462655"/>
                            </a:xfrm>
                            <a:prstGeom prst="bentArrow">
                              <a:avLst>
                                <a:gd name="adj1" fmla="val 25000"/>
                                <a:gd name="adj2" fmla="val 4695"/>
                                <a:gd name="adj3" fmla="val 15897"/>
                                <a:gd name="adj4" fmla="val 46784"/>
                              </a:avLst>
                            </a:prstGeom>
                            <a:solidFill>
                              <a:schemeClr val="accent1">
                                <a:lumMod val="7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ounded Rectangle 19"/>
                          <wps:cNvSpPr/>
                          <wps:spPr>
                            <a:xfrm>
                              <a:off x="3729161" y="548640"/>
                              <a:ext cx="1152940" cy="301625"/>
                            </a:xfrm>
                            <a:prstGeom prst="roundRect">
                              <a:avLst/>
                            </a:prstGeom>
                            <a:solidFill>
                              <a:schemeClr val="bg1"/>
                            </a:solidFill>
                            <a:ln w="571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EC0B0E" w14:textId="43C844F0" w:rsidR="00C44087" w:rsidRPr="00D53A98" w:rsidRDefault="00C44087" w:rsidP="00D53A98">
                                <w:pPr>
                                  <w:jc w:val="center"/>
                                  <w:rPr>
                                    <w:color w:val="000000" w:themeColor="text1"/>
                                    <w:lang w:val="en-US"/>
                                  </w:rPr>
                                </w:pPr>
                                <w:r w:rsidRPr="00D53A98">
                                  <w:rPr>
                                    <w:color w:val="000000" w:themeColor="text1"/>
                                    <w:lang w:val="en-US"/>
                                  </w:rPr>
                                  <w:t>Test Data 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Bent Arrow 20"/>
                          <wps:cNvSpPr/>
                          <wps:spPr>
                            <a:xfrm rot="10800000" flipH="1" flipV="1">
                              <a:off x="4397071" y="1073426"/>
                              <a:ext cx="711835" cy="145637"/>
                            </a:xfrm>
                            <a:prstGeom prst="bentArrow">
                              <a:avLst>
                                <a:gd name="adj1" fmla="val 25000"/>
                                <a:gd name="adj2" fmla="val 23913"/>
                                <a:gd name="adj3" fmla="val 25000"/>
                                <a:gd name="adj4" fmla="val 43750"/>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Bent Arrow 21"/>
                          <wps:cNvSpPr/>
                          <wps:spPr>
                            <a:xfrm rot="10800000" flipH="1">
                              <a:off x="4397071" y="882595"/>
                              <a:ext cx="711835" cy="145637"/>
                            </a:xfrm>
                            <a:prstGeom prst="bentArrow">
                              <a:avLst>
                                <a:gd name="adj1" fmla="val 25000"/>
                                <a:gd name="adj2" fmla="val 23913"/>
                                <a:gd name="adj3" fmla="val 25000"/>
                                <a:gd name="adj4" fmla="val 43750"/>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ounded Rectangle 22"/>
                          <wps:cNvSpPr/>
                          <wps:spPr>
                            <a:xfrm>
                              <a:off x="5128591" y="803082"/>
                              <a:ext cx="985961" cy="500932"/>
                            </a:xfrm>
                            <a:prstGeom prst="roundRect">
                              <a:avLst/>
                            </a:prstGeom>
                            <a:solidFill>
                              <a:schemeClr val="bg1"/>
                            </a:solid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67E6F8" w14:textId="014A88E0" w:rsidR="00C44087" w:rsidRPr="00D53A98" w:rsidRDefault="00C44087" w:rsidP="00D53A98">
                                <w:pPr>
                                  <w:jc w:val="center"/>
                                  <w:rPr>
                                    <w:color w:val="000000" w:themeColor="text1"/>
                                    <w:lang w:val="en-US"/>
                                  </w:rPr>
                                </w:pPr>
                                <w:r w:rsidRPr="00D53A98">
                                  <w:rPr>
                                    <w:color w:val="000000" w:themeColor="text1"/>
                                    <w:lang w:val="en-US"/>
                                  </w:rPr>
                                  <w:t>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Bent Arrow 37"/>
                        <wps:cNvSpPr/>
                        <wps:spPr>
                          <a:xfrm rot="5400000" flipH="1" flipV="1">
                            <a:off x="3829050" y="276225"/>
                            <a:ext cx="670355" cy="2796542"/>
                          </a:xfrm>
                          <a:custGeom>
                            <a:avLst/>
                            <a:gdLst>
                              <a:gd name="connsiteX0" fmla="*/ 0 w 443230"/>
                              <a:gd name="connsiteY0" fmla="*/ 2785745 h 2785745"/>
                              <a:gd name="connsiteX1" fmla="*/ 0 w 443230"/>
                              <a:gd name="connsiteY1" fmla="*/ 230265 h 2785745"/>
                              <a:gd name="connsiteX2" fmla="*/ 193913 w 443230"/>
                              <a:gd name="connsiteY2" fmla="*/ 36352 h 2785745"/>
                              <a:gd name="connsiteX3" fmla="*/ 313368 w 443230"/>
                              <a:gd name="connsiteY3" fmla="*/ 36352 h 2785745"/>
                              <a:gd name="connsiteX4" fmla="*/ 313368 w 443230"/>
                              <a:gd name="connsiteY4" fmla="*/ 0 h 2785745"/>
                              <a:gd name="connsiteX5" fmla="*/ 443230 w 443230"/>
                              <a:gd name="connsiteY5" fmla="*/ 67943 h 2785745"/>
                              <a:gd name="connsiteX6" fmla="*/ 313368 w 443230"/>
                              <a:gd name="connsiteY6" fmla="*/ 135885 h 2785745"/>
                              <a:gd name="connsiteX7" fmla="*/ 313368 w 443230"/>
                              <a:gd name="connsiteY7" fmla="*/ 99534 h 2785745"/>
                              <a:gd name="connsiteX8" fmla="*/ 193913 w 443230"/>
                              <a:gd name="connsiteY8" fmla="*/ 99534 h 2785745"/>
                              <a:gd name="connsiteX9" fmla="*/ 63182 w 443230"/>
                              <a:gd name="connsiteY9" fmla="*/ 230265 h 2785745"/>
                              <a:gd name="connsiteX10" fmla="*/ 63182 w 443230"/>
                              <a:gd name="connsiteY10" fmla="*/ 2785745 h 2785745"/>
                              <a:gd name="connsiteX11" fmla="*/ 0 w 443230"/>
                              <a:gd name="connsiteY11" fmla="*/ 2785745 h 2785745"/>
                              <a:gd name="connsiteX0" fmla="*/ 0 w 443230"/>
                              <a:gd name="connsiteY0" fmla="*/ 2785745 h 2785745"/>
                              <a:gd name="connsiteX1" fmla="*/ 0 w 443230"/>
                              <a:gd name="connsiteY1" fmla="*/ 230265 h 2785745"/>
                              <a:gd name="connsiteX2" fmla="*/ 193913 w 443230"/>
                              <a:gd name="connsiteY2" fmla="*/ 36352 h 2785745"/>
                              <a:gd name="connsiteX3" fmla="*/ 313368 w 443230"/>
                              <a:gd name="connsiteY3" fmla="*/ 36352 h 2785745"/>
                              <a:gd name="connsiteX4" fmla="*/ 313368 w 443230"/>
                              <a:gd name="connsiteY4" fmla="*/ 0 h 2785745"/>
                              <a:gd name="connsiteX5" fmla="*/ 443230 w 443230"/>
                              <a:gd name="connsiteY5" fmla="*/ 67943 h 2785745"/>
                              <a:gd name="connsiteX6" fmla="*/ 313368 w 443230"/>
                              <a:gd name="connsiteY6" fmla="*/ 135885 h 2785745"/>
                              <a:gd name="connsiteX7" fmla="*/ 313368 w 443230"/>
                              <a:gd name="connsiteY7" fmla="*/ 99534 h 2785745"/>
                              <a:gd name="connsiteX8" fmla="*/ 193913 w 443230"/>
                              <a:gd name="connsiteY8" fmla="*/ 99534 h 2785745"/>
                              <a:gd name="connsiteX9" fmla="*/ 63182 w 443230"/>
                              <a:gd name="connsiteY9" fmla="*/ 230265 h 2785745"/>
                              <a:gd name="connsiteX10" fmla="*/ 71438 w 443230"/>
                              <a:gd name="connsiteY10" fmla="*/ 2590483 h 2785745"/>
                              <a:gd name="connsiteX11" fmla="*/ 63182 w 443230"/>
                              <a:gd name="connsiteY11" fmla="*/ 2785745 h 2785745"/>
                              <a:gd name="connsiteX12" fmla="*/ 0 w 443230"/>
                              <a:gd name="connsiteY12" fmla="*/ 2785745 h 2785745"/>
                              <a:gd name="connsiteX0" fmla="*/ 0 w 443230"/>
                              <a:gd name="connsiteY0" fmla="*/ 2785745 h 2785745"/>
                              <a:gd name="connsiteX1" fmla="*/ 2858 w 443230"/>
                              <a:gd name="connsiteY1" fmla="*/ 2596198 h 2785745"/>
                              <a:gd name="connsiteX2" fmla="*/ 0 w 443230"/>
                              <a:gd name="connsiteY2" fmla="*/ 230265 h 2785745"/>
                              <a:gd name="connsiteX3" fmla="*/ 193913 w 443230"/>
                              <a:gd name="connsiteY3" fmla="*/ 36352 h 2785745"/>
                              <a:gd name="connsiteX4" fmla="*/ 313368 w 443230"/>
                              <a:gd name="connsiteY4" fmla="*/ 36352 h 2785745"/>
                              <a:gd name="connsiteX5" fmla="*/ 313368 w 443230"/>
                              <a:gd name="connsiteY5" fmla="*/ 0 h 2785745"/>
                              <a:gd name="connsiteX6" fmla="*/ 443230 w 443230"/>
                              <a:gd name="connsiteY6" fmla="*/ 67943 h 2785745"/>
                              <a:gd name="connsiteX7" fmla="*/ 313368 w 443230"/>
                              <a:gd name="connsiteY7" fmla="*/ 135885 h 2785745"/>
                              <a:gd name="connsiteX8" fmla="*/ 313368 w 443230"/>
                              <a:gd name="connsiteY8" fmla="*/ 99534 h 2785745"/>
                              <a:gd name="connsiteX9" fmla="*/ 193913 w 443230"/>
                              <a:gd name="connsiteY9" fmla="*/ 99534 h 2785745"/>
                              <a:gd name="connsiteX10" fmla="*/ 63182 w 443230"/>
                              <a:gd name="connsiteY10" fmla="*/ 230265 h 2785745"/>
                              <a:gd name="connsiteX11" fmla="*/ 71438 w 443230"/>
                              <a:gd name="connsiteY11" fmla="*/ 2590483 h 2785745"/>
                              <a:gd name="connsiteX12" fmla="*/ 63182 w 443230"/>
                              <a:gd name="connsiteY12" fmla="*/ 2785745 h 2785745"/>
                              <a:gd name="connsiteX13" fmla="*/ 0 w 443230"/>
                              <a:gd name="connsiteY13" fmla="*/ 2785745 h 2785745"/>
                              <a:gd name="connsiteX0" fmla="*/ 0 w 443230"/>
                              <a:gd name="connsiteY0" fmla="*/ 2785745 h 2785745"/>
                              <a:gd name="connsiteX1" fmla="*/ 2858 w 443230"/>
                              <a:gd name="connsiteY1" fmla="*/ 2596198 h 2785745"/>
                              <a:gd name="connsiteX2" fmla="*/ 0 w 443230"/>
                              <a:gd name="connsiteY2" fmla="*/ 230265 h 2785745"/>
                              <a:gd name="connsiteX3" fmla="*/ 193913 w 443230"/>
                              <a:gd name="connsiteY3" fmla="*/ 36352 h 2785745"/>
                              <a:gd name="connsiteX4" fmla="*/ 313368 w 443230"/>
                              <a:gd name="connsiteY4" fmla="*/ 36352 h 2785745"/>
                              <a:gd name="connsiteX5" fmla="*/ 313368 w 443230"/>
                              <a:gd name="connsiteY5" fmla="*/ 0 h 2785745"/>
                              <a:gd name="connsiteX6" fmla="*/ 443230 w 443230"/>
                              <a:gd name="connsiteY6" fmla="*/ 67943 h 2785745"/>
                              <a:gd name="connsiteX7" fmla="*/ 313368 w 443230"/>
                              <a:gd name="connsiteY7" fmla="*/ 135885 h 2785745"/>
                              <a:gd name="connsiteX8" fmla="*/ 313368 w 443230"/>
                              <a:gd name="connsiteY8" fmla="*/ 99534 h 2785745"/>
                              <a:gd name="connsiteX9" fmla="*/ 193913 w 443230"/>
                              <a:gd name="connsiteY9" fmla="*/ 99534 h 2785745"/>
                              <a:gd name="connsiteX10" fmla="*/ 63182 w 443230"/>
                              <a:gd name="connsiteY10" fmla="*/ 230265 h 2785745"/>
                              <a:gd name="connsiteX11" fmla="*/ 71438 w 443230"/>
                              <a:gd name="connsiteY11" fmla="*/ 2590483 h 2785745"/>
                              <a:gd name="connsiteX12" fmla="*/ 71438 w 443230"/>
                              <a:gd name="connsiteY12" fmla="*/ 2718118 h 2785745"/>
                              <a:gd name="connsiteX13" fmla="*/ 63182 w 443230"/>
                              <a:gd name="connsiteY13" fmla="*/ 2785745 h 2785745"/>
                              <a:gd name="connsiteX14" fmla="*/ 0 w 443230"/>
                              <a:gd name="connsiteY14" fmla="*/ 2785745 h 2785745"/>
                              <a:gd name="connsiteX0" fmla="*/ 3913 w 447143"/>
                              <a:gd name="connsiteY0" fmla="*/ 2785745 h 2807549"/>
                              <a:gd name="connsiteX1" fmla="*/ 6771 w 447143"/>
                              <a:gd name="connsiteY1" fmla="*/ 2714308 h 2807549"/>
                              <a:gd name="connsiteX2" fmla="*/ 6771 w 447143"/>
                              <a:gd name="connsiteY2" fmla="*/ 2596198 h 2807549"/>
                              <a:gd name="connsiteX3" fmla="*/ 3913 w 447143"/>
                              <a:gd name="connsiteY3" fmla="*/ 230265 h 2807549"/>
                              <a:gd name="connsiteX4" fmla="*/ 197826 w 447143"/>
                              <a:gd name="connsiteY4" fmla="*/ 36352 h 2807549"/>
                              <a:gd name="connsiteX5" fmla="*/ 317281 w 447143"/>
                              <a:gd name="connsiteY5" fmla="*/ 36352 h 2807549"/>
                              <a:gd name="connsiteX6" fmla="*/ 317281 w 447143"/>
                              <a:gd name="connsiteY6" fmla="*/ 0 h 2807549"/>
                              <a:gd name="connsiteX7" fmla="*/ 447143 w 447143"/>
                              <a:gd name="connsiteY7" fmla="*/ 67943 h 2807549"/>
                              <a:gd name="connsiteX8" fmla="*/ 317281 w 447143"/>
                              <a:gd name="connsiteY8" fmla="*/ 135885 h 2807549"/>
                              <a:gd name="connsiteX9" fmla="*/ 317281 w 447143"/>
                              <a:gd name="connsiteY9" fmla="*/ 99534 h 2807549"/>
                              <a:gd name="connsiteX10" fmla="*/ 197826 w 447143"/>
                              <a:gd name="connsiteY10" fmla="*/ 99534 h 2807549"/>
                              <a:gd name="connsiteX11" fmla="*/ 67095 w 447143"/>
                              <a:gd name="connsiteY11" fmla="*/ 230265 h 2807549"/>
                              <a:gd name="connsiteX12" fmla="*/ 75351 w 447143"/>
                              <a:gd name="connsiteY12" fmla="*/ 2590483 h 2807549"/>
                              <a:gd name="connsiteX13" fmla="*/ 75351 w 447143"/>
                              <a:gd name="connsiteY13" fmla="*/ 2718118 h 2807549"/>
                              <a:gd name="connsiteX14" fmla="*/ 67095 w 447143"/>
                              <a:gd name="connsiteY14" fmla="*/ 2785745 h 2807549"/>
                              <a:gd name="connsiteX15" fmla="*/ 3913 w 447143"/>
                              <a:gd name="connsiteY15" fmla="*/ 2785745 h 2807549"/>
                              <a:gd name="connsiteX0" fmla="*/ 3913 w 1012193"/>
                              <a:gd name="connsiteY0" fmla="*/ 2785745 h 2807549"/>
                              <a:gd name="connsiteX1" fmla="*/ 6771 w 1012193"/>
                              <a:gd name="connsiteY1" fmla="*/ 2714308 h 2807549"/>
                              <a:gd name="connsiteX2" fmla="*/ 6771 w 1012193"/>
                              <a:gd name="connsiteY2" fmla="*/ 2596198 h 2807549"/>
                              <a:gd name="connsiteX3" fmla="*/ 3913 w 1012193"/>
                              <a:gd name="connsiteY3" fmla="*/ 230265 h 2807549"/>
                              <a:gd name="connsiteX4" fmla="*/ 197826 w 1012193"/>
                              <a:gd name="connsiteY4" fmla="*/ 36352 h 2807549"/>
                              <a:gd name="connsiteX5" fmla="*/ 317281 w 1012193"/>
                              <a:gd name="connsiteY5" fmla="*/ 36352 h 2807549"/>
                              <a:gd name="connsiteX6" fmla="*/ 317281 w 1012193"/>
                              <a:gd name="connsiteY6" fmla="*/ 0 h 2807549"/>
                              <a:gd name="connsiteX7" fmla="*/ 447143 w 1012193"/>
                              <a:gd name="connsiteY7" fmla="*/ 67943 h 2807549"/>
                              <a:gd name="connsiteX8" fmla="*/ 317281 w 1012193"/>
                              <a:gd name="connsiteY8" fmla="*/ 135885 h 2807549"/>
                              <a:gd name="connsiteX9" fmla="*/ 317281 w 1012193"/>
                              <a:gd name="connsiteY9" fmla="*/ 99534 h 2807549"/>
                              <a:gd name="connsiteX10" fmla="*/ 197826 w 1012193"/>
                              <a:gd name="connsiteY10" fmla="*/ 99534 h 2807549"/>
                              <a:gd name="connsiteX11" fmla="*/ 67095 w 1012193"/>
                              <a:gd name="connsiteY11" fmla="*/ 230265 h 2807549"/>
                              <a:gd name="connsiteX12" fmla="*/ 75351 w 1012193"/>
                              <a:gd name="connsiteY12" fmla="*/ 2590483 h 2807549"/>
                              <a:gd name="connsiteX13" fmla="*/ 75351 w 1012193"/>
                              <a:gd name="connsiteY13" fmla="*/ 2718118 h 2807549"/>
                              <a:gd name="connsiteX14" fmla="*/ 1012193 w 1012193"/>
                              <a:gd name="connsiteY14" fmla="*/ 2778127 h 2807549"/>
                              <a:gd name="connsiteX15" fmla="*/ 3913 w 1012193"/>
                              <a:gd name="connsiteY15" fmla="*/ 2785745 h 2807549"/>
                              <a:gd name="connsiteX0" fmla="*/ 701226 w 1008280"/>
                              <a:gd name="connsiteY0" fmla="*/ 2820040 h 2820040"/>
                              <a:gd name="connsiteX1" fmla="*/ 2858 w 1008280"/>
                              <a:gd name="connsiteY1" fmla="*/ 2714308 h 2820040"/>
                              <a:gd name="connsiteX2" fmla="*/ 2858 w 1008280"/>
                              <a:gd name="connsiteY2" fmla="*/ 2596198 h 2820040"/>
                              <a:gd name="connsiteX3" fmla="*/ 0 w 1008280"/>
                              <a:gd name="connsiteY3" fmla="*/ 230265 h 2820040"/>
                              <a:gd name="connsiteX4" fmla="*/ 193913 w 1008280"/>
                              <a:gd name="connsiteY4" fmla="*/ 36352 h 2820040"/>
                              <a:gd name="connsiteX5" fmla="*/ 313368 w 1008280"/>
                              <a:gd name="connsiteY5" fmla="*/ 36352 h 2820040"/>
                              <a:gd name="connsiteX6" fmla="*/ 313368 w 1008280"/>
                              <a:gd name="connsiteY6" fmla="*/ 0 h 2820040"/>
                              <a:gd name="connsiteX7" fmla="*/ 443230 w 1008280"/>
                              <a:gd name="connsiteY7" fmla="*/ 67943 h 2820040"/>
                              <a:gd name="connsiteX8" fmla="*/ 313368 w 1008280"/>
                              <a:gd name="connsiteY8" fmla="*/ 135885 h 2820040"/>
                              <a:gd name="connsiteX9" fmla="*/ 313368 w 1008280"/>
                              <a:gd name="connsiteY9" fmla="*/ 99534 h 2820040"/>
                              <a:gd name="connsiteX10" fmla="*/ 193913 w 1008280"/>
                              <a:gd name="connsiteY10" fmla="*/ 99534 h 2820040"/>
                              <a:gd name="connsiteX11" fmla="*/ 63182 w 1008280"/>
                              <a:gd name="connsiteY11" fmla="*/ 230265 h 2820040"/>
                              <a:gd name="connsiteX12" fmla="*/ 71438 w 1008280"/>
                              <a:gd name="connsiteY12" fmla="*/ 2590483 h 2820040"/>
                              <a:gd name="connsiteX13" fmla="*/ 71438 w 1008280"/>
                              <a:gd name="connsiteY13" fmla="*/ 2718118 h 2820040"/>
                              <a:gd name="connsiteX14" fmla="*/ 1008280 w 1008280"/>
                              <a:gd name="connsiteY14" fmla="*/ 2778127 h 2820040"/>
                              <a:gd name="connsiteX15" fmla="*/ 701226 w 1008280"/>
                              <a:gd name="connsiteY15" fmla="*/ 2820040 h 2820040"/>
                              <a:gd name="connsiteX0" fmla="*/ 701226 w 714754"/>
                              <a:gd name="connsiteY0" fmla="*/ 2820040 h 2820040"/>
                              <a:gd name="connsiteX1" fmla="*/ 2858 w 714754"/>
                              <a:gd name="connsiteY1" fmla="*/ 2714308 h 2820040"/>
                              <a:gd name="connsiteX2" fmla="*/ 2858 w 714754"/>
                              <a:gd name="connsiteY2" fmla="*/ 2596198 h 2820040"/>
                              <a:gd name="connsiteX3" fmla="*/ 0 w 714754"/>
                              <a:gd name="connsiteY3" fmla="*/ 230265 h 2820040"/>
                              <a:gd name="connsiteX4" fmla="*/ 193913 w 714754"/>
                              <a:gd name="connsiteY4" fmla="*/ 36352 h 2820040"/>
                              <a:gd name="connsiteX5" fmla="*/ 313368 w 714754"/>
                              <a:gd name="connsiteY5" fmla="*/ 36352 h 2820040"/>
                              <a:gd name="connsiteX6" fmla="*/ 313368 w 714754"/>
                              <a:gd name="connsiteY6" fmla="*/ 0 h 2820040"/>
                              <a:gd name="connsiteX7" fmla="*/ 443230 w 714754"/>
                              <a:gd name="connsiteY7" fmla="*/ 67943 h 2820040"/>
                              <a:gd name="connsiteX8" fmla="*/ 313368 w 714754"/>
                              <a:gd name="connsiteY8" fmla="*/ 135885 h 2820040"/>
                              <a:gd name="connsiteX9" fmla="*/ 313368 w 714754"/>
                              <a:gd name="connsiteY9" fmla="*/ 99534 h 2820040"/>
                              <a:gd name="connsiteX10" fmla="*/ 193913 w 714754"/>
                              <a:gd name="connsiteY10" fmla="*/ 99534 h 2820040"/>
                              <a:gd name="connsiteX11" fmla="*/ 63182 w 714754"/>
                              <a:gd name="connsiteY11" fmla="*/ 230265 h 2820040"/>
                              <a:gd name="connsiteX12" fmla="*/ 71438 w 714754"/>
                              <a:gd name="connsiteY12" fmla="*/ 2590483 h 2820040"/>
                              <a:gd name="connsiteX13" fmla="*/ 71438 w 714754"/>
                              <a:gd name="connsiteY13" fmla="*/ 2718118 h 2820040"/>
                              <a:gd name="connsiteX14" fmla="*/ 714754 w 714754"/>
                              <a:gd name="connsiteY14" fmla="*/ 2759076 h 2820040"/>
                              <a:gd name="connsiteX15" fmla="*/ 701226 w 714754"/>
                              <a:gd name="connsiteY15" fmla="*/ 2820040 h 2820040"/>
                              <a:gd name="connsiteX0" fmla="*/ 701226 w 714754"/>
                              <a:gd name="connsiteY0" fmla="*/ 2820040 h 2837520"/>
                              <a:gd name="connsiteX1" fmla="*/ 155338 w 714754"/>
                              <a:gd name="connsiteY1" fmla="*/ 2790528 h 2837520"/>
                              <a:gd name="connsiteX2" fmla="*/ 2858 w 714754"/>
                              <a:gd name="connsiteY2" fmla="*/ 2596198 h 2837520"/>
                              <a:gd name="connsiteX3" fmla="*/ 0 w 714754"/>
                              <a:gd name="connsiteY3" fmla="*/ 230265 h 2837520"/>
                              <a:gd name="connsiteX4" fmla="*/ 193913 w 714754"/>
                              <a:gd name="connsiteY4" fmla="*/ 36352 h 2837520"/>
                              <a:gd name="connsiteX5" fmla="*/ 313368 w 714754"/>
                              <a:gd name="connsiteY5" fmla="*/ 36352 h 2837520"/>
                              <a:gd name="connsiteX6" fmla="*/ 313368 w 714754"/>
                              <a:gd name="connsiteY6" fmla="*/ 0 h 2837520"/>
                              <a:gd name="connsiteX7" fmla="*/ 443230 w 714754"/>
                              <a:gd name="connsiteY7" fmla="*/ 67943 h 2837520"/>
                              <a:gd name="connsiteX8" fmla="*/ 313368 w 714754"/>
                              <a:gd name="connsiteY8" fmla="*/ 135885 h 2837520"/>
                              <a:gd name="connsiteX9" fmla="*/ 313368 w 714754"/>
                              <a:gd name="connsiteY9" fmla="*/ 99534 h 2837520"/>
                              <a:gd name="connsiteX10" fmla="*/ 193913 w 714754"/>
                              <a:gd name="connsiteY10" fmla="*/ 99534 h 2837520"/>
                              <a:gd name="connsiteX11" fmla="*/ 63182 w 714754"/>
                              <a:gd name="connsiteY11" fmla="*/ 230265 h 2837520"/>
                              <a:gd name="connsiteX12" fmla="*/ 71438 w 714754"/>
                              <a:gd name="connsiteY12" fmla="*/ 2590483 h 2837520"/>
                              <a:gd name="connsiteX13" fmla="*/ 71438 w 714754"/>
                              <a:gd name="connsiteY13" fmla="*/ 2718118 h 2837520"/>
                              <a:gd name="connsiteX14" fmla="*/ 714754 w 714754"/>
                              <a:gd name="connsiteY14" fmla="*/ 2759076 h 2837520"/>
                              <a:gd name="connsiteX15" fmla="*/ 701226 w 714754"/>
                              <a:gd name="connsiteY15" fmla="*/ 2820040 h 2837520"/>
                              <a:gd name="connsiteX0" fmla="*/ 701226 w 714754"/>
                              <a:gd name="connsiteY0" fmla="*/ 2820040 h 2837520"/>
                              <a:gd name="connsiteX1" fmla="*/ 155338 w 714754"/>
                              <a:gd name="connsiteY1" fmla="*/ 2790528 h 2837520"/>
                              <a:gd name="connsiteX2" fmla="*/ 2858 w 714754"/>
                              <a:gd name="connsiteY2" fmla="*/ 2596198 h 2837520"/>
                              <a:gd name="connsiteX3" fmla="*/ 0 w 714754"/>
                              <a:gd name="connsiteY3" fmla="*/ 230265 h 2837520"/>
                              <a:gd name="connsiteX4" fmla="*/ 193913 w 714754"/>
                              <a:gd name="connsiteY4" fmla="*/ 36352 h 2837520"/>
                              <a:gd name="connsiteX5" fmla="*/ 313368 w 714754"/>
                              <a:gd name="connsiteY5" fmla="*/ 36352 h 2837520"/>
                              <a:gd name="connsiteX6" fmla="*/ 313368 w 714754"/>
                              <a:gd name="connsiteY6" fmla="*/ 0 h 2837520"/>
                              <a:gd name="connsiteX7" fmla="*/ 443230 w 714754"/>
                              <a:gd name="connsiteY7" fmla="*/ 67943 h 2837520"/>
                              <a:gd name="connsiteX8" fmla="*/ 313368 w 714754"/>
                              <a:gd name="connsiteY8" fmla="*/ 135885 h 2837520"/>
                              <a:gd name="connsiteX9" fmla="*/ 313368 w 714754"/>
                              <a:gd name="connsiteY9" fmla="*/ 99534 h 2837520"/>
                              <a:gd name="connsiteX10" fmla="*/ 193913 w 714754"/>
                              <a:gd name="connsiteY10" fmla="*/ 99534 h 2837520"/>
                              <a:gd name="connsiteX11" fmla="*/ 63182 w 714754"/>
                              <a:gd name="connsiteY11" fmla="*/ 230265 h 2837520"/>
                              <a:gd name="connsiteX12" fmla="*/ 71438 w 714754"/>
                              <a:gd name="connsiteY12" fmla="*/ 2590483 h 2837520"/>
                              <a:gd name="connsiteX13" fmla="*/ 181986 w 714754"/>
                              <a:gd name="connsiteY13" fmla="*/ 2737175 h 2837520"/>
                              <a:gd name="connsiteX14" fmla="*/ 714754 w 714754"/>
                              <a:gd name="connsiteY14" fmla="*/ 2759076 h 2837520"/>
                              <a:gd name="connsiteX15" fmla="*/ 701226 w 714754"/>
                              <a:gd name="connsiteY15" fmla="*/ 2820040 h 2837520"/>
                              <a:gd name="connsiteX0" fmla="*/ 701226 w 714754"/>
                              <a:gd name="connsiteY0" fmla="*/ 2820040 h 2837520"/>
                              <a:gd name="connsiteX1" fmla="*/ 155338 w 714754"/>
                              <a:gd name="connsiteY1" fmla="*/ 2790528 h 2837520"/>
                              <a:gd name="connsiteX2" fmla="*/ 2858 w 714754"/>
                              <a:gd name="connsiteY2" fmla="*/ 2596198 h 2837520"/>
                              <a:gd name="connsiteX3" fmla="*/ 0 w 714754"/>
                              <a:gd name="connsiteY3" fmla="*/ 230265 h 2837520"/>
                              <a:gd name="connsiteX4" fmla="*/ 193913 w 714754"/>
                              <a:gd name="connsiteY4" fmla="*/ 36352 h 2837520"/>
                              <a:gd name="connsiteX5" fmla="*/ 313368 w 714754"/>
                              <a:gd name="connsiteY5" fmla="*/ 36352 h 2837520"/>
                              <a:gd name="connsiteX6" fmla="*/ 313368 w 714754"/>
                              <a:gd name="connsiteY6" fmla="*/ 0 h 2837520"/>
                              <a:gd name="connsiteX7" fmla="*/ 443230 w 714754"/>
                              <a:gd name="connsiteY7" fmla="*/ 67943 h 2837520"/>
                              <a:gd name="connsiteX8" fmla="*/ 313368 w 714754"/>
                              <a:gd name="connsiteY8" fmla="*/ 135885 h 2837520"/>
                              <a:gd name="connsiteX9" fmla="*/ 313368 w 714754"/>
                              <a:gd name="connsiteY9" fmla="*/ 99534 h 2837520"/>
                              <a:gd name="connsiteX10" fmla="*/ 193913 w 714754"/>
                              <a:gd name="connsiteY10" fmla="*/ 99534 h 2837520"/>
                              <a:gd name="connsiteX11" fmla="*/ 63182 w 714754"/>
                              <a:gd name="connsiteY11" fmla="*/ 230265 h 2837520"/>
                              <a:gd name="connsiteX12" fmla="*/ 71438 w 714754"/>
                              <a:gd name="connsiteY12" fmla="*/ 2590483 h 2837520"/>
                              <a:gd name="connsiteX13" fmla="*/ 181986 w 714754"/>
                              <a:gd name="connsiteY13" fmla="*/ 2737175 h 2837520"/>
                              <a:gd name="connsiteX14" fmla="*/ 714754 w 714754"/>
                              <a:gd name="connsiteY14" fmla="*/ 2759076 h 2837520"/>
                              <a:gd name="connsiteX15" fmla="*/ 701226 w 714754"/>
                              <a:gd name="connsiteY15" fmla="*/ 2820040 h 2837520"/>
                              <a:gd name="connsiteX0" fmla="*/ 701226 w 714754"/>
                              <a:gd name="connsiteY0" fmla="*/ 2820040 h 2837520"/>
                              <a:gd name="connsiteX1" fmla="*/ 155338 w 714754"/>
                              <a:gd name="connsiteY1" fmla="*/ 2790528 h 2837520"/>
                              <a:gd name="connsiteX2" fmla="*/ 2858 w 714754"/>
                              <a:gd name="connsiteY2" fmla="*/ 2596198 h 2837520"/>
                              <a:gd name="connsiteX3" fmla="*/ 0 w 714754"/>
                              <a:gd name="connsiteY3" fmla="*/ 230265 h 2837520"/>
                              <a:gd name="connsiteX4" fmla="*/ 193913 w 714754"/>
                              <a:gd name="connsiteY4" fmla="*/ 36352 h 2837520"/>
                              <a:gd name="connsiteX5" fmla="*/ 313368 w 714754"/>
                              <a:gd name="connsiteY5" fmla="*/ 36352 h 2837520"/>
                              <a:gd name="connsiteX6" fmla="*/ 313368 w 714754"/>
                              <a:gd name="connsiteY6" fmla="*/ 0 h 2837520"/>
                              <a:gd name="connsiteX7" fmla="*/ 443230 w 714754"/>
                              <a:gd name="connsiteY7" fmla="*/ 67943 h 2837520"/>
                              <a:gd name="connsiteX8" fmla="*/ 313368 w 714754"/>
                              <a:gd name="connsiteY8" fmla="*/ 135885 h 2837520"/>
                              <a:gd name="connsiteX9" fmla="*/ 313368 w 714754"/>
                              <a:gd name="connsiteY9" fmla="*/ 99534 h 2837520"/>
                              <a:gd name="connsiteX10" fmla="*/ 193913 w 714754"/>
                              <a:gd name="connsiteY10" fmla="*/ 99534 h 2837520"/>
                              <a:gd name="connsiteX11" fmla="*/ 63182 w 714754"/>
                              <a:gd name="connsiteY11" fmla="*/ 230265 h 2837520"/>
                              <a:gd name="connsiteX12" fmla="*/ 71438 w 714754"/>
                              <a:gd name="connsiteY12" fmla="*/ 2590483 h 2837520"/>
                              <a:gd name="connsiteX13" fmla="*/ 181986 w 714754"/>
                              <a:gd name="connsiteY13" fmla="*/ 2737175 h 2837520"/>
                              <a:gd name="connsiteX14" fmla="*/ 714754 w 714754"/>
                              <a:gd name="connsiteY14" fmla="*/ 2759076 h 2837520"/>
                              <a:gd name="connsiteX15" fmla="*/ 701226 w 714754"/>
                              <a:gd name="connsiteY15" fmla="*/ 2820040 h 2837520"/>
                              <a:gd name="connsiteX0" fmla="*/ 701226 w 714754"/>
                              <a:gd name="connsiteY0" fmla="*/ 2820040 h 2837520"/>
                              <a:gd name="connsiteX1" fmla="*/ 155338 w 714754"/>
                              <a:gd name="connsiteY1" fmla="*/ 2790528 h 2837520"/>
                              <a:gd name="connsiteX2" fmla="*/ 2858 w 714754"/>
                              <a:gd name="connsiteY2" fmla="*/ 2596198 h 2837520"/>
                              <a:gd name="connsiteX3" fmla="*/ 0 w 714754"/>
                              <a:gd name="connsiteY3" fmla="*/ 230265 h 2837520"/>
                              <a:gd name="connsiteX4" fmla="*/ 193913 w 714754"/>
                              <a:gd name="connsiteY4" fmla="*/ 36352 h 2837520"/>
                              <a:gd name="connsiteX5" fmla="*/ 313368 w 714754"/>
                              <a:gd name="connsiteY5" fmla="*/ 36352 h 2837520"/>
                              <a:gd name="connsiteX6" fmla="*/ 313368 w 714754"/>
                              <a:gd name="connsiteY6" fmla="*/ 0 h 2837520"/>
                              <a:gd name="connsiteX7" fmla="*/ 443230 w 714754"/>
                              <a:gd name="connsiteY7" fmla="*/ 67943 h 2837520"/>
                              <a:gd name="connsiteX8" fmla="*/ 313368 w 714754"/>
                              <a:gd name="connsiteY8" fmla="*/ 135885 h 2837520"/>
                              <a:gd name="connsiteX9" fmla="*/ 313368 w 714754"/>
                              <a:gd name="connsiteY9" fmla="*/ 99534 h 2837520"/>
                              <a:gd name="connsiteX10" fmla="*/ 193913 w 714754"/>
                              <a:gd name="connsiteY10" fmla="*/ 99534 h 2837520"/>
                              <a:gd name="connsiteX11" fmla="*/ 63182 w 714754"/>
                              <a:gd name="connsiteY11" fmla="*/ 230265 h 2837520"/>
                              <a:gd name="connsiteX12" fmla="*/ 71438 w 714754"/>
                              <a:gd name="connsiteY12" fmla="*/ 2590483 h 2837520"/>
                              <a:gd name="connsiteX13" fmla="*/ 181986 w 714754"/>
                              <a:gd name="connsiteY13" fmla="*/ 2737175 h 2837520"/>
                              <a:gd name="connsiteX14" fmla="*/ 714754 w 714754"/>
                              <a:gd name="connsiteY14" fmla="*/ 2759076 h 2837520"/>
                              <a:gd name="connsiteX15" fmla="*/ 701226 w 714754"/>
                              <a:gd name="connsiteY15" fmla="*/ 2820040 h 2837520"/>
                              <a:gd name="connsiteX0" fmla="*/ 701226 w 714754"/>
                              <a:gd name="connsiteY0" fmla="*/ 2820040 h 2837520"/>
                              <a:gd name="connsiteX1" fmla="*/ 155338 w 714754"/>
                              <a:gd name="connsiteY1" fmla="*/ 2790528 h 2837520"/>
                              <a:gd name="connsiteX2" fmla="*/ 2858 w 714754"/>
                              <a:gd name="connsiteY2" fmla="*/ 2596198 h 2837520"/>
                              <a:gd name="connsiteX3" fmla="*/ 0 w 714754"/>
                              <a:gd name="connsiteY3" fmla="*/ 230265 h 2837520"/>
                              <a:gd name="connsiteX4" fmla="*/ 193913 w 714754"/>
                              <a:gd name="connsiteY4" fmla="*/ 36352 h 2837520"/>
                              <a:gd name="connsiteX5" fmla="*/ 313368 w 714754"/>
                              <a:gd name="connsiteY5" fmla="*/ 36352 h 2837520"/>
                              <a:gd name="connsiteX6" fmla="*/ 313368 w 714754"/>
                              <a:gd name="connsiteY6" fmla="*/ 0 h 2837520"/>
                              <a:gd name="connsiteX7" fmla="*/ 443230 w 714754"/>
                              <a:gd name="connsiteY7" fmla="*/ 67943 h 2837520"/>
                              <a:gd name="connsiteX8" fmla="*/ 313368 w 714754"/>
                              <a:gd name="connsiteY8" fmla="*/ 135885 h 2837520"/>
                              <a:gd name="connsiteX9" fmla="*/ 313368 w 714754"/>
                              <a:gd name="connsiteY9" fmla="*/ 99534 h 2837520"/>
                              <a:gd name="connsiteX10" fmla="*/ 193913 w 714754"/>
                              <a:gd name="connsiteY10" fmla="*/ 99534 h 2837520"/>
                              <a:gd name="connsiteX11" fmla="*/ 63182 w 714754"/>
                              <a:gd name="connsiteY11" fmla="*/ 230265 h 2837520"/>
                              <a:gd name="connsiteX12" fmla="*/ 71438 w 714754"/>
                              <a:gd name="connsiteY12" fmla="*/ 2590483 h 2837520"/>
                              <a:gd name="connsiteX13" fmla="*/ 181986 w 714754"/>
                              <a:gd name="connsiteY13" fmla="*/ 2737175 h 2837520"/>
                              <a:gd name="connsiteX14" fmla="*/ 714754 w 714754"/>
                              <a:gd name="connsiteY14" fmla="*/ 2759076 h 2837520"/>
                              <a:gd name="connsiteX15" fmla="*/ 701226 w 714754"/>
                              <a:gd name="connsiteY15" fmla="*/ 2820040 h 2837520"/>
                              <a:gd name="connsiteX0" fmla="*/ 701226 w 714754"/>
                              <a:gd name="connsiteY0" fmla="*/ 2820040 h 2837520"/>
                              <a:gd name="connsiteX1" fmla="*/ 155338 w 714754"/>
                              <a:gd name="connsiteY1" fmla="*/ 2790528 h 2837520"/>
                              <a:gd name="connsiteX2" fmla="*/ 2858 w 714754"/>
                              <a:gd name="connsiteY2" fmla="*/ 2596198 h 2837520"/>
                              <a:gd name="connsiteX3" fmla="*/ 0 w 714754"/>
                              <a:gd name="connsiteY3" fmla="*/ 230265 h 2837520"/>
                              <a:gd name="connsiteX4" fmla="*/ 193913 w 714754"/>
                              <a:gd name="connsiteY4" fmla="*/ 36352 h 2837520"/>
                              <a:gd name="connsiteX5" fmla="*/ 313368 w 714754"/>
                              <a:gd name="connsiteY5" fmla="*/ 36352 h 2837520"/>
                              <a:gd name="connsiteX6" fmla="*/ 313368 w 714754"/>
                              <a:gd name="connsiteY6" fmla="*/ 0 h 2837520"/>
                              <a:gd name="connsiteX7" fmla="*/ 443230 w 714754"/>
                              <a:gd name="connsiteY7" fmla="*/ 67943 h 2837520"/>
                              <a:gd name="connsiteX8" fmla="*/ 313368 w 714754"/>
                              <a:gd name="connsiteY8" fmla="*/ 135885 h 2837520"/>
                              <a:gd name="connsiteX9" fmla="*/ 313368 w 714754"/>
                              <a:gd name="connsiteY9" fmla="*/ 99534 h 2837520"/>
                              <a:gd name="connsiteX10" fmla="*/ 193913 w 714754"/>
                              <a:gd name="connsiteY10" fmla="*/ 99534 h 2837520"/>
                              <a:gd name="connsiteX11" fmla="*/ 63182 w 714754"/>
                              <a:gd name="connsiteY11" fmla="*/ 230265 h 2837520"/>
                              <a:gd name="connsiteX12" fmla="*/ 71438 w 714754"/>
                              <a:gd name="connsiteY12" fmla="*/ 2590483 h 2837520"/>
                              <a:gd name="connsiteX13" fmla="*/ 181986 w 714754"/>
                              <a:gd name="connsiteY13" fmla="*/ 2737175 h 2837520"/>
                              <a:gd name="connsiteX14" fmla="*/ 714754 w 714754"/>
                              <a:gd name="connsiteY14" fmla="*/ 2759076 h 2837520"/>
                              <a:gd name="connsiteX15" fmla="*/ 701226 w 714754"/>
                              <a:gd name="connsiteY15" fmla="*/ 2820040 h 2837520"/>
                              <a:gd name="connsiteX0" fmla="*/ 701226 w 701226"/>
                              <a:gd name="connsiteY0" fmla="*/ 2820040 h 2837520"/>
                              <a:gd name="connsiteX1" fmla="*/ 155338 w 701226"/>
                              <a:gd name="connsiteY1" fmla="*/ 2790528 h 2837520"/>
                              <a:gd name="connsiteX2" fmla="*/ 2858 w 701226"/>
                              <a:gd name="connsiteY2" fmla="*/ 2596198 h 2837520"/>
                              <a:gd name="connsiteX3" fmla="*/ 0 w 701226"/>
                              <a:gd name="connsiteY3" fmla="*/ 230265 h 2837520"/>
                              <a:gd name="connsiteX4" fmla="*/ 193913 w 701226"/>
                              <a:gd name="connsiteY4" fmla="*/ 36352 h 2837520"/>
                              <a:gd name="connsiteX5" fmla="*/ 313368 w 701226"/>
                              <a:gd name="connsiteY5" fmla="*/ 36352 h 2837520"/>
                              <a:gd name="connsiteX6" fmla="*/ 313368 w 701226"/>
                              <a:gd name="connsiteY6" fmla="*/ 0 h 2837520"/>
                              <a:gd name="connsiteX7" fmla="*/ 443230 w 701226"/>
                              <a:gd name="connsiteY7" fmla="*/ 67943 h 2837520"/>
                              <a:gd name="connsiteX8" fmla="*/ 313368 w 701226"/>
                              <a:gd name="connsiteY8" fmla="*/ 135885 h 2837520"/>
                              <a:gd name="connsiteX9" fmla="*/ 313368 w 701226"/>
                              <a:gd name="connsiteY9" fmla="*/ 99534 h 2837520"/>
                              <a:gd name="connsiteX10" fmla="*/ 193913 w 701226"/>
                              <a:gd name="connsiteY10" fmla="*/ 99534 h 2837520"/>
                              <a:gd name="connsiteX11" fmla="*/ 63182 w 701226"/>
                              <a:gd name="connsiteY11" fmla="*/ 230265 h 2837520"/>
                              <a:gd name="connsiteX12" fmla="*/ 71438 w 701226"/>
                              <a:gd name="connsiteY12" fmla="*/ 2590483 h 2837520"/>
                              <a:gd name="connsiteX13" fmla="*/ 181986 w 701226"/>
                              <a:gd name="connsiteY13" fmla="*/ 2737175 h 2837520"/>
                              <a:gd name="connsiteX14" fmla="*/ 669010 w 701226"/>
                              <a:gd name="connsiteY14" fmla="*/ 2747642 h 2837520"/>
                              <a:gd name="connsiteX15" fmla="*/ 701226 w 701226"/>
                              <a:gd name="connsiteY15" fmla="*/ 2820040 h 2837520"/>
                              <a:gd name="connsiteX0" fmla="*/ 701226 w 701226"/>
                              <a:gd name="connsiteY0" fmla="*/ 2820040 h 2837520"/>
                              <a:gd name="connsiteX1" fmla="*/ 155338 w 701226"/>
                              <a:gd name="connsiteY1" fmla="*/ 2790528 h 2837520"/>
                              <a:gd name="connsiteX2" fmla="*/ 2858 w 701226"/>
                              <a:gd name="connsiteY2" fmla="*/ 2596198 h 2837520"/>
                              <a:gd name="connsiteX3" fmla="*/ 0 w 701226"/>
                              <a:gd name="connsiteY3" fmla="*/ 230265 h 2837520"/>
                              <a:gd name="connsiteX4" fmla="*/ 193913 w 701226"/>
                              <a:gd name="connsiteY4" fmla="*/ 36352 h 2837520"/>
                              <a:gd name="connsiteX5" fmla="*/ 313368 w 701226"/>
                              <a:gd name="connsiteY5" fmla="*/ 36352 h 2837520"/>
                              <a:gd name="connsiteX6" fmla="*/ 313368 w 701226"/>
                              <a:gd name="connsiteY6" fmla="*/ 0 h 2837520"/>
                              <a:gd name="connsiteX7" fmla="*/ 443230 w 701226"/>
                              <a:gd name="connsiteY7" fmla="*/ 67943 h 2837520"/>
                              <a:gd name="connsiteX8" fmla="*/ 313368 w 701226"/>
                              <a:gd name="connsiteY8" fmla="*/ 135885 h 2837520"/>
                              <a:gd name="connsiteX9" fmla="*/ 313368 w 701226"/>
                              <a:gd name="connsiteY9" fmla="*/ 99534 h 2837520"/>
                              <a:gd name="connsiteX10" fmla="*/ 193913 w 701226"/>
                              <a:gd name="connsiteY10" fmla="*/ 99534 h 2837520"/>
                              <a:gd name="connsiteX11" fmla="*/ 63182 w 701226"/>
                              <a:gd name="connsiteY11" fmla="*/ 230265 h 2837520"/>
                              <a:gd name="connsiteX12" fmla="*/ 71438 w 701226"/>
                              <a:gd name="connsiteY12" fmla="*/ 2590483 h 2837520"/>
                              <a:gd name="connsiteX13" fmla="*/ 181986 w 701226"/>
                              <a:gd name="connsiteY13" fmla="*/ 2737175 h 2837520"/>
                              <a:gd name="connsiteX14" fmla="*/ 672825 w 701226"/>
                              <a:gd name="connsiteY14" fmla="*/ 2743831 h 2837520"/>
                              <a:gd name="connsiteX15" fmla="*/ 701226 w 701226"/>
                              <a:gd name="connsiteY15" fmla="*/ 2820040 h 2837520"/>
                              <a:gd name="connsiteX0" fmla="*/ 701226 w 701226"/>
                              <a:gd name="connsiteY0" fmla="*/ 2820040 h 2820040"/>
                              <a:gd name="connsiteX1" fmla="*/ 155338 w 701226"/>
                              <a:gd name="connsiteY1" fmla="*/ 2790528 h 2820040"/>
                              <a:gd name="connsiteX2" fmla="*/ 2858 w 701226"/>
                              <a:gd name="connsiteY2" fmla="*/ 2596198 h 2820040"/>
                              <a:gd name="connsiteX3" fmla="*/ 0 w 701226"/>
                              <a:gd name="connsiteY3" fmla="*/ 230265 h 2820040"/>
                              <a:gd name="connsiteX4" fmla="*/ 193913 w 701226"/>
                              <a:gd name="connsiteY4" fmla="*/ 36352 h 2820040"/>
                              <a:gd name="connsiteX5" fmla="*/ 313368 w 701226"/>
                              <a:gd name="connsiteY5" fmla="*/ 36352 h 2820040"/>
                              <a:gd name="connsiteX6" fmla="*/ 313368 w 701226"/>
                              <a:gd name="connsiteY6" fmla="*/ 0 h 2820040"/>
                              <a:gd name="connsiteX7" fmla="*/ 443230 w 701226"/>
                              <a:gd name="connsiteY7" fmla="*/ 67943 h 2820040"/>
                              <a:gd name="connsiteX8" fmla="*/ 313368 w 701226"/>
                              <a:gd name="connsiteY8" fmla="*/ 135885 h 2820040"/>
                              <a:gd name="connsiteX9" fmla="*/ 313368 w 701226"/>
                              <a:gd name="connsiteY9" fmla="*/ 99534 h 2820040"/>
                              <a:gd name="connsiteX10" fmla="*/ 193913 w 701226"/>
                              <a:gd name="connsiteY10" fmla="*/ 99534 h 2820040"/>
                              <a:gd name="connsiteX11" fmla="*/ 63182 w 701226"/>
                              <a:gd name="connsiteY11" fmla="*/ 230265 h 2820040"/>
                              <a:gd name="connsiteX12" fmla="*/ 71438 w 701226"/>
                              <a:gd name="connsiteY12" fmla="*/ 2590483 h 2820040"/>
                              <a:gd name="connsiteX13" fmla="*/ 181986 w 701226"/>
                              <a:gd name="connsiteY13" fmla="*/ 2737175 h 2820040"/>
                              <a:gd name="connsiteX14" fmla="*/ 672825 w 701226"/>
                              <a:gd name="connsiteY14" fmla="*/ 2743831 h 2820040"/>
                              <a:gd name="connsiteX15" fmla="*/ 701226 w 701226"/>
                              <a:gd name="connsiteY15" fmla="*/ 2820040 h 2820040"/>
                              <a:gd name="connsiteX0" fmla="*/ 701226 w 701226"/>
                              <a:gd name="connsiteY0" fmla="*/ 2820040 h 2820040"/>
                              <a:gd name="connsiteX1" fmla="*/ 155338 w 701226"/>
                              <a:gd name="connsiteY1" fmla="*/ 2790528 h 2820040"/>
                              <a:gd name="connsiteX2" fmla="*/ 2858 w 701226"/>
                              <a:gd name="connsiteY2" fmla="*/ 2596198 h 2820040"/>
                              <a:gd name="connsiteX3" fmla="*/ 0 w 701226"/>
                              <a:gd name="connsiteY3" fmla="*/ 230265 h 2820040"/>
                              <a:gd name="connsiteX4" fmla="*/ 193913 w 701226"/>
                              <a:gd name="connsiteY4" fmla="*/ 36352 h 2820040"/>
                              <a:gd name="connsiteX5" fmla="*/ 313368 w 701226"/>
                              <a:gd name="connsiteY5" fmla="*/ 36352 h 2820040"/>
                              <a:gd name="connsiteX6" fmla="*/ 313368 w 701226"/>
                              <a:gd name="connsiteY6" fmla="*/ 0 h 2820040"/>
                              <a:gd name="connsiteX7" fmla="*/ 443230 w 701226"/>
                              <a:gd name="connsiteY7" fmla="*/ 67943 h 2820040"/>
                              <a:gd name="connsiteX8" fmla="*/ 313368 w 701226"/>
                              <a:gd name="connsiteY8" fmla="*/ 135885 h 2820040"/>
                              <a:gd name="connsiteX9" fmla="*/ 313368 w 701226"/>
                              <a:gd name="connsiteY9" fmla="*/ 99534 h 2820040"/>
                              <a:gd name="connsiteX10" fmla="*/ 193913 w 701226"/>
                              <a:gd name="connsiteY10" fmla="*/ 99534 h 2820040"/>
                              <a:gd name="connsiteX11" fmla="*/ 63182 w 701226"/>
                              <a:gd name="connsiteY11" fmla="*/ 230265 h 2820040"/>
                              <a:gd name="connsiteX12" fmla="*/ 71438 w 701226"/>
                              <a:gd name="connsiteY12" fmla="*/ 2590483 h 2820040"/>
                              <a:gd name="connsiteX13" fmla="*/ 181986 w 701226"/>
                              <a:gd name="connsiteY13" fmla="*/ 2737175 h 2820040"/>
                              <a:gd name="connsiteX14" fmla="*/ 672825 w 701226"/>
                              <a:gd name="connsiteY14" fmla="*/ 2743831 h 2820040"/>
                              <a:gd name="connsiteX15" fmla="*/ 701226 w 701226"/>
                              <a:gd name="connsiteY15" fmla="*/ 2820040 h 2820040"/>
                              <a:gd name="connsiteX0" fmla="*/ 701226 w 701226"/>
                              <a:gd name="connsiteY0" fmla="*/ 2820040 h 2820040"/>
                              <a:gd name="connsiteX1" fmla="*/ 155338 w 701226"/>
                              <a:gd name="connsiteY1" fmla="*/ 2790528 h 2820040"/>
                              <a:gd name="connsiteX2" fmla="*/ 2858 w 701226"/>
                              <a:gd name="connsiteY2" fmla="*/ 2596198 h 2820040"/>
                              <a:gd name="connsiteX3" fmla="*/ 0 w 701226"/>
                              <a:gd name="connsiteY3" fmla="*/ 230265 h 2820040"/>
                              <a:gd name="connsiteX4" fmla="*/ 193913 w 701226"/>
                              <a:gd name="connsiteY4" fmla="*/ 36352 h 2820040"/>
                              <a:gd name="connsiteX5" fmla="*/ 313368 w 701226"/>
                              <a:gd name="connsiteY5" fmla="*/ 36352 h 2820040"/>
                              <a:gd name="connsiteX6" fmla="*/ 313368 w 701226"/>
                              <a:gd name="connsiteY6" fmla="*/ 0 h 2820040"/>
                              <a:gd name="connsiteX7" fmla="*/ 443230 w 701226"/>
                              <a:gd name="connsiteY7" fmla="*/ 67943 h 2820040"/>
                              <a:gd name="connsiteX8" fmla="*/ 313368 w 701226"/>
                              <a:gd name="connsiteY8" fmla="*/ 135885 h 2820040"/>
                              <a:gd name="connsiteX9" fmla="*/ 313368 w 701226"/>
                              <a:gd name="connsiteY9" fmla="*/ 99534 h 2820040"/>
                              <a:gd name="connsiteX10" fmla="*/ 193913 w 701226"/>
                              <a:gd name="connsiteY10" fmla="*/ 99534 h 2820040"/>
                              <a:gd name="connsiteX11" fmla="*/ 63182 w 701226"/>
                              <a:gd name="connsiteY11" fmla="*/ 230265 h 2820040"/>
                              <a:gd name="connsiteX12" fmla="*/ 71438 w 701226"/>
                              <a:gd name="connsiteY12" fmla="*/ 2590483 h 2820040"/>
                              <a:gd name="connsiteX13" fmla="*/ 181986 w 701226"/>
                              <a:gd name="connsiteY13" fmla="*/ 2737175 h 2820040"/>
                              <a:gd name="connsiteX14" fmla="*/ 672825 w 701226"/>
                              <a:gd name="connsiteY14" fmla="*/ 2743831 h 2820040"/>
                              <a:gd name="connsiteX15" fmla="*/ 701226 w 701226"/>
                              <a:gd name="connsiteY15" fmla="*/ 2820040 h 2820040"/>
                              <a:gd name="connsiteX0" fmla="*/ 670710 w 672825"/>
                              <a:gd name="connsiteY0" fmla="*/ 2797177 h 2797177"/>
                              <a:gd name="connsiteX1" fmla="*/ 155338 w 672825"/>
                              <a:gd name="connsiteY1" fmla="*/ 2790528 h 2797177"/>
                              <a:gd name="connsiteX2" fmla="*/ 2858 w 672825"/>
                              <a:gd name="connsiteY2" fmla="*/ 2596198 h 2797177"/>
                              <a:gd name="connsiteX3" fmla="*/ 0 w 672825"/>
                              <a:gd name="connsiteY3" fmla="*/ 230265 h 2797177"/>
                              <a:gd name="connsiteX4" fmla="*/ 193913 w 672825"/>
                              <a:gd name="connsiteY4" fmla="*/ 36352 h 2797177"/>
                              <a:gd name="connsiteX5" fmla="*/ 313368 w 672825"/>
                              <a:gd name="connsiteY5" fmla="*/ 36352 h 2797177"/>
                              <a:gd name="connsiteX6" fmla="*/ 313368 w 672825"/>
                              <a:gd name="connsiteY6" fmla="*/ 0 h 2797177"/>
                              <a:gd name="connsiteX7" fmla="*/ 443230 w 672825"/>
                              <a:gd name="connsiteY7" fmla="*/ 67943 h 2797177"/>
                              <a:gd name="connsiteX8" fmla="*/ 313368 w 672825"/>
                              <a:gd name="connsiteY8" fmla="*/ 135885 h 2797177"/>
                              <a:gd name="connsiteX9" fmla="*/ 313368 w 672825"/>
                              <a:gd name="connsiteY9" fmla="*/ 99534 h 2797177"/>
                              <a:gd name="connsiteX10" fmla="*/ 193913 w 672825"/>
                              <a:gd name="connsiteY10" fmla="*/ 99534 h 2797177"/>
                              <a:gd name="connsiteX11" fmla="*/ 63182 w 672825"/>
                              <a:gd name="connsiteY11" fmla="*/ 230265 h 2797177"/>
                              <a:gd name="connsiteX12" fmla="*/ 71438 w 672825"/>
                              <a:gd name="connsiteY12" fmla="*/ 2590483 h 2797177"/>
                              <a:gd name="connsiteX13" fmla="*/ 181986 w 672825"/>
                              <a:gd name="connsiteY13" fmla="*/ 2737175 h 2797177"/>
                              <a:gd name="connsiteX14" fmla="*/ 672825 w 672825"/>
                              <a:gd name="connsiteY14" fmla="*/ 2743831 h 2797177"/>
                              <a:gd name="connsiteX15" fmla="*/ 670710 w 672825"/>
                              <a:gd name="connsiteY15" fmla="*/ 2797177 h 2797177"/>
                              <a:gd name="connsiteX0" fmla="*/ 670710 w 672825"/>
                              <a:gd name="connsiteY0" fmla="*/ 2797177 h 2797177"/>
                              <a:gd name="connsiteX1" fmla="*/ 179514 w 672825"/>
                              <a:gd name="connsiteY1" fmla="*/ 2786720 h 2797177"/>
                              <a:gd name="connsiteX2" fmla="*/ 2858 w 672825"/>
                              <a:gd name="connsiteY2" fmla="*/ 2596198 h 2797177"/>
                              <a:gd name="connsiteX3" fmla="*/ 0 w 672825"/>
                              <a:gd name="connsiteY3" fmla="*/ 230265 h 2797177"/>
                              <a:gd name="connsiteX4" fmla="*/ 193913 w 672825"/>
                              <a:gd name="connsiteY4" fmla="*/ 36352 h 2797177"/>
                              <a:gd name="connsiteX5" fmla="*/ 313368 w 672825"/>
                              <a:gd name="connsiteY5" fmla="*/ 36352 h 2797177"/>
                              <a:gd name="connsiteX6" fmla="*/ 313368 w 672825"/>
                              <a:gd name="connsiteY6" fmla="*/ 0 h 2797177"/>
                              <a:gd name="connsiteX7" fmla="*/ 443230 w 672825"/>
                              <a:gd name="connsiteY7" fmla="*/ 67943 h 2797177"/>
                              <a:gd name="connsiteX8" fmla="*/ 313368 w 672825"/>
                              <a:gd name="connsiteY8" fmla="*/ 135885 h 2797177"/>
                              <a:gd name="connsiteX9" fmla="*/ 313368 w 672825"/>
                              <a:gd name="connsiteY9" fmla="*/ 99534 h 2797177"/>
                              <a:gd name="connsiteX10" fmla="*/ 193913 w 672825"/>
                              <a:gd name="connsiteY10" fmla="*/ 99534 h 2797177"/>
                              <a:gd name="connsiteX11" fmla="*/ 63182 w 672825"/>
                              <a:gd name="connsiteY11" fmla="*/ 230265 h 2797177"/>
                              <a:gd name="connsiteX12" fmla="*/ 71438 w 672825"/>
                              <a:gd name="connsiteY12" fmla="*/ 2590483 h 2797177"/>
                              <a:gd name="connsiteX13" fmla="*/ 181986 w 672825"/>
                              <a:gd name="connsiteY13" fmla="*/ 2737175 h 2797177"/>
                              <a:gd name="connsiteX14" fmla="*/ 672825 w 672825"/>
                              <a:gd name="connsiteY14" fmla="*/ 2743831 h 2797177"/>
                              <a:gd name="connsiteX15" fmla="*/ 670710 w 672825"/>
                              <a:gd name="connsiteY15" fmla="*/ 2797177 h 2797177"/>
                              <a:gd name="connsiteX0" fmla="*/ 670710 w 672825"/>
                              <a:gd name="connsiteY0" fmla="*/ 2797177 h 2797177"/>
                              <a:gd name="connsiteX1" fmla="*/ 179514 w 672825"/>
                              <a:gd name="connsiteY1" fmla="*/ 2786720 h 2797177"/>
                              <a:gd name="connsiteX2" fmla="*/ 2858 w 672825"/>
                              <a:gd name="connsiteY2" fmla="*/ 2596198 h 2797177"/>
                              <a:gd name="connsiteX3" fmla="*/ 0 w 672825"/>
                              <a:gd name="connsiteY3" fmla="*/ 230265 h 2797177"/>
                              <a:gd name="connsiteX4" fmla="*/ 193913 w 672825"/>
                              <a:gd name="connsiteY4" fmla="*/ 36352 h 2797177"/>
                              <a:gd name="connsiteX5" fmla="*/ 313368 w 672825"/>
                              <a:gd name="connsiteY5" fmla="*/ 36352 h 2797177"/>
                              <a:gd name="connsiteX6" fmla="*/ 313368 w 672825"/>
                              <a:gd name="connsiteY6" fmla="*/ 0 h 2797177"/>
                              <a:gd name="connsiteX7" fmla="*/ 443230 w 672825"/>
                              <a:gd name="connsiteY7" fmla="*/ 67943 h 2797177"/>
                              <a:gd name="connsiteX8" fmla="*/ 313368 w 672825"/>
                              <a:gd name="connsiteY8" fmla="*/ 135885 h 2797177"/>
                              <a:gd name="connsiteX9" fmla="*/ 313368 w 672825"/>
                              <a:gd name="connsiteY9" fmla="*/ 99534 h 2797177"/>
                              <a:gd name="connsiteX10" fmla="*/ 193913 w 672825"/>
                              <a:gd name="connsiteY10" fmla="*/ 99534 h 2797177"/>
                              <a:gd name="connsiteX11" fmla="*/ 63182 w 672825"/>
                              <a:gd name="connsiteY11" fmla="*/ 230265 h 2797177"/>
                              <a:gd name="connsiteX12" fmla="*/ 71438 w 672825"/>
                              <a:gd name="connsiteY12" fmla="*/ 2590483 h 2797177"/>
                              <a:gd name="connsiteX13" fmla="*/ 181986 w 672825"/>
                              <a:gd name="connsiteY13" fmla="*/ 2737175 h 2797177"/>
                              <a:gd name="connsiteX14" fmla="*/ 672825 w 672825"/>
                              <a:gd name="connsiteY14" fmla="*/ 2743831 h 2797177"/>
                              <a:gd name="connsiteX15" fmla="*/ 670710 w 672825"/>
                              <a:gd name="connsiteY15" fmla="*/ 2797177 h 2797177"/>
                              <a:gd name="connsiteX0" fmla="*/ 670710 w 670710"/>
                              <a:gd name="connsiteY0" fmla="*/ 2797177 h 2797177"/>
                              <a:gd name="connsiteX1" fmla="*/ 179514 w 670710"/>
                              <a:gd name="connsiteY1" fmla="*/ 2786720 h 2797177"/>
                              <a:gd name="connsiteX2" fmla="*/ 2858 w 670710"/>
                              <a:gd name="connsiteY2" fmla="*/ 2596198 h 2797177"/>
                              <a:gd name="connsiteX3" fmla="*/ 0 w 670710"/>
                              <a:gd name="connsiteY3" fmla="*/ 230265 h 2797177"/>
                              <a:gd name="connsiteX4" fmla="*/ 193913 w 670710"/>
                              <a:gd name="connsiteY4" fmla="*/ 36352 h 2797177"/>
                              <a:gd name="connsiteX5" fmla="*/ 313368 w 670710"/>
                              <a:gd name="connsiteY5" fmla="*/ 36352 h 2797177"/>
                              <a:gd name="connsiteX6" fmla="*/ 313368 w 670710"/>
                              <a:gd name="connsiteY6" fmla="*/ 0 h 2797177"/>
                              <a:gd name="connsiteX7" fmla="*/ 443230 w 670710"/>
                              <a:gd name="connsiteY7" fmla="*/ 67943 h 2797177"/>
                              <a:gd name="connsiteX8" fmla="*/ 313368 w 670710"/>
                              <a:gd name="connsiteY8" fmla="*/ 135885 h 2797177"/>
                              <a:gd name="connsiteX9" fmla="*/ 313368 w 670710"/>
                              <a:gd name="connsiteY9" fmla="*/ 99534 h 2797177"/>
                              <a:gd name="connsiteX10" fmla="*/ 193913 w 670710"/>
                              <a:gd name="connsiteY10" fmla="*/ 99534 h 2797177"/>
                              <a:gd name="connsiteX11" fmla="*/ 63182 w 670710"/>
                              <a:gd name="connsiteY11" fmla="*/ 230265 h 2797177"/>
                              <a:gd name="connsiteX12" fmla="*/ 71438 w 670710"/>
                              <a:gd name="connsiteY12" fmla="*/ 2590483 h 2797177"/>
                              <a:gd name="connsiteX13" fmla="*/ 181986 w 670710"/>
                              <a:gd name="connsiteY13" fmla="*/ 2737175 h 2797177"/>
                              <a:gd name="connsiteX14" fmla="*/ 669012 w 670710"/>
                              <a:gd name="connsiteY14" fmla="*/ 2530425 h 2797177"/>
                              <a:gd name="connsiteX15" fmla="*/ 670710 w 670710"/>
                              <a:gd name="connsiteY15" fmla="*/ 2797177 h 2797177"/>
                              <a:gd name="connsiteX0" fmla="*/ 670710 w 670710"/>
                              <a:gd name="connsiteY0" fmla="*/ 2797177 h 2797177"/>
                              <a:gd name="connsiteX1" fmla="*/ 179514 w 670710"/>
                              <a:gd name="connsiteY1" fmla="*/ 2786720 h 2797177"/>
                              <a:gd name="connsiteX2" fmla="*/ 2858 w 670710"/>
                              <a:gd name="connsiteY2" fmla="*/ 2596198 h 2797177"/>
                              <a:gd name="connsiteX3" fmla="*/ 0 w 670710"/>
                              <a:gd name="connsiteY3" fmla="*/ 230265 h 2797177"/>
                              <a:gd name="connsiteX4" fmla="*/ 193913 w 670710"/>
                              <a:gd name="connsiteY4" fmla="*/ 36352 h 2797177"/>
                              <a:gd name="connsiteX5" fmla="*/ 313368 w 670710"/>
                              <a:gd name="connsiteY5" fmla="*/ 36352 h 2797177"/>
                              <a:gd name="connsiteX6" fmla="*/ 313368 w 670710"/>
                              <a:gd name="connsiteY6" fmla="*/ 0 h 2797177"/>
                              <a:gd name="connsiteX7" fmla="*/ 443230 w 670710"/>
                              <a:gd name="connsiteY7" fmla="*/ 67943 h 2797177"/>
                              <a:gd name="connsiteX8" fmla="*/ 313368 w 670710"/>
                              <a:gd name="connsiteY8" fmla="*/ 135885 h 2797177"/>
                              <a:gd name="connsiteX9" fmla="*/ 313368 w 670710"/>
                              <a:gd name="connsiteY9" fmla="*/ 99534 h 2797177"/>
                              <a:gd name="connsiteX10" fmla="*/ 193913 w 670710"/>
                              <a:gd name="connsiteY10" fmla="*/ 99534 h 2797177"/>
                              <a:gd name="connsiteX11" fmla="*/ 63182 w 670710"/>
                              <a:gd name="connsiteY11" fmla="*/ 230265 h 2797177"/>
                              <a:gd name="connsiteX12" fmla="*/ 71438 w 670710"/>
                              <a:gd name="connsiteY12" fmla="*/ 2590483 h 2797177"/>
                              <a:gd name="connsiteX13" fmla="*/ 181986 w 670710"/>
                              <a:gd name="connsiteY13" fmla="*/ 2737175 h 2797177"/>
                              <a:gd name="connsiteX14" fmla="*/ 669012 w 670710"/>
                              <a:gd name="connsiteY14" fmla="*/ 2530425 h 2797177"/>
                              <a:gd name="connsiteX15" fmla="*/ 670710 w 670710"/>
                              <a:gd name="connsiteY15" fmla="*/ 2797177 h 2797177"/>
                              <a:gd name="connsiteX0" fmla="*/ 670710 w 670710"/>
                              <a:gd name="connsiteY0" fmla="*/ 2797177 h 2797177"/>
                              <a:gd name="connsiteX1" fmla="*/ 179514 w 670710"/>
                              <a:gd name="connsiteY1" fmla="*/ 2786720 h 2797177"/>
                              <a:gd name="connsiteX2" fmla="*/ 2858 w 670710"/>
                              <a:gd name="connsiteY2" fmla="*/ 2596198 h 2797177"/>
                              <a:gd name="connsiteX3" fmla="*/ 0 w 670710"/>
                              <a:gd name="connsiteY3" fmla="*/ 230265 h 2797177"/>
                              <a:gd name="connsiteX4" fmla="*/ 193913 w 670710"/>
                              <a:gd name="connsiteY4" fmla="*/ 36352 h 2797177"/>
                              <a:gd name="connsiteX5" fmla="*/ 313368 w 670710"/>
                              <a:gd name="connsiteY5" fmla="*/ 36352 h 2797177"/>
                              <a:gd name="connsiteX6" fmla="*/ 313368 w 670710"/>
                              <a:gd name="connsiteY6" fmla="*/ 0 h 2797177"/>
                              <a:gd name="connsiteX7" fmla="*/ 443230 w 670710"/>
                              <a:gd name="connsiteY7" fmla="*/ 67943 h 2797177"/>
                              <a:gd name="connsiteX8" fmla="*/ 313368 w 670710"/>
                              <a:gd name="connsiteY8" fmla="*/ 135885 h 2797177"/>
                              <a:gd name="connsiteX9" fmla="*/ 313368 w 670710"/>
                              <a:gd name="connsiteY9" fmla="*/ 99534 h 2797177"/>
                              <a:gd name="connsiteX10" fmla="*/ 193913 w 670710"/>
                              <a:gd name="connsiteY10" fmla="*/ 99534 h 2797177"/>
                              <a:gd name="connsiteX11" fmla="*/ 63182 w 670710"/>
                              <a:gd name="connsiteY11" fmla="*/ 230265 h 2797177"/>
                              <a:gd name="connsiteX12" fmla="*/ 71438 w 670710"/>
                              <a:gd name="connsiteY12" fmla="*/ 2590483 h 2797177"/>
                              <a:gd name="connsiteX13" fmla="*/ 181986 w 670710"/>
                              <a:gd name="connsiteY13" fmla="*/ 2737175 h 2797177"/>
                              <a:gd name="connsiteX14" fmla="*/ 512618 w 670710"/>
                              <a:gd name="connsiteY14" fmla="*/ 2511373 h 2797177"/>
                              <a:gd name="connsiteX15" fmla="*/ 670710 w 670710"/>
                              <a:gd name="connsiteY15" fmla="*/ 2797177 h 2797177"/>
                              <a:gd name="connsiteX0" fmla="*/ 670710 w 670711"/>
                              <a:gd name="connsiteY0" fmla="*/ 2797177 h 2797177"/>
                              <a:gd name="connsiteX1" fmla="*/ 179514 w 670711"/>
                              <a:gd name="connsiteY1" fmla="*/ 2786720 h 2797177"/>
                              <a:gd name="connsiteX2" fmla="*/ 2858 w 670711"/>
                              <a:gd name="connsiteY2" fmla="*/ 2596198 h 2797177"/>
                              <a:gd name="connsiteX3" fmla="*/ 0 w 670711"/>
                              <a:gd name="connsiteY3" fmla="*/ 230265 h 2797177"/>
                              <a:gd name="connsiteX4" fmla="*/ 193913 w 670711"/>
                              <a:gd name="connsiteY4" fmla="*/ 36352 h 2797177"/>
                              <a:gd name="connsiteX5" fmla="*/ 313368 w 670711"/>
                              <a:gd name="connsiteY5" fmla="*/ 36352 h 2797177"/>
                              <a:gd name="connsiteX6" fmla="*/ 313368 w 670711"/>
                              <a:gd name="connsiteY6" fmla="*/ 0 h 2797177"/>
                              <a:gd name="connsiteX7" fmla="*/ 443230 w 670711"/>
                              <a:gd name="connsiteY7" fmla="*/ 67943 h 2797177"/>
                              <a:gd name="connsiteX8" fmla="*/ 313368 w 670711"/>
                              <a:gd name="connsiteY8" fmla="*/ 135885 h 2797177"/>
                              <a:gd name="connsiteX9" fmla="*/ 313368 w 670711"/>
                              <a:gd name="connsiteY9" fmla="*/ 99534 h 2797177"/>
                              <a:gd name="connsiteX10" fmla="*/ 193913 w 670711"/>
                              <a:gd name="connsiteY10" fmla="*/ 99534 h 2797177"/>
                              <a:gd name="connsiteX11" fmla="*/ 63182 w 670711"/>
                              <a:gd name="connsiteY11" fmla="*/ 230265 h 2797177"/>
                              <a:gd name="connsiteX12" fmla="*/ 71438 w 670711"/>
                              <a:gd name="connsiteY12" fmla="*/ 2590483 h 2797177"/>
                              <a:gd name="connsiteX13" fmla="*/ 181986 w 670711"/>
                              <a:gd name="connsiteY13" fmla="*/ 2737175 h 2797177"/>
                              <a:gd name="connsiteX14" fmla="*/ 670711 w 670711"/>
                              <a:gd name="connsiteY14" fmla="*/ 2740027 h 2797177"/>
                              <a:gd name="connsiteX15" fmla="*/ 670710 w 670711"/>
                              <a:gd name="connsiteY15" fmla="*/ 2797177 h 2797177"/>
                              <a:gd name="connsiteX0" fmla="*/ 670710 w 670711"/>
                              <a:gd name="connsiteY0" fmla="*/ 2797177 h 2797177"/>
                              <a:gd name="connsiteX1" fmla="*/ 179514 w 670711"/>
                              <a:gd name="connsiteY1" fmla="*/ 2786720 h 2797177"/>
                              <a:gd name="connsiteX2" fmla="*/ 2858 w 670711"/>
                              <a:gd name="connsiteY2" fmla="*/ 2596198 h 2797177"/>
                              <a:gd name="connsiteX3" fmla="*/ 0 w 670711"/>
                              <a:gd name="connsiteY3" fmla="*/ 230265 h 2797177"/>
                              <a:gd name="connsiteX4" fmla="*/ 193913 w 670711"/>
                              <a:gd name="connsiteY4" fmla="*/ 36352 h 2797177"/>
                              <a:gd name="connsiteX5" fmla="*/ 313368 w 670711"/>
                              <a:gd name="connsiteY5" fmla="*/ 36352 h 2797177"/>
                              <a:gd name="connsiteX6" fmla="*/ 313368 w 670711"/>
                              <a:gd name="connsiteY6" fmla="*/ 0 h 2797177"/>
                              <a:gd name="connsiteX7" fmla="*/ 443230 w 670711"/>
                              <a:gd name="connsiteY7" fmla="*/ 67943 h 2797177"/>
                              <a:gd name="connsiteX8" fmla="*/ 313368 w 670711"/>
                              <a:gd name="connsiteY8" fmla="*/ 135885 h 2797177"/>
                              <a:gd name="connsiteX9" fmla="*/ 313368 w 670711"/>
                              <a:gd name="connsiteY9" fmla="*/ 99534 h 2797177"/>
                              <a:gd name="connsiteX10" fmla="*/ 193913 w 670711"/>
                              <a:gd name="connsiteY10" fmla="*/ 99534 h 2797177"/>
                              <a:gd name="connsiteX11" fmla="*/ 63182 w 670711"/>
                              <a:gd name="connsiteY11" fmla="*/ 230265 h 2797177"/>
                              <a:gd name="connsiteX12" fmla="*/ 71438 w 670711"/>
                              <a:gd name="connsiteY12" fmla="*/ 2590483 h 2797177"/>
                              <a:gd name="connsiteX13" fmla="*/ 181986 w 670711"/>
                              <a:gd name="connsiteY13" fmla="*/ 2737175 h 2797177"/>
                              <a:gd name="connsiteX14" fmla="*/ 670711 w 670711"/>
                              <a:gd name="connsiteY14" fmla="*/ 2740027 h 2797177"/>
                              <a:gd name="connsiteX15" fmla="*/ 670710 w 670711"/>
                              <a:gd name="connsiteY15" fmla="*/ 2797177 h 27971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70711" h="2797177">
                                <a:moveTo>
                                  <a:pt x="670710" y="2797177"/>
                                </a:moveTo>
                                <a:lnTo>
                                  <a:pt x="179514" y="2786720"/>
                                </a:lnTo>
                                <a:cubicBezTo>
                                  <a:pt x="57926" y="2793244"/>
                                  <a:pt x="3334" y="2667187"/>
                                  <a:pt x="2858" y="2596198"/>
                                </a:cubicBezTo>
                                <a:cubicBezTo>
                                  <a:pt x="1905" y="1807554"/>
                                  <a:pt x="953" y="1018909"/>
                                  <a:pt x="0" y="230265"/>
                                </a:cubicBezTo>
                                <a:cubicBezTo>
                                  <a:pt x="0" y="123170"/>
                                  <a:pt x="86818" y="36352"/>
                                  <a:pt x="193913" y="36352"/>
                                </a:cubicBezTo>
                                <a:lnTo>
                                  <a:pt x="313368" y="36352"/>
                                </a:lnTo>
                                <a:lnTo>
                                  <a:pt x="313368" y="0"/>
                                </a:lnTo>
                                <a:lnTo>
                                  <a:pt x="443230" y="67943"/>
                                </a:lnTo>
                                <a:lnTo>
                                  <a:pt x="313368" y="135885"/>
                                </a:lnTo>
                                <a:lnTo>
                                  <a:pt x="313368" y="99534"/>
                                </a:lnTo>
                                <a:lnTo>
                                  <a:pt x="193913" y="99534"/>
                                </a:lnTo>
                                <a:cubicBezTo>
                                  <a:pt x="121712" y="99534"/>
                                  <a:pt x="63182" y="158064"/>
                                  <a:pt x="63182" y="230265"/>
                                </a:cubicBezTo>
                                <a:lnTo>
                                  <a:pt x="71438" y="2590483"/>
                                </a:lnTo>
                                <a:cubicBezTo>
                                  <a:pt x="73979" y="2677493"/>
                                  <a:pt x="103205" y="2737825"/>
                                  <a:pt x="181986" y="2737175"/>
                                </a:cubicBezTo>
                                <a:lnTo>
                                  <a:pt x="670711" y="2740027"/>
                                </a:lnTo>
                                <a:cubicBezTo>
                                  <a:pt x="670711" y="2759077"/>
                                  <a:pt x="670710" y="2778127"/>
                                  <a:pt x="670710" y="2797177"/>
                                </a:cubicBezTo>
                                <a:close/>
                              </a:path>
                            </a:pathLst>
                          </a:cu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961245" w14:textId="77777777" w:rsidR="00C44087" w:rsidRPr="00D53A98" w:rsidRDefault="00C44087" w:rsidP="00D53A9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2"/>
                        <wps:cNvSpPr txBox="1">
                          <a:spLocks noChangeArrowheads="1"/>
                        </wps:cNvSpPr>
                        <wps:spPr bwMode="auto">
                          <a:xfrm>
                            <a:off x="3781425" y="2009775"/>
                            <a:ext cx="840740" cy="285115"/>
                          </a:xfrm>
                          <a:prstGeom prst="rect">
                            <a:avLst/>
                          </a:prstGeom>
                          <a:noFill/>
                          <a:ln w="9525">
                            <a:noFill/>
                            <a:miter lim="800000"/>
                            <a:headEnd/>
                            <a:tailEnd/>
                          </a:ln>
                        </wps:spPr>
                        <wps:txbx>
                          <w:txbxContent>
                            <w:p w14:paraId="2327A1B5" w14:textId="13D67C89" w:rsidR="00C44087" w:rsidRPr="00D53A98" w:rsidRDefault="00C44087">
                              <w:pPr>
                                <w:rPr>
                                  <w:color w:val="000000" w:themeColor="text1"/>
                                </w:rPr>
                              </w:pPr>
                              <w:r w:rsidRPr="00D53A98">
                                <w:rPr>
                                  <w:color w:val="000000" w:themeColor="text1"/>
                                </w:rPr>
                                <w:t>Feedback</w:t>
                              </w:r>
                            </w:p>
                          </w:txbxContent>
                        </wps:txbx>
                        <wps:bodyPr rot="0" vert="horz" wrap="square" lIns="91440" tIns="45720" rIns="91440" bIns="45720" anchor="t" anchorCtr="0">
                          <a:spAutoFit/>
                        </wps:bodyPr>
                      </wps:wsp>
                    </wpg:wgp>
                  </a:graphicData>
                </a:graphic>
              </wp:anchor>
            </w:drawing>
          </mc:Choice>
          <mc:Fallback>
            <w:pict>
              <v:group w14:anchorId="7636C081" id="Group 40" o:spid="_x0000_s1026" style="position:absolute;left:0;text-align:left;margin-left:1.5pt;margin-top:1.85pt;width:481.45pt;height:181.25pt;z-index:251777024" coordsize="61145,2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">
                <v:group id="Group 23" o:spid="_x0000_s1027" style="position:absolute;width:61145;height:23018" coordsize="61145,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oundrect id="Rounded Rectangle 3" o:spid="_x0000_s1028" style="position:absolute;width:9048;height:5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T8DMAA&#10;AADaAAAADwAAAGRycy9kb3ducmV2LnhtbERPTWsCMRC9C/6HMAVvmq2ClK1RSkHQlrJUBelt2IzZ&#10;xWSyJKlu++tNoeDx8b4Xq95ZcaEQW88KHicFCOLa65aNgsN+PX4CEROyRuuZFPxQhNVyOFhgqf2V&#10;P+myS0bkEI4lKmhS6kopY92QwzjxHXHmTj44TBkGI3XAaw53Vk6LYi4dtpwbGuzotaH6vPt2eUal&#10;f3Wwb9vK2HUwX/Wx+ng/KjV66F+eQSTq0138795oBTP4u5L9IJ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T8DMAAAADaAAAADwAAAAAAAAAAAAAAAACYAgAAZHJzL2Rvd25y&#10;ZXYueG1sUEsFBgAAAAAEAAQA9QAAAIUDAAAAAA==&#10;" fillcolor="white [3212]" strokecolor="#1f4d78 [1604]" strokeweight="2.25pt">
                    <v:stroke joinstyle="miter"/>
                    <v:textbox>
                      <w:txbxContent>
                        <w:p w14:paraId="4B921F93" w14:textId="1ED7D014" w:rsidR="00C44087" w:rsidRPr="00D53A98" w:rsidRDefault="00C44087" w:rsidP="00D53A98">
                          <w:pPr>
                            <w:jc w:val="center"/>
                            <w:rPr>
                              <w:color w:val="000000" w:themeColor="text1"/>
                              <w:lang w:val="en-US"/>
                            </w:rPr>
                          </w:pPr>
                          <w:r w:rsidRPr="00D53A98">
                            <w:rPr>
                              <w:color w:val="000000" w:themeColor="text1"/>
                              <w:lang w:val="en-US"/>
                            </w:rPr>
                            <w:t>AMP Database</w:t>
                          </w:r>
                        </w:p>
                      </w:txbxContent>
                    </v:textbox>
                  </v:roundrect>
                  <v:shape id="Bent Arrow 7" o:spid="_x0000_s1029" style="position:absolute;left:3419;top:5327;width:12287;height:3524;rotation:180;flip:x;visibility:visible;mso-wrap-style:square;v-text-anchor:middle" coordsize="1228725,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Tl8MA&#10;AADaAAAADwAAAGRycy9kb3ducmV2LnhtbESPQWsCMRSE7wX/Q3gFb5qt2Cpbo6gg9CZVofT2dvO6&#10;2TZ5WZKo2/76piD0OMzMN8xi1TsrLhRi61nBw7gAQVx73XKj4HTcjeYgYkLWaD2Tgm+KsFoO7hZY&#10;an/lV7ocUiMyhGOJCkxKXSllrA05jGPfEWfvwweHKcvQSB3wmuHOyklRPEmHLecFgx1tDdVfh7NT&#10;UMy3+7B/ezcb+rSV9T+Vnz5WSg3v+/UziER9+g/f2i9awQz+ruQb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ZTl8MAAADaAAAADwAAAAAAAAAAAAAAAACYAgAAZHJzL2Rv&#10;d25yZXYueG1sUEsFBgAAAAAEAAQA9QAAAIgDAAAAAA==&#10;" path="m,352425l,194408c,109253,69031,40222,154186,40222r986433,l1140619,r88106,84275l1140619,168551r,-40222l154186,128329v-36495,,-66080,29585,-66080,66080l88106,352425,,352425xe" fillcolor="#5b9bd5 [3204]" strokecolor="#1f4d78 [1604]" strokeweight="1pt">
                    <v:stroke joinstyle="miter"/>
                    <v:path arrowok="t" o:connecttype="custom" o:connectlocs="0,352425;0,194408;154186,40222;1140619,40222;1140619,0;1228725,84275;1140619,168551;1140619,128329;154186,128329;88106,194409;88106,352425;0,352425" o:connectangles="0,0,0,0,0,0,0,0,0,0,0,0"/>
                  </v:shape>
                  <v:roundrect id="Rounded Rectangle 4" o:spid="_x0000_s1030" style="position:absolute;top:8905;width:9048;height:5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1keMAA&#10;AADaAAAADwAAAGRycy9kb3ducmV2LnhtbERPTWsCMRC9C/6HMAVvmq2IlK1RSkHQlrJUBelt2IzZ&#10;xWSyJKlu++tNoeDx8b4Xq95ZcaEQW88KHicFCOLa65aNgsN+PX4CEROyRuuZFPxQhNVyOFhgqf2V&#10;P+myS0bkEI4lKmhS6kopY92QwzjxHXHmTj44TBkGI3XAaw53Vk6LYi4dtpwbGuzotaH6vPt2eUal&#10;f3Wwb9vK2HUwX/Wx+ng/KjV66F+eQSTq0138795oBTP4u5L9IJ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1keMAAAADaAAAADwAAAAAAAAAAAAAAAACYAgAAZHJzL2Rvd25y&#10;ZXYueG1sUEsFBgAAAAAEAAQA9QAAAIUDAAAAAA==&#10;" fillcolor="white [3212]" strokecolor="#1f4d78 [1604]" strokeweight="2.25pt">
                    <v:stroke joinstyle="miter"/>
                    <v:textbox>
                      <w:txbxContent>
                        <w:p w14:paraId="765E5E1C" w14:textId="77777777" w:rsidR="00C44087" w:rsidRPr="00D53A98" w:rsidRDefault="00C44087" w:rsidP="00D53A98">
                          <w:pPr>
                            <w:jc w:val="center"/>
                            <w:rPr>
                              <w:color w:val="000000" w:themeColor="text1"/>
                              <w:lang w:val="en-US"/>
                            </w:rPr>
                          </w:pPr>
                          <w:r w:rsidRPr="00D53A98">
                            <w:rPr>
                              <w:color w:val="000000" w:themeColor="text1"/>
                              <w:lang w:val="en-US"/>
                            </w:rPr>
                            <w:t>AMP Database</w:t>
                          </w:r>
                        </w:p>
                      </w:txbxContent>
                    </v:textbox>
                  </v:roundrect>
                  <v:roundrect id="Rounded Rectangle 11" o:spid="_x0000_s1031" style="position:absolute;left:15982;top:5168;width:9156;height:123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xEr8A&#10;AADbAAAADwAAAGRycy9kb3ducmV2LnhtbERP22rCQBB9F/oPyxR8042CtaRugpQW2heh0Q+YZqe5&#10;mJ0J2TWmf+8WCr7N4Vxnl0+uUyMNvhE2sFomoIhLsQ1XBk7H98UzKB+QLXbCZOCXPOTZw2yHqZUr&#10;f9FYhErFEPYpGqhD6FOtfVmTQ7+UnjhyPzI4DBEOlbYDXmO46/Q6SZ60w4ZjQ409vdZUnouLMzB+&#10;v32Kq9jKwcmmLaZWum1rzPxx2r+ACjSFu/jf/WHj/BX8/RIP0Nk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tTESvwAAANsAAAAPAAAAAAAAAAAAAAAAAJgCAABkcnMvZG93bnJl&#10;di54bWxQSwUGAAAAAAQABAD1AAAAhAMAAAAA&#10;" fillcolor="white [3212]" strokecolor="#002060" strokeweight="4.5pt">
                    <v:stroke joinstyle="miter"/>
                    <v:textbox>
                      <w:txbxContent>
                        <w:p w14:paraId="72FD91E4" w14:textId="3DC0D41D" w:rsidR="00C44087" w:rsidRPr="00D53A98" w:rsidRDefault="00C44087" w:rsidP="00D53A98">
                          <w:pPr>
                            <w:jc w:val="center"/>
                            <w:rPr>
                              <w:color w:val="000000" w:themeColor="text1"/>
                              <w:lang w:val="en-US"/>
                            </w:rPr>
                          </w:pPr>
                          <w:r w:rsidRPr="00D53A98">
                            <w:rPr>
                              <w:color w:val="000000" w:themeColor="text1"/>
                              <w:lang w:val="en-US"/>
                            </w:rPr>
                            <w:t>Training Data Set</w:t>
                          </w:r>
                        </w:p>
                      </w:txbxContent>
                    </v:textbox>
                  </v:roundrect>
                  <v:shape id="Bent Arrow 10" o:spid="_x0000_s1032" style="position:absolute;left:9064;top:10734;width:6649;height:1685;rotation:180;flip:x y;visibility:visible;mso-wrap-style:square;v-text-anchor:middle" coordsize="664883,168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gSMMA&#10;AADbAAAADwAAAGRycy9kb3ducmV2LnhtbESPQWvDMAyF74X9B6PCbovTUcbI6pZSVtihl2ZjsJtm&#10;q0lILAfbbbN/Xx0GvUm8p/c+rTaTH9SFYuoCG1gUJShiG1zHjYGvz/3TK6iUkR0OgcnAHyXYrB9m&#10;K6xcuPKRLnVulIRwqtBAm/NYaZ1sSx5TEUZi0U4hesyyxka7iFcJ94N+LssX7bFjaWhxpF1Ltq/P&#10;3sAel8P34pf1OfbvJdre/tT1wZjH+bR9A5Vpynfz//WHE3yhl19kAL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mgSMMAAADbAAAADwAAAAAAAAAAAAAAAACYAgAAZHJzL2Rv&#10;d25yZXYueG1sUEsFBgAAAAAEAAQA9QAAAIgDAAAAAA==&#10;" path="m46,132839c-307,93754,1534,76182,1181,37097r575596,3125l576777,r88106,84275l576777,168551r,-40222l46,132839xe" fillcolor="#5b9bd5 [3204]" strokecolor="#1f4d78 [1604]" strokeweight="1pt">
                    <v:stroke joinstyle="miter"/>
                    <v:path arrowok="t" o:connecttype="custom" o:connectlocs="46,132839;1181,37097;576777,40222;576777,0;664883,84275;576777,168551;576777,128329;46,132839" o:connectangles="0,0,0,0,0,0,0,0"/>
                  </v:shape>
                  <v:shape id="Bent Arrow 9" o:spid="_x0000_s1033" style="position:absolute;left:3419;top:14391;width:12287;height:3525;rotation:180;flip:x y;visibility:visible;mso-wrap-style:square;v-text-anchor:middle" coordsize="1228725,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DZsEA&#10;AADaAAAADwAAAGRycy9kb3ducmV2LnhtbESP0YrCMBRE3xf8h3AF39ZUH8StRhFREEFxqx9waa5t&#10;tbkpTazVrzeC4OMwM2eY6bw1pWiodoVlBYN+BII4tbrgTMHpuP4dg3AeWWNpmRQ8yMF81vmZYqzt&#10;nf+pSXwmAoRdjApy76tYSpfmZND1bUUcvLOtDfog60zqGu8Bbko5jKKRNFhwWMixomVO6TW5GQXb&#10;y2p3cXrp96utXstn2zwPt7NSvW67mIDw1Ppv+NPeaAV/8L4Sbo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Gg2bBAAAA2gAAAA8AAAAAAAAAAAAAAAAAmAIAAGRycy9kb3du&#10;cmV2LnhtbFBLBQYAAAAABAAEAPUAAACGAwAAAAA=&#10;" path="m,352425l,194408c,109253,69031,40222,154186,40222r986433,l1140619,r88106,84275l1140619,168551r,-40222l154186,128329v-36495,,-66080,29585,-66080,66080l88106,352425,,352425xe" fillcolor="#5b9bd5 [3204]" strokecolor="#1f4d78 [1604]" strokeweight="1pt">
                    <v:stroke joinstyle="miter"/>
                    <v:path arrowok="t" o:connecttype="custom" o:connectlocs="0,352425;0,194408;154186,40222;1140619,40222;1140619,0;1228725,84275;1140619,168551;1140619,128329;154186,128329;88106,194409;88106,352425;0,352425" o:connectangles="0,0,0,0,0,0,0,0,0,0,0,0"/>
                  </v:shape>
                  <v:roundrect id="Rounded Rectangle 5" o:spid="_x0000_s1034" style="position:absolute;top:17969;width:9048;height:50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B48AA&#10;AADaAAAADwAAAGRycy9kb3ducmV2LnhtbERPTWsCMRC9C/6HMAVvmq2glK1RSkHQlrJUBelt2IzZ&#10;xWSyJKlu++tNoeDx8b4Xq95ZcaEQW88KHicFCOLa65aNgsN+PX4CEROyRuuZFPxQhNVyOFhgqf2V&#10;P+myS0bkEI4lKmhS6kopY92QwzjxHXHmTj44TBkGI3XAaw53Vk6LYi4dtpwbGuzotaH6vPt2eUal&#10;f3Wwb9vK2HUwX/Wx+ng/KjV66F+eQSTq0138795oBTP4u5L9IJ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HB48AAAADaAAAADwAAAAAAAAAAAAAAAACYAgAAZHJzL2Rvd25y&#10;ZXYueG1sUEsFBgAAAAAEAAQA9QAAAIUDAAAAAA==&#10;" fillcolor="white [3212]" strokecolor="#1f4d78 [1604]" strokeweight="2.25pt">
                    <v:stroke joinstyle="miter"/>
                    <v:textbox>
                      <w:txbxContent>
                        <w:p w14:paraId="4457445E" w14:textId="77777777" w:rsidR="00C44087" w:rsidRPr="00D53A98" w:rsidRDefault="00C44087" w:rsidP="00D53A98">
                          <w:pPr>
                            <w:jc w:val="center"/>
                            <w:rPr>
                              <w:color w:val="000000" w:themeColor="text1"/>
                              <w:lang w:val="en-US"/>
                            </w:rPr>
                          </w:pPr>
                          <w:r w:rsidRPr="00D53A98">
                            <w:rPr>
                              <w:color w:val="000000" w:themeColor="text1"/>
                              <w:lang w:val="en-US"/>
                            </w:rPr>
                            <w:t>AMP Database</w:t>
                          </w:r>
                        </w:p>
                      </w:txbxContent>
                    </v:textbox>
                  </v:roundrect>
                  <v:roundrect id="Rounded Rectangle 14" o:spid="_x0000_s1035" style="position:absolute;left:27034;top:9064;width:8763;height:6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FL8EA&#10;AADbAAAADwAAAGRycy9kb3ducmV2LnhtbERP22oCMRB9L/gPYYS+1cTSelmNIgVpQUrpKvg6bMbN&#10;4mayJFG3f28Khb7N4Vxnue5dK64UYuNZw3ikQBBX3jRcazjst08zEDEhG2w9k4YfirBeDR6WWBh/&#10;42+6lqkWOYRjgRpsSl0hZawsOYwj3xFn7uSDw5RhqKUJeMvhrpXPSk2kw4Zzg8WO3ixV5/LiNOzL&#10;uZqa1/ddsvNP24dKHb8mB60fh/1mASJRn/7Ff+4Pk+e/wO8v+Q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JBS/BAAAA2wAAAA8AAAAAAAAAAAAAAAAAmAIAAGRycy9kb3du&#10;cmV2LnhtbFBLBQYAAAAABAAEAPUAAACGAwAAAAA=&#10;" fillcolor="white [3212]" strokecolor="#ffc000" strokeweight="4.5pt">
                    <v:stroke joinstyle="miter"/>
                    <v:textbox>
                      <w:txbxContent>
                        <w:p w14:paraId="33E1DDA4" w14:textId="226CC03A" w:rsidR="00C44087" w:rsidRPr="00D53A98" w:rsidRDefault="00C44087" w:rsidP="00D53A98">
                          <w:pPr>
                            <w:jc w:val="center"/>
                            <w:rPr>
                              <w:color w:val="000000" w:themeColor="text1"/>
                              <w:lang w:val="en-US"/>
                            </w:rPr>
                          </w:pPr>
                          <w:r w:rsidRPr="00D53A98">
                            <w:rPr>
                              <w:color w:val="000000" w:themeColor="text1"/>
                              <w:lang w:val="en-US"/>
                            </w:rPr>
                            <w:t>ML Model</w:t>
                          </w:r>
                        </w:p>
                      </w:txbxContent>
                    </v:textbox>
                  </v:roundrect>
                  <v:shape id="Bent Arrow 15" o:spid="_x0000_s1036" style="position:absolute;left:27471;top:4333;width:2333;height:6392;rotation:-90;flip:x y;visibility:visible;mso-wrap-style:square;v-text-anchor:middle" coordsize="233365,63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1cUA&#10;AADbAAAADwAAAGRycy9kb3ducmV2LnhtbESPQWvCQBCF74X+h2UKXkqzUbCUmFVCqaKealLB45Ad&#10;k7TZ2ZBdTfz3bqHQ2wzvzfvepKvRtOJKvWssK5hGMQji0uqGKwVfxfrlDYTzyBpby6TgRg5Wy8eH&#10;FBNtBz7QNfeVCCHsElRQe98lUrqyJoMush1x0M62N+jD2ldS9ziEcNPKWRy/SoMNB0KNHb3XVP7k&#10;FxMg5lSUh93zZ+Y1HTeZGb4/9plSk6cxW4DwNPp/89/1Vof6c/j9JQw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mbVxQAAANsAAAAPAAAAAAAAAAAAAAAAAJgCAABkcnMv&#10;ZG93bnJldi54bWxQSwUGAAAAAAQABAD1AAAAigMAAAAA&#10;" path="m,639127l,128731c,72344,45710,26634,102097,26634r72927,l175024,r58341,55805l175024,111609r,-26634l102097,84975v-24166,,-43756,19590,-43756,43756l58341,639127,,639127xe" fillcolor="#2e74b5 [2404]" strokecolor="#44546a [3215]" strokeweight="1pt">
                    <v:stroke joinstyle="miter"/>
                    <v:path arrowok="t" o:connecttype="custom" o:connectlocs="0,639127;0,128731;102097,26634;175024,26634;175024,0;233365,55805;175024,111609;175024,84975;102097,84975;58341,128731;58341,639127;0,639127" o:connectangles="0,0,0,0,0,0,0,0,0,0,0,0"/>
                  </v:shape>
                  <v:shape id="Bent Arrow 16" o:spid="_x0000_s1037" style="position:absolute;left:34667;top:11767;width:2731;height:10331;rotation:-90;flip:x;visibility:visible;mso-wrap-style:square;v-text-anchor:middle" coordsize="273781,1188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2jMAA&#10;AADbAAAADwAAAGRycy9kb3ducmV2LnhtbERP24rCMBB9F/yHMMK+aeqyiFajyLLCgog2+gFDM7bF&#10;ZlKarO3+vREE3+ZwrrPa9LYWd2p95VjBdJKAIM6dqbhQcDnvxnMQPiAbrB2Tgn/ysFkPBytMjes4&#10;o7sOhYgh7FNUUIbQpFL6vCSLfuIa4shdXWsxRNgW0rTYxXBby88kmUmLFceGEhv6Lim/6T+r4Jid&#10;L07vfuReL/TX9rg48e3QKfUx6rdLEIH68Ba/3L8mzp/B85d4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A2jMAAAADbAAAADwAAAAAAAAAAAAAAAACYAgAAZHJzL2Rvd25y&#10;ZXYueG1sUEsFBgAAAAAEAAQA9QAAAIUDAAAAAA==&#10;" path="m273781,1188039r-162848,c51001,1187683,-197,1117386,,1061199l2970,128731c2970,72344,48680,26634,105067,26634r72927,l177994,r58341,55805l177994,111609r,-26634l105067,84975v-24166,,-43756,19590,-43756,43756c59568,424858,59774,763854,58031,1059981v-715,29157,23897,70062,52426,64174l273781,1124380r,63659xe" fillcolor="#2e74b5 [2404]" strokecolor="#44546a [3215]" strokeweight="1pt">
                    <v:stroke joinstyle="miter"/>
                    <v:path arrowok="t" o:connecttype="custom" o:connectlocs="273050,1033034;110637,1033034;0,922743;2962,111935;104786,23159;177519,23159;177519,0;235704,48524;177519,97047;177519,73888;104786,73888;61147,111935;57876,921684;110162,977485;273050,977681;273050,1033034" o:connectangles="0,0,0,0,0,0,0,0,0,0,0,0,0,0,0,0"/>
                  </v:shape>
                  <v:roundrect id="Rounded Rectangle 17" o:spid="_x0000_s1038" style="position:absolute;left:37450;top:12483;width:11609;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ZXsIA&#10;AADbAAAADwAAAGRycy9kb3ducmV2LnhtbERPTWvCQBC9F/wPyxR6a3ZjxUp0I2IptN7Ugh7H7DRJ&#10;m50N2dXEf+8WCt7m8T5nsRxsIy7U+dqxhjRRIIgLZ2ouNXzt359nIHxANtg4Jg1X8rDMRw8LzIzr&#10;eUuXXShFDGGfoYYqhDaT0hcVWfSJa4kj9+06iyHCrpSmwz6G20aOlZpKizXHhgpbWldU/O7OVsOb&#10;MtOi94ft4fTzWb8oMzlv0qPWT4/Dag4i0BDu4n/3h4nzX+Hvl3i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llewgAAANsAAAAPAAAAAAAAAAAAAAAAAJgCAABkcnMvZG93&#10;bnJldi54bWxQSwUGAAAAAAQABAD1AAAAhwMAAAAA&#10;" fillcolor="white [3212]" strokecolor="red" strokeweight="4.5pt">
                    <v:stroke joinstyle="miter"/>
                    <v:textbox>
                      <w:txbxContent>
                        <w:p w14:paraId="1B733BBD" w14:textId="79C6F3A2" w:rsidR="00C44087" w:rsidRPr="00D53A98" w:rsidRDefault="00C44087" w:rsidP="00D53A98">
                          <w:pPr>
                            <w:jc w:val="center"/>
                            <w:rPr>
                              <w:color w:val="000000" w:themeColor="text1"/>
                              <w:lang w:val="en-US"/>
                            </w:rPr>
                          </w:pPr>
                          <w:r w:rsidRPr="00D53A98">
                            <w:rPr>
                              <w:color w:val="000000" w:themeColor="text1"/>
                              <w:lang w:val="en-US"/>
                            </w:rPr>
                            <w:t>Prediction</w:t>
                          </w:r>
                        </w:p>
                      </w:txbxContent>
                    </v:textbox>
                  </v:roundrect>
                  <v:shape id="Bent Arrow 18" o:spid="_x0000_s1039" style="position:absolute;left:24927;top:-13876;width:3189;height:34627;rotation:-90;flip:x y;visibility:visible;mso-wrap-style:square;v-text-anchor:middle" coordsize="318925,346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9KsUA&#10;AADbAAAADwAAAGRycy9kb3ducmV2LnhtbESPQWvCQBCF7wX/wzKCl1I3eigSXaWohUKgou3B4zQ7&#10;zQazsyG7xvTfdw6Ctxnem/e+WW0G36ieulgHNjCbZqCIy2Brrgx8f72/LEDFhGyxCUwG/ijCZj16&#10;WmFuw42P1J9SpSSEY44GXEptrnUsHXmM09ASi/YbOo9J1q7StsObhPtGz7PsVXusWRoctrR1VF5O&#10;V2/gUD0fZtufM7X91btib4vL7rMwZjIe3pagEg3pYb5ff1jBF1j5RQ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j0qxQAAANsAAAAPAAAAAAAAAAAAAAAAAJgCAABkcnMv&#10;ZG93bnJldi54bWxQSwUGAAAAAAQABAD1AAAAigMAAAAA&#10;" path="m,3462655l,149206c,66802,66802,,149206,l268225,r,l318925,14974,268225,29947r,l149206,29947c83341,29947,29947,83341,29947,149206r,3313449l,3462655xe" fillcolor="#2e74b5 [2404]" strokecolor="#44546a [3215]" strokeweight="1pt">
                    <v:stroke joinstyle="miter"/>
                    <v:path arrowok="t" o:connecttype="custom" o:connectlocs="0,3462655;0,149206;149206,0;268225,0;268225,0;318925,14974;268225,29947;268225,29947;149206,29947;29947,149206;29947,3462655;0,3462655" o:connectangles="0,0,0,0,0,0,0,0,0,0,0,0"/>
                  </v:shape>
                  <v:roundrect id="Rounded Rectangle 19" o:spid="_x0000_s1040" style="position:absolute;left:37291;top:5486;width:11530;height:30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V7lsAA&#10;AADbAAAADwAAAGRycy9kb3ducmV2LnhtbERPzYrCMBC+C/sOYRb2pmm7oLUaixQELx6qPsDQjG3d&#10;ZtJtonbffiMI3ubj+511PppO3GlwrWUF8SwCQVxZ3XKt4HzaTVMQziNr7CyTgj9ykG8+JmvMtH1w&#10;Sfejr0UIYZehgsb7PpPSVQ0ZdDPbEwfuYgeDPsChlnrARwg3nUyiaC4NthwaGuypaKj6Od6MAlMk&#10;RfJ7XnxrW+4O29in13KeKvX1OW5XIDyN/i1+ufc6zF/C85dw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V7lsAAAADbAAAADwAAAAAAAAAAAAAAAACYAgAAZHJzL2Rvd25y&#10;ZXYueG1sUEsFBgAAAAAEAAQA9QAAAIUDAAAAAA==&#10;" fillcolor="white [3212]" strokecolor="#ed7d31 [3205]" strokeweight="4.5pt">
                    <v:stroke joinstyle="miter"/>
                    <v:textbox>
                      <w:txbxContent>
                        <w:p w14:paraId="4BEC0B0E" w14:textId="43C844F0" w:rsidR="00C44087" w:rsidRPr="00D53A98" w:rsidRDefault="00C44087" w:rsidP="00D53A98">
                          <w:pPr>
                            <w:jc w:val="center"/>
                            <w:rPr>
                              <w:color w:val="000000" w:themeColor="text1"/>
                              <w:lang w:val="en-US"/>
                            </w:rPr>
                          </w:pPr>
                          <w:r w:rsidRPr="00D53A98">
                            <w:rPr>
                              <w:color w:val="000000" w:themeColor="text1"/>
                              <w:lang w:val="en-US"/>
                            </w:rPr>
                            <w:t>Test Data Set</w:t>
                          </w:r>
                        </w:p>
                      </w:txbxContent>
                    </v:textbox>
                  </v:roundrect>
                  <v:shape id="Bent Arrow 20" o:spid="_x0000_s1041" style="position:absolute;left:43970;top:10734;width:7119;height:1456;rotation:180;flip:x y;visibility:visible;mso-wrap-style:square;v-text-anchor:middle" coordsize="711835,145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dz3b8A&#10;AADbAAAADwAAAGRycy9kb3ducmV2LnhtbERPy4rCMBTdD/gP4QruxtQiItUo6lBQBMHHB1yaa1tt&#10;bkqTsdWvNwvB5eG858vOVOJBjSstKxgNIxDEmdUl5wou5/R3CsJ5ZI2VZVLwJAfLRe9njom2LR/p&#10;cfK5CCHsElRQeF8nUrqsIINuaGviwF1tY9AH2ORSN9iGcFPJOIom0mDJoaHAmjYFZffTv1Gwvl0O&#10;x9fYH/ZpuzOT+9Ok9BcrNeh3qxkIT53/ij/urVYQh/XhS/gB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B3PdvwAAANsAAAAPAAAAAAAAAAAAAAAAAJgCAABkcnMvZG93bnJl&#10;di54bWxQSwUGAAAAAAQABAD1AAAAhAMAAAAA&#10;" path="m,145637l,80338c,45149,28527,16622,63716,16622r611710,l675426,r36409,34826l675426,69652r,-16621l63716,53031v-15081,,-27307,12226,-27307,27307l36409,145637,,145637xe" fillcolor="#f4b083 [1941]" strokecolor="red" strokeweight="1pt">
                    <v:stroke joinstyle="miter"/>
                    <v:path arrowok="t" o:connecttype="custom" o:connectlocs="0,145637;0,80338;63716,16622;675426,16622;675426,0;711835,34826;675426,69652;675426,53031;63716,53031;36409,80338;36409,145637;0,145637" o:connectangles="0,0,0,0,0,0,0,0,0,0,0,0"/>
                  </v:shape>
                  <v:shape id="Bent Arrow 21" o:spid="_x0000_s1042" style="position:absolute;left:43970;top:8825;width:7119;height:1457;rotation:180;flip:x;visibility:visible;mso-wrap-style:square;v-text-anchor:middle" coordsize="711835,145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2pMEA&#10;AADbAAAADwAAAGRycy9kb3ducmV2LnhtbESPQYvCMBSE74L/ITzBm6aKrFKNIoKwp8Wtgnp7NM+2&#10;2LyUJNr6783CgsdhZr5hVpvO1OJJzleWFUzGCQji3OqKCwWn4360AOEDssbaMil4kYfNut9bYapt&#10;y7/0zEIhIoR9igrKEJpUSp+XZNCPbUMcvZt1BkOUrpDaYRvhppbTJPmSBiuOCyU2tCspv2cPo+A6&#10;vxSv5GCz8+zHtSekx/GCpNRw0G2XIAJ14RP+b39rBdMJ/H2JP0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UNqTBAAAA2wAAAA8AAAAAAAAAAAAAAAAAmAIAAGRycy9kb3du&#10;cmV2LnhtbFBLBQYAAAAABAAEAPUAAACGAwAAAAA=&#10;" path="m,145637l,80338c,45149,28527,16622,63716,16622r611710,l675426,r36409,34826l675426,69652r,-16621l63716,53031v-15081,,-27307,12226,-27307,27307l36409,145637,,145637xe" fillcolor="#f4b083 [1941]" strokecolor="red" strokeweight="1pt">
                    <v:stroke joinstyle="miter"/>
                    <v:path arrowok="t" o:connecttype="custom" o:connectlocs="0,145637;0,80338;63716,16622;675426,16622;675426,0;711835,34826;675426,69652;675426,53031;63716,53031;36409,80338;36409,145637;0,145637" o:connectangles="0,0,0,0,0,0,0,0,0,0,0,0"/>
                  </v:shape>
                  <v:roundrect id="Rounded Rectangle 22" o:spid="_x0000_s1043" style="position:absolute;left:51285;top:8030;width:9860;height:50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3NcMA&#10;AADbAAAADwAAAGRycy9kb3ducmV2LnhtbESPzWrDMBCE74W+g9hCb7EcY0pwrIQSKMnVTi65Ldb6&#10;h1or11Jiu08fBQo9DjPzDZPvZ9OLO42us6xgHcUgiCurO24UXM5fqw0I55E19pZJwUIO9rvXlxwz&#10;bScu6F76RgQIuwwVtN4PmZSuasmgi+xAHLzajgZ9kGMj9YhTgJteJnH8IQ12HBZaHOjQUvVd3oyC&#10;9Nrb0q6T33Spi3N1mg/Hn2lR6v1t/tyC8DT7//Bf+6QVJAk8v4Qf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V3NcMAAADbAAAADwAAAAAAAAAAAAAAAACYAgAAZHJzL2Rv&#10;d25yZXYueG1sUEsFBgAAAAAEAAQA9QAAAIgDAAAAAA==&#10;" fillcolor="white [3212]" strokecolor="#00b050" strokeweight="4.5pt">
                    <v:stroke joinstyle="miter"/>
                    <v:textbox>
                      <w:txbxContent>
                        <w:p w14:paraId="4767E6F8" w14:textId="014A88E0" w:rsidR="00C44087" w:rsidRPr="00D53A98" w:rsidRDefault="00C44087" w:rsidP="00D53A98">
                          <w:pPr>
                            <w:jc w:val="center"/>
                            <w:rPr>
                              <w:color w:val="000000" w:themeColor="text1"/>
                              <w:lang w:val="en-US"/>
                            </w:rPr>
                          </w:pPr>
                          <w:r w:rsidRPr="00D53A98">
                            <w:rPr>
                              <w:color w:val="000000" w:themeColor="text1"/>
                              <w:lang w:val="en-US"/>
                            </w:rPr>
                            <w:t>Evaluation</w:t>
                          </w:r>
                        </w:p>
                      </w:txbxContent>
                    </v:textbox>
                  </v:roundrect>
                </v:group>
                <v:shape id="Bent Arrow 37" o:spid="_x0000_s1044" style="position:absolute;left:38290;top:2762;width:6703;height:27965;rotation:90;flip:x y;visibility:visible;mso-wrap-style:square;v-text-anchor:middle" coordsize="670711,2797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OdMQA&#10;AADbAAAADwAAAGRycy9kb3ducmV2LnhtbESPQWvCQBSE70L/w/IKvenGFmqIrlJSFREvWr0/s69J&#10;2uzbkF2T1F/vCkKPw8x8w8wWvalES40rLSsYjyIQxJnVJecKjl+rYQzCeWSNlWVS8EcOFvOnwQwT&#10;bTveU3vwuQgQdgkqKLyvEyldVpBBN7I1cfC+bWPQB9nkUjfYBbip5GsUvUuDJYeFAmtKC8p+Dxej&#10;4HP5c6XNOD1nbXqKzW6dX+Ntp9TLc/8xBeGp9//hR3ujFbxN4P4l/A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EznTEAAAA2wAAAA8AAAAAAAAAAAAAAAAAmAIAAGRycy9k&#10;b3ducmV2LnhtbFBLBQYAAAAABAAEAPUAAACJAwAAAAA=&#10;" adj="-11796480,,5400" path="m670710,2797177l179514,2786720c57926,2793244,3334,2667187,2858,2596198,1905,1807554,953,1018909,,230265,,123170,86818,36352,193913,36352r119455,l313368,,443230,67943,313368,135885r,-36351l193913,99534v-72201,,-130731,58530,-130731,130731l71438,2590483v2541,87010,31767,147342,110548,146692l670711,2740027v,19050,-1,38100,-1,57150xe" fillcolor="#92d050" strokecolor="#00b050" strokeweight="1pt">
                  <v:stroke joinstyle="miter"/>
                  <v:formulas/>
                  <v:path arrowok="t" o:connecttype="custom" o:connectlocs="670354,2796542;179419,2786087;2856,2595609;0,230213;193810,36344;313202,36344;313202,0;442995,67928;313202,135854;313202,99511;193810,99511;63148,230213;71400,2589895;181889,2736554;670355,2739405;670354,2796542" o:connectangles="0,0,0,0,0,0,0,0,0,0,0,0,0,0,0,0" textboxrect="0,0,670711,2797177"/>
                  <v:textbox>
                    <w:txbxContent>
                      <w:p w14:paraId="2A961245" w14:textId="77777777" w:rsidR="00C44087" w:rsidRPr="00D53A98" w:rsidRDefault="00C44087" w:rsidP="00D53A98">
                        <w:pPr>
                          <w:jc w:val="center"/>
                          <w:rPr>
                            <w:color w:val="000000" w:themeColor="text1"/>
                          </w:rPr>
                        </w:pPr>
                      </w:p>
                    </w:txbxContent>
                  </v:textbox>
                </v:shape>
                <v:shapetype id="_x0000_t202" coordsize="21600,21600" o:spt="202" path="m,l,21600r21600,l21600,xe">
                  <v:stroke joinstyle="miter"/>
                  <v:path gradientshapeok="t" o:connecttype="rect"/>
                </v:shapetype>
                <v:shape id="Text Box 2" o:spid="_x0000_s1045" type="#_x0000_t202" style="position:absolute;left:37814;top:20097;width:8407;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fit-shape-to-text:t">
                    <w:txbxContent>
                      <w:p w14:paraId="2327A1B5" w14:textId="13D67C89" w:rsidR="00C44087" w:rsidRPr="00D53A98" w:rsidRDefault="00C44087">
                        <w:pPr>
                          <w:rPr>
                            <w:color w:val="000000" w:themeColor="text1"/>
                          </w:rPr>
                        </w:pPr>
                        <w:r w:rsidRPr="00D53A98">
                          <w:rPr>
                            <w:color w:val="000000" w:themeColor="text1"/>
                          </w:rPr>
                          <w:t>Feedback</w:t>
                        </w:r>
                      </w:p>
                    </w:txbxContent>
                  </v:textbox>
                </v:shape>
              </v:group>
            </w:pict>
          </mc:Fallback>
        </mc:AlternateContent>
      </w:r>
    </w:p>
    <w:p w14:paraId="152C53D8" w14:textId="54AEDC24" w:rsidR="009A45E9" w:rsidRDefault="009A45E9">
      <w:pPr>
        <w:pStyle w:val="LO-normal"/>
        <w:jc w:val="both"/>
      </w:pPr>
    </w:p>
    <w:p w14:paraId="60993AAB" w14:textId="52EC24DF" w:rsidR="009A45E9" w:rsidRDefault="009A45E9">
      <w:pPr>
        <w:pStyle w:val="LO-normal"/>
        <w:jc w:val="both"/>
      </w:pPr>
    </w:p>
    <w:p w14:paraId="716C8A9C" w14:textId="44135689" w:rsidR="009A45E9" w:rsidRDefault="009A45E9">
      <w:pPr>
        <w:pStyle w:val="LO-normal"/>
        <w:jc w:val="both"/>
      </w:pPr>
    </w:p>
    <w:p w14:paraId="6C0E705D" w14:textId="38433A59" w:rsidR="009A45E9" w:rsidRDefault="009A45E9">
      <w:pPr>
        <w:pStyle w:val="LO-normal"/>
        <w:jc w:val="both"/>
      </w:pPr>
    </w:p>
    <w:p w14:paraId="00F99CFF" w14:textId="383C990E" w:rsidR="009A45E9" w:rsidRDefault="009A45E9">
      <w:pPr>
        <w:pStyle w:val="LO-normal"/>
        <w:jc w:val="both"/>
      </w:pPr>
    </w:p>
    <w:p w14:paraId="030883D6" w14:textId="36DAD21B" w:rsidR="009A45E9" w:rsidRDefault="009A45E9">
      <w:pPr>
        <w:pStyle w:val="LO-normal"/>
        <w:jc w:val="both"/>
      </w:pPr>
    </w:p>
    <w:p w14:paraId="78B647C3" w14:textId="485E8DD7" w:rsidR="009A45E9" w:rsidRDefault="009A45E9">
      <w:pPr>
        <w:pStyle w:val="LO-normal"/>
        <w:jc w:val="both"/>
      </w:pPr>
    </w:p>
    <w:p w14:paraId="03EBF0D3" w14:textId="61CE3E7F" w:rsidR="009A45E9" w:rsidRDefault="009A45E9">
      <w:pPr>
        <w:pStyle w:val="LO-normal"/>
        <w:jc w:val="both"/>
      </w:pPr>
    </w:p>
    <w:p w14:paraId="0D8285E1" w14:textId="22615D2F" w:rsidR="009A45E9" w:rsidRDefault="009A45E9">
      <w:pPr>
        <w:pStyle w:val="LO-normal"/>
        <w:jc w:val="both"/>
      </w:pPr>
    </w:p>
    <w:p w14:paraId="6356B731" w14:textId="7AB45469" w:rsidR="009A45E9" w:rsidRDefault="009A45E9">
      <w:pPr>
        <w:pStyle w:val="LO-normal"/>
        <w:jc w:val="both"/>
      </w:pPr>
    </w:p>
    <w:p w14:paraId="10BEC452" w14:textId="3B8D1561" w:rsidR="009A45E9" w:rsidRDefault="009A45E9">
      <w:pPr>
        <w:pStyle w:val="LO-normal"/>
        <w:jc w:val="both"/>
      </w:pPr>
    </w:p>
    <w:p w14:paraId="017E3863" w14:textId="060BC9A2" w:rsidR="009A45E9" w:rsidRDefault="009A45E9">
      <w:pPr>
        <w:pStyle w:val="LO-normal"/>
        <w:jc w:val="both"/>
      </w:pPr>
    </w:p>
    <w:p w14:paraId="6245E316" w14:textId="21F05C84" w:rsidR="009A45E9" w:rsidRDefault="009A45E9">
      <w:pPr>
        <w:pStyle w:val="LO-normal"/>
        <w:jc w:val="both"/>
      </w:pPr>
    </w:p>
    <w:p w14:paraId="2E25BAE1" w14:textId="5AE5D2C7" w:rsidR="009A45E9" w:rsidRDefault="0081067B">
      <w:pPr>
        <w:pStyle w:val="LO-normal"/>
        <w:jc w:val="both"/>
      </w:pPr>
      <w:r>
        <w:t>Figure 3: A schematic representation of</w:t>
      </w:r>
      <w:r w:rsidR="00AD3305">
        <w:t xml:space="preserve"> supervised</w:t>
      </w:r>
      <w:r>
        <w:t xml:space="preserve"> </w:t>
      </w:r>
      <w:r w:rsidR="00AD3305">
        <w:t xml:space="preserve">ML methods in AMP prediction. AMP databases are a source of sequences with known AMP activity, which are collected in a training data set. It is important to carefully curate the data set, ensure diversity of the sequences and include true negatives, which in this case are sequences that do not have AMP activity. A poor training data set will bias the final results. This data is then used for the ML Model, of which we have described many implementations such as SVM, RF, ANN, and others. The model uses the data to find patterns and associate features with the chosen property, in this case AMP activity. The model provides a prediction of </w:t>
      </w:r>
      <w:r w:rsidR="001D25F5">
        <w:t>the</w:t>
      </w:r>
      <w:r w:rsidR="00AD3305">
        <w:t xml:space="preserve"> combination of features</w:t>
      </w:r>
      <w:r w:rsidR="00A87B43">
        <w:t xml:space="preserve"> that</w:t>
      </w:r>
      <w:r w:rsidR="00AD3305">
        <w:t xml:space="preserve"> produces the intended behaviour. This prediction is evaluated with the test data set, a collection of sequences with known properties that was not used to train the model. If the prediction is sound, it will also properly categorise the test data set.</w:t>
      </w:r>
      <w:r w:rsidR="00A87B43">
        <w:t xml:space="preserve"> The ML model can be then refined using the results of the evaluation. </w:t>
      </w:r>
    </w:p>
    <w:p w14:paraId="49BF4F14" w14:textId="77777777" w:rsidR="001529CF" w:rsidRDefault="00492337">
      <w:pPr>
        <w:pStyle w:val="Heading3"/>
      </w:pPr>
      <w:bookmarkStart w:id="6" w:name="_tyjcwt"/>
      <w:bookmarkStart w:id="7" w:name="_3dy6vkm"/>
      <w:bookmarkEnd w:id="6"/>
      <w:bookmarkEnd w:id="7"/>
      <w:r>
        <w:t>Secondary and Tertiary Structure Prediction</w:t>
      </w:r>
    </w:p>
    <w:p w14:paraId="5DFE4B96" w14:textId="45B6C335" w:rsidR="001529CF" w:rsidRDefault="00963A53">
      <w:pPr>
        <w:pStyle w:val="LO-normal"/>
        <w:jc w:val="both"/>
      </w:pPr>
      <w:r>
        <w:t>We have</w:t>
      </w:r>
      <w:r w:rsidR="000A0178">
        <w:t xml:space="preserve"> now</w:t>
      </w:r>
      <w:r>
        <w:t xml:space="preserve"> </w:t>
      </w:r>
      <w:r w:rsidR="007312FB">
        <w:t>reviewed</w:t>
      </w:r>
      <w:r>
        <w:t xml:space="preserve"> how different methods can predict the AMP character of a novel </w:t>
      </w:r>
      <w:r w:rsidR="007312FB">
        <w:t xml:space="preserve">peptide </w:t>
      </w:r>
      <w:r>
        <w:t xml:space="preserve">sequence, but this may </w:t>
      </w:r>
      <w:r w:rsidR="007312FB">
        <w:t>be insufficient</w:t>
      </w:r>
      <w:r>
        <w:t>.</w:t>
      </w:r>
      <w:r w:rsidR="00913BA5">
        <w:t xml:space="preserve"> As t</w:t>
      </w:r>
      <w:r w:rsidR="00492337">
        <w:t xml:space="preserve">he function of a biomolecule is defined by its </w:t>
      </w:r>
      <w:r w:rsidR="00AE3E77">
        <w:t>3D</w:t>
      </w:r>
      <w:r w:rsidR="007312FB">
        <w:t xml:space="preserve"> </w:t>
      </w:r>
      <w:r w:rsidR="00492337">
        <w:lastRenderedPageBreak/>
        <w:t>structure (and associated dynamics in different environments)</w:t>
      </w:r>
      <w:r w:rsidR="00913BA5">
        <w:t>,</w:t>
      </w:r>
      <w:r w:rsidR="00492337">
        <w:t xml:space="preserve"> it is clear that </w:t>
      </w:r>
      <w:r w:rsidR="00913BA5">
        <w:t xml:space="preserve">the </w:t>
      </w:r>
      <w:r w:rsidR="00492337">
        <w:t xml:space="preserve">prediction of </w:t>
      </w:r>
      <w:r w:rsidR="00A87B43">
        <w:t xml:space="preserve">a </w:t>
      </w:r>
      <w:r w:rsidR="00492337">
        <w:t>property based on sequence alone is bound to be limited (unless the structural information is unambiguously encoded into some feature, which currently is not the case). Hence, the prediction of secondary and tertiary structures is crucial. The problem is exacerbated</w:t>
      </w:r>
      <w:r w:rsidR="00A87B43">
        <w:t xml:space="preserve"> in this field</w:t>
      </w:r>
      <w:r w:rsidR="00492337">
        <w:t xml:space="preserve"> because, as previously mentioned, only a small minority of AMPs have experimentally solved structures</w:t>
      </w:r>
      <w:r w:rsidR="00492337">
        <w:fldChar w:fldCharType="begin" w:fldLock="1"/>
      </w:r>
      <w:r w:rsidR="00576689">
        <w:instrText>ADDIN CSL_CITATION {"citationItems":[{"id":"ITEM-1","itemData":{"DOI":"10.2174/1568026615666150703121700","ISSN":"15680266","PMID":"26139112","abstract":"Antimicrobial peptides (AMPs) are showing increasing promise as potential candidate antibacterial drugs in the face of the rapidly emerging bacterial resistance to conventional antibiotics in recent years. The target of these peptides is the microbial membrane and there are numerous models to explain their mechanism of action ranging from pore formation to general membrane disruption. The interaction between the AMP and the target membrane is critical to the specificity and activity of these peptides. However, a precise understanding of the relationship between antimicrobial peptide structure and their cytolytic function in a range of organisms is still lacking. This is a result of the complex nature of the interactions of AMPs with the cell membrane, the mechanism of which can vary considerably between different classes of antimicrobia peptides. A wide range of biophysical techniques have been used to study the influence of a number of peptide and membrane properties on the cytolytic activity of these peptides in model membrane systems. Central to characterisation of this interaction is a quantitative analysis of the binding of peptide to the membrane and the coherent dynamic changes in membrane structure. Recently, dual polarization interferometry has been used to perform an in depth analysis of antimicrobial peptide induced membrane perturbation and with new mass-structure co-fitting kinetic analysis have allowed a real-time label free analysis of binding affinity and kinetics. We review these studies which describe multi-step mechanisms which are adopted by various AMPs in nature and may advance our approach to the development of a new generation of effective antimicrobial therapeutics.","author":[{"dropping-particle":"","family":"Lee","given":"Tzong Hsien","non-dropping-particle":"","parse-names":false,"suffix":""},{"dropping-particle":"","family":"N. Hall","given":"Kristopher","non-dropping-particle":"","parse-names":false,"suffix":""},{"dropping-particle":"","family":"Aguilar","given":"Marie Isabel","non-dropping-particle":"","parse-names":false,"suffix":""}],"container-title":"Current Topics in Medicinal Chemistry","id":"ITEM-1","issue":"1","issued":{"date-parts":[["2015","9","18"]]},"page":"25-39","publisher":"Bentham Science Publishers Ltd.","title":"Antimicrobial Peptide Structure and Mechanism of Action: A Focus on the Role of Membrane Structure","type":"article-journal","volume":"16"},"uris":["http://www.mendeley.com/documents/?uuid=e7e5a0c7-ec8c-331d-a0fd-2befa79e62d0"]}],"mendeley":{"formattedCitation":"&lt;sup&gt;22&lt;/sup&gt;","plainTextFormattedCitation":"22","previouslyFormattedCitation":"&lt;sup&gt;22&lt;/sup&gt;"},"properties":{"noteIndex":0},"schema":"https://github.com/citation-style-language/schema/raw/master/csl-citation.json"}</w:instrText>
      </w:r>
      <w:r w:rsidR="00492337">
        <w:fldChar w:fldCharType="separate"/>
      </w:r>
      <w:r w:rsidR="001403A4" w:rsidRPr="001403A4">
        <w:rPr>
          <w:noProof/>
          <w:vertAlign w:val="superscript"/>
        </w:rPr>
        <w:t>22</w:t>
      </w:r>
      <w:r w:rsidR="00492337">
        <w:fldChar w:fldCharType="end"/>
      </w:r>
      <w:r w:rsidR="00492337">
        <w:t xml:space="preserve">, and thus it can be harder to determine an input sequence’s secondary or tertiary structure from comparison with known ones. </w:t>
      </w:r>
      <w:r w:rsidR="00AC0043">
        <w:t xml:space="preserve">This </w:t>
      </w:r>
      <w:r w:rsidR="00340777">
        <w:t>is</w:t>
      </w:r>
      <w:r w:rsidR="00AC0043">
        <w:t xml:space="preserve"> problematic because s</w:t>
      </w:r>
      <w:r w:rsidR="00944411">
        <w:t xml:space="preserve">ome </w:t>
      </w:r>
      <w:r w:rsidR="00AC0043">
        <w:t xml:space="preserve">important </w:t>
      </w:r>
      <w:r w:rsidR="00944411">
        <w:t>properties, such as charge density, dipole moment and hydrophobic moment, cannot be calculated from sequence alone and require a 3D st</w:t>
      </w:r>
      <w:r w:rsidR="00AC0043">
        <w:t>ructure</w:t>
      </w:r>
      <w:r w:rsidR="00492337">
        <w:fldChar w:fldCharType="begin" w:fldLock="1"/>
      </w:r>
      <w:r w:rsidR="00576689">
        <w:instrText xml:space="preserve">ADDIN CSL_CITATION {"citationItems":[{"id":"ITEM-1","itemData":{"DOI":"10.1038/s41598-018-29566-5","ISSN":"20452322","PMID":"30046138","abstract":"The emergence and worldwide spread of multi-drug resistant bacteria makes an urgent challenge for the development of novel antibacterial agents. A perspective weapon to fight against severe infections caused by drug-resistant microorganisms is antimicrobial peptides (AMPs). AMPs are a diverse class of naturally occurring molecules that are produced as a first line of defense by all multi-cellular organisms. Limited by the number of experimental determinate 3D structure, most of the prediction or classification methods of AMPs were based on 2D descriptors, including sequence, amino acid composition, peptide net charge, hydrophobicity, amphiphilic, etc. Due to the rapid development of structural simulation methods, predicted models of proteins (or peptides) have been successfully applied in structure based drug design, for example as targets of virtual ligand screening. Here, we establish the activity prediction model based on the predicted 3D structure of AMPs molecule. To our knowledge, it is the first report of prediction method based on 3D descriptors of AMPs. Novel AMPs were designed by using the model, and their antibacterial effect was measured by in vitro experiments.","author":[{"dropping-particle":"","family":"Liu","given":"Shicai","non-dropping-particle":"","parse-names":false,"suffix":""},{"dropping-particle":"","family":"Bao","given":"Jingxiao","non-dropping-particle":"","parse-names":false,"suffix":""},{"dropping-particle":"","family":"Lao","given":"Xingzhen","non-dropping-particle":"","parse-names":false,"suffix":""},{"dropping-particle":"","family":"Zheng","given":"Heng","non-dropping-particle":"","parse-names":false,"suffix":""}],"container-title":"Scientific Reports","id":"ITEM-1","issue":"1","issued":{"date-parts":[["2018","12","1"]]},"page":"11189","publisher":"Nature Publishing Group","title":"Novel 3D Structure Based Model for Activity Prediction and Design of Antimicrobial Peptides","type":"article-journal","volume":"8"},"uris":["http://www.mendeley.com/documents/?uuid=9c0659c1-2b91-3c73-87cc-dfad1b872927"]},{"id":"ITEM-2","itemData":{"DOI":"10.1038/299371a0","ISSN":"00280836","PMID":"7110359","abstract":"The spatial distribution of the hydrophobic side chains in globular proteins is of considerable interest. It was recognized previously1 that most of the α-helices of myoglobin and haemoglobin are amphiphilic; that is, one surface of each helix projects mainly hydrophilic side chains, while the opposite surface projects mainly hydrophobic side chains. To quantify the amphiphilicity of a helix, here we define the mean helical hydrophobic moment, </w:instrText>
      </w:r>
      <w:r w:rsidR="00576689">
        <w:rPr>
          <w:rFonts w:ascii="MS Gothic" w:hAnsi="MS Gothic" w:cs="MS Gothic"/>
        </w:rPr>
        <w:instrText>〈</w:instrText>
      </w:r>
      <w:r w:rsidR="00576689">
        <w:instrText>μH</w:instrText>
      </w:r>
      <w:r w:rsidR="00576689">
        <w:rPr>
          <w:rFonts w:ascii="MS Gothic" w:hAnsi="MS Gothic" w:cs="MS Gothic"/>
        </w:rPr>
        <w:instrText>〉</w:instrText>
      </w:r>
      <w:r w:rsidR="00576689">
        <w:instrText xml:space="preserve"> = |ΣNi=1 H</w:instrText>
      </w:r>
      <w:r w:rsidR="00576689">
        <w:rPr>
          <w:rFonts w:ascii="Cambria Math" w:hAnsi="Cambria Math" w:cs="Cambria Math"/>
        </w:rPr>
        <w:instrText>⇀</w:instrText>
      </w:r>
      <w:r w:rsidR="00576689">
        <w:instrText>i|/N, to be the mean vector sum of the hydrophobicities H</w:instrText>
      </w:r>
      <w:r w:rsidR="00576689">
        <w:rPr>
          <w:rFonts w:ascii="Cambria Math" w:hAnsi="Cambria Math" w:cs="Cambria Math"/>
        </w:rPr>
        <w:instrText>⇀</w:instrText>
      </w:r>
      <w:r w:rsidR="00576689">
        <w:instrText>i of the side chains of a helix of N residues. The length of a vector H</w:instrText>
      </w:r>
      <w:r w:rsidR="00576689">
        <w:rPr>
          <w:rFonts w:ascii="Cambria Math" w:hAnsi="Cambria Math" w:cs="Cambria Math"/>
        </w:rPr>
        <w:instrText>⇀</w:instrText>
      </w:r>
      <w:r w:rsidR="00576689">
        <w:instrText xml:space="preserve">i is the signed numerical hydrophobicity associated with the type of side chain, and its direction is determined by the orientation of the side chain about the helix axis. A large value of </w:instrText>
      </w:r>
      <w:r w:rsidR="00576689">
        <w:rPr>
          <w:rFonts w:ascii="MS Gothic" w:hAnsi="MS Gothic" w:cs="MS Gothic"/>
        </w:rPr>
        <w:instrText>〈</w:instrText>
      </w:r>
      <w:r w:rsidR="00576689">
        <w:instrText>μ H</w:instrText>
      </w:r>
      <w:r w:rsidR="00576689">
        <w:rPr>
          <w:rFonts w:ascii="MS Gothic" w:hAnsi="MS Gothic" w:cs="MS Gothic"/>
        </w:rPr>
        <w:instrText>〉</w:instrText>
      </w:r>
      <w:r w:rsidR="00576689">
        <w:instrText xml:space="preserve"> means that the helix is amphiphilic perpendicular to its axis. We have classified α-helices by plotting their mean helical moment versus the mean hydrophobicity of their residues, and report that trans-membrane helices, helices from globular proteins and helices which are believed to seek surfaces between aqueous and non-polar phases, cluster in different regions of such a plot. We suggest that this classification may be useful in identifying helical regions of proteins which bind to the surface of biological membranes. The concept of the hydrophobia moment can be generalized also to non-helical protein structures. © 1982 Nature Publishing Group.","author":[{"dropping-particle":"","family":"Eisenberg","given":"David","non-dropping-particle":"","parse-names":false,"suffix":""},{"dropping-particle":"","family":"Weiss","given":"Robert M.","non-dropping-particle":"","parse-names":false,"suffix":""},{"dropping-particle":"","family":"Terwilliger","given":"Thomas C.","non-dropping-particle":"","parse-names":false,"suffix":""}],"container-title":"Nature","id":"ITEM-2","issue":"5881","issued":{"date-parts":[["1982"]]},"page":"371-374","publisher":"Nature Publishing Group","title":"The helical hydrophobic moment: A measure of the amphiphilicity of a helix","type":"article-journal","volume":"299"},"uris":["http://www.mendeley.com/documents/?uuid=ec423e70-9b7b-31f1-a3a9-9e270afd84cc"]}],"mendeley":{"formattedCitation":"&lt;sup&gt;153,157&lt;/sup&gt;","plainTextFormattedCitation":"153,157","previouslyFormattedCitation":"&lt;sup&gt;153,157&lt;/sup&gt;"},"properties":{"noteIndex":0},"schema":"https://github.com/citation-style-language/schema/raw/master/csl-citation.json"}</w:instrText>
      </w:r>
      <w:r w:rsidR="00492337">
        <w:fldChar w:fldCharType="separate"/>
      </w:r>
      <w:r w:rsidR="00A313B9" w:rsidRPr="00A313B9">
        <w:rPr>
          <w:noProof/>
          <w:vertAlign w:val="superscript"/>
        </w:rPr>
        <w:t>153,157</w:t>
      </w:r>
      <w:r w:rsidR="00492337">
        <w:fldChar w:fldCharType="end"/>
      </w:r>
      <w:r w:rsidR="00492337">
        <w:t>. Assignment of a secondary structure to a sequence</w:t>
      </w:r>
      <w:r w:rsidR="00AC0043">
        <w:t>, therefore, is paramount to fully analyse any peptide, and it</w:t>
      </w:r>
      <w:r w:rsidR="00492337">
        <w:t xml:space="preserve"> is an ongoing endeavour </w:t>
      </w:r>
      <w:r w:rsidR="00AC0043">
        <w:t xml:space="preserve">which </w:t>
      </w:r>
      <w:r w:rsidR="00492337">
        <w:t>includes methods such as homology modelling</w:t>
      </w:r>
      <w:r w:rsidR="00492337">
        <w:fldChar w:fldCharType="begin" w:fldLock="1"/>
      </w:r>
      <w:r w:rsidR="00576689">
        <w:instrText>ADDIN CSL_CITATION {"citationItems":[{"id":"ITEM-1","itemData":{"DOI":"10.1093/bioinformatics/14.6.523","ISSN":"1367-4803","abstract":"Motivation: Homology modeling is rapidly becoming the method of choice for obtaining three-dimensional coordinates for proteins because genome projects produce sequences at a much higher rate than NMR and X-ray laboratories can solve the three-dimensional structures. The quality of protein models will not be immediately clear to novices and support with the evaluation seems to be needed. Expert users are sometimes interested in evaluating the quality of modeling programs rather than the quality of the models themselves. Results: Three servers have been made available to the scientific community: a homology modeling server, a model quality evaluation server and a server that evaluates models built of proteins for which the structure is already known, thereby implicitly evaluating the quality of the modeling program. Availability: The modeling-related servers and several structure analysis servers are freely available at http://swift.embl-heidelberg.de/servers/. Contact: gert.vriend@@@embl-heidelberg.de.","author":[{"dropping-particle":"","family":"Rodriguez","given":"R.","non-dropping-particle":"","parse-names":false,"suffix":""},{"dropping-particle":"","family":"Chinea","given":"G.","non-dropping-particle":"","parse-names":false,"suffix":""},{"dropping-particle":"","family":"Lopez","given":"N.","non-dropping-particle":"","parse-names":false,"suffix":""},{"dropping-particle":"","family":"Pons","given":"T.","non-dropping-particle":"","parse-names":false,"suffix":""},{"dropping-particle":"","family":"Vriend","given":"G.","non-dropping-particle":"","parse-names":false,"suffix":""}],"container-title":"Bioinformatics","id":"ITEM-1","issue":"6","issued":{"date-parts":[["1998","7","1"]]},"page":"523-528","publisher":"Oxford Academic","title":"Homology modeling, model and software evaluation: three related resources","type":"article-journal","volume":"14"},"uris":["http://www.mendeley.com/documents/?uuid=05dca1f1-102b-37eb-85b6-f12b7e36a90c"]}],"mendeley":{"formattedCitation":"&lt;sup&gt;158&lt;/sup&gt;","plainTextFormattedCitation":"158","previouslyFormattedCitation":"&lt;sup&gt;158&lt;/sup&gt;"},"properties":{"noteIndex":0},"schema":"https://github.com/citation-style-language/schema/raw/master/csl-citation.json"}</w:instrText>
      </w:r>
      <w:r w:rsidR="00492337">
        <w:fldChar w:fldCharType="separate"/>
      </w:r>
      <w:r w:rsidR="00A313B9" w:rsidRPr="00A313B9">
        <w:rPr>
          <w:noProof/>
          <w:vertAlign w:val="superscript"/>
        </w:rPr>
        <w:t>158</w:t>
      </w:r>
      <w:r w:rsidR="00492337">
        <w:fldChar w:fldCharType="end"/>
      </w:r>
      <w:r w:rsidR="00492337">
        <w:t>, structural-alphabet approaches</w:t>
      </w:r>
      <w:r w:rsidR="00492337">
        <w:fldChar w:fldCharType="begin" w:fldLock="1"/>
      </w:r>
      <w:r w:rsidR="00576689">
        <w:instrText>ADDIN CSL_CITATION {"citationItems":[{"id":"ITEM-1","itemData":{"DOI":"10.1021/ct500592m","ISSN":"15499626","abstract":"Peptides and mini proteins have many biological and biomedical implications, which motivates the development of accurate methods, suitable for large-scale experiments, to predict their experimental or native conformations solely from sequences. In this study, we report PEP-FOLD2, an improved coarse grained approach for peptide de novo structure prediction and compare it with PEP-FOLD1 and the state-of-the-art Rosetta program. Using a benchmark of 56 structurally diverse peptides with 25-52 amino acids and a total of 600 simulations for each system, PEP-FOLD2 generates higher quality models than PEP-FOLD1, and PEP-FOLD2 and Rosetta generate near-native or native models for 95% and 88% of the targets, respectively. In the situation where we do not have any experimental structures at hand, PEP-FOLD2 and Rosetta return a near-native or native conformation among the top five best scored models for 80% and 75% of the targets, respectively. While the PEP-FOLD2 prediction rate is better than the ROSETTA prediction rate by 5%, this improvement is non-negligible because PEP-FOLD2 explores a larger conformational space than ROSETTA and consists of a single coarse-grained phase. Our results indicate that if the coarse-grained PEP-FOLD2 method is approaching maturity, we are not at the end of the game of mini-protein structure prediction, but this opens new perspectives for large-scale in silico experiments.","author":[{"dropping-particle":"","family":"Shen","given":"Yimin","non-dropping-particle":"","parse-names":false,"suffix":""},{"dropping-particle":"","family":"Maupetit","given":"Julien","non-dropping-particle":"","parse-names":false,"suffix":""},{"dropping-particle":"","family":"Derreumaux","given":"Philippe","non-dropping-particle":"","parse-names":false,"suffix":""},{"dropping-particle":"","family":"Tufféry","given":"Pierre","non-dropping-particle":"","parse-names":false,"suffix":""}],"container-title":"Journal of Chemical Theory and Computation","id":"ITEM-1","issue":"10","issued":{"date-parts":[["2014","10","14"]]},"page":"4745-4758","publisher":"American Chemical Society","title":"Improved PEP-FOLD approach for peptide and miniprotein structure prediction","type":"article-journal","volume":"10"},"uris":["http://www.mendeley.com/documents/?uuid=d2a7ef8c-76b6-3255-8712-8df26658ba61"]}],"mendeley":{"formattedCitation":"&lt;sup&gt;159&lt;/sup&gt;","plainTextFormattedCitation":"159","previouslyFormattedCitation":"&lt;sup&gt;159&lt;/sup&gt;"},"properties":{"noteIndex":0},"schema":"https://github.com/citation-style-language/schema/raw/master/csl-citation.json"}</w:instrText>
      </w:r>
      <w:r w:rsidR="00492337">
        <w:fldChar w:fldCharType="separate"/>
      </w:r>
      <w:r w:rsidR="00A313B9" w:rsidRPr="00A313B9">
        <w:rPr>
          <w:noProof/>
          <w:vertAlign w:val="superscript"/>
        </w:rPr>
        <w:t>159</w:t>
      </w:r>
      <w:r w:rsidR="00492337">
        <w:fldChar w:fldCharType="end"/>
      </w:r>
      <w:r w:rsidR="00492337">
        <w:t>, machine learning approaches</w:t>
      </w:r>
      <w:r w:rsidR="00492337">
        <w:fldChar w:fldCharType="begin" w:fldLock="1"/>
      </w:r>
      <w:r w:rsidR="00576689">
        <w:instrText xml:space="preserve">ADDIN CSL_CITATION {"citationItems":[{"id":"ITEM-1","itemData":{"DOI":"10.1038/srep18962","ISSN":"20452322","PMID":"26752681","abstract":"Protein secondary structure (SS) prediction is important for studying protein structure and function. When only the sequence (profile) information is used as input feature, currently the best predictors can obtain </w:instrText>
      </w:r>
      <w:r w:rsidR="00576689">
        <w:rPr>
          <w:rFonts w:ascii="Cambria Math" w:hAnsi="Cambria Math" w:cs="Cambria Math"/>
        </w:rPr>
        <w:instrText>∼</w:instrText>
      </w:r>
      <w:r w:rsidR="00576689">
        <w:instrText xml:space="preserve">80% Q3 accuracy, which has not been improved in the past decade. Here we present DeepCNF (Deep Convolutional Neural Fields) for protein SS prediction. DeepCNF is a Deep Learning extension of Conditional Neural Fields (CNF), which is an integration of Conditional Random Fields (CRF) and shallow neural networks. DeepCNF can model not only complex sequence-structure relationship by a deep hierarchical architecture, but also interdependency between adjacent SS labels, so it is much more powerful than CNF. Experimental results show that DeepCNF can obtain </w:instrText>
      </w:r>
      <w:r w:rsidR="00576689">
        <w:rPr>
          <w:rFonts w:ascii="Cambria Math" w:hAnsi="Cambria Math" w:cs="Cambria Math"/>
        </w:rPr>
        <w:instrText>∼</w:instrText>
      </w:r>
      <w:r w:rsidR="00576689">
        <w:instrText xml:space="preserve">84% Q3 accuracy, </w:instrText>
      </w:r>
      <w:r w:rsidR="00576689">
        <w:rPr>
          <w:rFonts w:ascii="Cambria Math" w:hAnsi="Cambria Math" w:cs="Cambria Math"/>
        </w:rPr>
        <w:instrText>∼</w:instrText>
      </w:r>
      <w:r w:rsidR="00576689">
        <w:instrText xml:space="preserve">85% SOV score, and </w:instrText>
      </w:r>
      <w:r w:rsidR="00576689">
        <w:rPr>
          <w:rFonts w:ascii="Cambria Math" w:hAnsi="Cambria Math" w:cs="Cambria Math"/>
        </w:rPr>
        <w:instrText>∼</w:instrText>
      </w:r>
      <w:r w:rsidR="00576689">
        <w:instrText>72% Q8 accuracy, respectively, on the CASP and CAMEO test proteins, greatly outperforming currently popular predictors. As a general framework, DeepCNF can be used to predict other protein structure properties such as contact number, disorder regions, and solvent accessibility.","author":[{"dropping-particle":"","family":"Wang","given":"Sheng","non-dropping-particle":"","parse-names":false,"suffix":""},{"dropping-particle":"","family":"Peng","given":"Jian","non-dropping-particle":"","parse-names":false,"suffix":""},{"dropping-particle":"","family":"Ma","given":"Jianzhu","non-dropping-particle":"","parse-names":false,"suffix":""},{"dropping-particle":"","family":"Xu","given":"Jinbo","non-dropping-particle":"","parse-names":false,"suffix":""}],"container-title":"Scientific Reports","id":"ITEM-1","issue":"1","issued":{"date-parts":[["2016","1","11"]]},"page":"1-11","publisher":"Nature Publishing Group","title":"Protein Secondary Structure Prediction Using Deep Convolutional Neural Fields","type":"article-journal","volume":"6"},"uris":["http://www.mendeley.com/documents/?uuid=d49108cd-40ab-385c-941c-5c0a8a76a744"]},{"id":"ITEM-2","itemData":{"DOI":"10.1109/TCBB.2014.2343960","ISSN":"15455963","PMID":"25750595","abstract":"Ab initio protein secondary structure (SS) predictions are utilized to generate tertiary structure predictions, which are increasingly demanded due to the rapid discovery of proteins. Although recent developments have slightly exceeded previous methods of SS prediction, accuracy has stagnated around 80 percent and many wonder if prediction cannot be advanced beyond this ceiling. Disciplines that have traditionally employed neural networks are experimenting with novel deep learning techniques in attempts to stimulate progress. Since neural networks have historically played an important role in SS prediction, we wanted to determine whether deep learning could contribute to the advancement of this field as well. We developed an SS predictor that makes use of the position-specific scoring matrix generated by PSI-BLAST and deep learning network architectures, which we call DNSS. Graphical processing units and CUDA software optimize the deep network architecture and efficiently train the deep networks. Optimal parameters for the training process were determined, and a workflow comprising three separately trained deep networks was constructed in order to make refined predictions. This deep learning network approach was used to predict SS for a fully independent test dataset of 198 proteins, achieving a Q3 accuracy of 80.7 percent and a Sov accuracy of 74.2 percent.","author":[{"dropping-particle":"","family":"Spencer","given":"Matt","non-dropping-particle":"","parse-names":false,"suffix":""},{"dropping-particle":"","family":"Eickholt","given":"Jesse","non-dropping-particle":"","parse-names":false,"suffix":""},{"dropping-particle":"","family":"Cheng","given":"Jianlin","non-dropping-particle":"","parse-names":false,"suffix":""}],"container-title":"IEEE/ACM Transactions on Computational Biology and Bioinformatics","id":"ITEM-2","issue":"1","issued":{"date-parts":[["2015","1","1"]]},"page":"103-112","publisher":"Institute of Electrical and Electronics Engineers Inc.","title":"A deep learning network approach to ab initio protein secondary structure prediction","type":"article-journal","volume":"12"},"uris":["http://www.mendeley.com/documents/?uuid=643d9112-7458-3814-b515-78fc97bf949e"]}],"mendeley":{"formattedCitation":"&lt;sup&gt;160,161&lt;/sup&gt;","plainTextFormattedCitation":"160,161","previouslyFormattedCitation":"&lt;sup&gt;160,161&lt;/sup&gt;"},"properties":{"noteIndex":0},"schema":"https://github.com/citation-style-language/schema/raw/master/csl-citation.json"}</w:instrText>
      </w:r>
      <w:r w:rsidR="00492337">
        <w:fldChar w:fldCharType="separate"/>
      </w:r>
      <w:r w:rsidR="00A313B9" w:rsidRPr="00A313B9">
        <w:rPr>
          <w:noProof/>
          <w:vertAlign w:val="superscript"/>
        </w:rPr>
        <w:t>160,161</w:t>
      </w:r>
      <w:r w:rsidR="00492337">
        <w:fldChar w:fldCharType="end"/>
      </w:r>
      <w:r w:rsidR="00492337">
        <w:t xml:space="preserve"> and </w:t>
      </w:r>
      <w:r w:rsidR="00492337">
        <w:rPr>
          <w:i/>
        </w:rPr>
        <w:t>ab initio</w:t>
      </w:r>
      <w:r w:rsidR="00492337">
        <w:t xml:space="preserve"> methods</w:t>
      </w:r>
      <w:r w:rsidR="00492337">
        <w:fldChar w:fldCharType="begin" w:fldLock="1"/>
      </w:r>
      <w:r w:rsidR="00576689">
        <w:instrText>ADDIN CSL_CITATION {"citationItems":[{"id":"ITEM-1","itemData":{"DOI":"10.1002/prot.340230319","ISSN":"10970134","PMID":"8710838","abstract":"Ab initio folding simulations have been performed on three peptides, using a genetic algorithm</w:instrText>
      </w:r>
      <w:r w:rsidR="00576689">
        <w:rPr>
          <w:rFonts w:ascii="Cambria Math" w:hAnsi="Cambria Math" w:cs="Cambria Math"/>
        </w:rPr>
        <w:instrText>‐</w:instrText>
      </w:r>
      <w:r w:rsidR="00576689">
        <w:instrText>based search method which operates on a full atom representation. Conformations are evaluated with an empirical force field parameterized by a potential of mean force analysis of experimental structures. The dominant terms in the force field are local and nonlocal main chain electrostatics and the hydrophobic effect. Two of the simulated structures were for fragments of complete proteins (eosinophil</w:instrText>
      </w:r>
      <w:r w:rsidR="00576689">
        <w:rPr>
          <w:rFonts w:ascii="Cambria Math" w:hAnsi="Cambria Math" w:cs="Cambria Math"/>
        </w:rPr>
        <w:instrText>‐</w:instrText>
      </w:r>
      <w:r w:rsidR="00576689">
        <w:instrText>derived neurotoxin (EDN) and the subtilisin propeptide) that were identified as being likely initiation sites for folding. The experimental structure of one of these (EDN) was subsequently found to be consistent with that prediction (using local hydrophobic burial as the determinant for independent folding). The simulations of the structures of these two peptides were only partly successful. The most successful folding simulation was that of a 22</w:instrText>
      </w:r>
      <w:r w:rsidR="00576689">
        <w:rPr>
          <w:rFonts w:ascii="Cambria Math" w:hAnsi="Cambria Math" w:cs="Cambria Math"/>
        </w:rPr>
        <w:instrText>‐</w:instrText>
      </w:r>
      <w:r w:rsidR="00576689">
        <w:instrText>residue peptide corresponding to the membrane binding domain of blood coagulation factor VIII (Membind). Three simulations were performed on this peptide and the lowest energy conformation was found to be the most similar to the experimental structure. The conformation of this peptide was determined with a Cα rms deviation of 4.4 Å. Although these simulations were partly successful there are still many unresolved problems, which we expect to be able to address in the next structure prediction experiment. © 1995 Wiley</w:instrText>
      </w:r>
      <w:r w:rsidR="00576689">
        <w:rPr>
          <w:rFonts w:ascii="Cambria Math" w:hAnsi="Cambria Math" w:cs="Cambria Math"/>
        </w:rPr>
        <w:instrText>‐</w:instrText>
      </w:r>
      <w:r w:rsidR="00576689">
        <w:instrText>Liss, Inc. Copyright © 1995 Wiley</w:instrText>
      </w:r>
      <w:r w:rsidR="00576689">
        <w:rPr>
          <w:rFonts w:ascii="Cambria Math" w:hAnsi="Cambria Math" w:cs="Cambria Math"/>
        </w:rPr>
        <w:instrText>‐</w:instrText>
      </w:r>
      <w:r w:rsidR="00576689">
        <w:instrText>Liss, Inc.","author":[{"dropping-particle":"","family":"Pedersen","given":"Jan T.","non-dropping-particle":"","parse-names":false,"suffix":""},{"dropping-particle":"","family":"Moult","given":"John","non-dropping-particle":"","parse-names":false,"suffix":""}],"container-title":"Proteins: Structure, Function, and Bioinformatics","id":"ITEM-1","issue":"3","issued":{"date-parts":[["1995"]]},"page":"454-460","publisher":"Proteins","title":"Ab initio structure prediction for small polypeptides and protein fragments using genetic algorithms","type":"article-journal","volume":"23"},"uris":["http://www.mendeley.com/documents/?uuid=0a3a1c27-1d51-33f6-830b-a74ebce3c9fd"]}],"mendeley":{"formattedCitation":"&lt;sup&gt;162&lt;/sup&gt;","plainTextFormattedCitation":"162","previouslyFormattedCitation":"&lt;sup&gt;162&lt;/sup&gt;"},"properties":{"noteIndex":0},"schema":"https://github.com/citation-style-language/schema/raw/master/csl-citation.json"}</w:instrText>
      </w:r>
      <w:r w:rsidR="00492337">
        <w:fldChar w:fldCharType="separate"/>
      </w:r>
      <w:r w:rsidR="00A313B9" w:rsidRPr="00A313B9">
        <w:rPr>
          <w:noProof/>
          <w:vertAlign w:val="superscript"/>
        </w:rPr>
        <w:t>162</w:t>
      </w:r>
      <w:r w:rsidR="00492337">
        <w:fldChar w:fldCharType="end"/>
      </w:r>
      <w:r w:rsidR="00492337">
        <w:t>. Explaining these general techniques is beyond the scope of this article; suffice to say that they have been used with success in aiding AMP research in regard to secondary structure prediction</w:t>
      </w:r>
      <w:r w:rsidR="00492337">
        <w:fldChar w:fldCharType="begin" w:fldLock="1"/>
      </w:r>
      <w:r w:rsidR="00576689">
        <w:instrText>ADDIN CSL_CITATION {"citationItems":[{"id":"ITEM-1","itemData":{"DOI":"10.1016/S0014-5793(01)02324-9","ISSN":"00145793","abstract":"We present here the purification and the analysis of the structural and functional properties of distinctin, a 5.4 kDa heterodimeric peptide with antimicrobial activity from the tree-frog Phyllomedusa distincta. This peptide was isolated from the crude extract of skin granular glands by different chromatographic steps. Its minimal inhibitory concentration was determined against pathogenic Escherichia coli, Staphylococcus aureus, Enterococcus faecalis and Pseudomonas aeruginosa strains. Amino acid sequencing and mass spectrometric investigations demonstrated that distinctin is constituted of two different polypeptide chains connected by an intermolecular disulphide bridge. Circular dichroism and Fourier-transformed infrared spectroscopy studies showed that this molecule adopts, in water, a structure containing a significant percentage of anti-parallel β-sheet. A conformational variation was observed under experimental conditions mimicking a membrane-like environment. Database searches did not show sequence similarities with any known antimicrobial peptides. In the light of these results, we can consider distinctin as the first example of a new class of antimicrobial heterodimeric peptides from frog skin. © 2001 Federation of European Biochemical Societies.","author":[{"dropping-particle":"","family":"Batista","given":"Cesar V.F","non-dropping-particle":"","parse-names":false,"suffix":""},{"dropping-particle":"","family":"Scaloni","given":"Andrea","non-dropping-particle":"","parse-names":false,"suffix":""},{"dropping-particle":"","family":"Rigden","given":"Daniel J","non-dropping-particle":"","parse-names":false,"suffix":""},{"dropping-particle":"","family":"Silva","given":"Lindomar R","non-dropping-particle":"","parse-names":false,"suffix":""},{"dropping-particle":"","family":"Rodrigues Romero","given":"Adela","non-dropping-particle":"","parse-names":false,"suffix":""},{"dropping-particle":"","family":"Dukor","given":"Rina","non-dropping-particle":"","parse-names":false,"suffix":""},{"dropping-particle":"","family":"Sebben","given":"Antonio","non-dropping-particle":"","parse-names":false,"suffix":""},{"dropping-particle":"","family":"Talamo","given":"Fabio","non-dropping-particle":"","parse-names":false,"suffix":""},{"dropping-particle":"","family":"Bloch","given":"Carlos","non-dropping-particle":"","parse-names":false,"suffix":""}],"container-title":"FEBS Letters","id":"ITEM-1","issue":"1-2","issued":{"date-parts":[["2001","4","6"]]},"page":"85-89","publisher":"John Wiley &amp; Sons, Ltd","title":"A novel heterodimeric antimicrobial peptide from the tree-frog &lt;i&gt;Phyllomedusa distincta&lt;/i&gt;","type":"article-journal","volume":"494"},"uris":["http://www.mendeley.com/documents/?uuid=96385d63-276c-3665-b390-af0bb93f0623"]},{"id":"ITEM-2","itemData":{"DOI":"10.1128/AAC.47.2.643-652.2003","ISSN":"00664804","PMID":"12543672","abstract":"This study was aimed at examining the spectrum of antimicrobial activity of MUC7 20-mer (N-LAHQKP-FIRKSYKCLHKRCR-C; residues 32 to 51 of MUC7, the low -molecular-weight human salivary mucin, comprised of 357 residues) and comparing its antifungal properties to those of salivary histatin 5 (Hsn-5). We also examined the secondary structure of the 20-mer and the possible mechanism of its antifungal action. Our results showed that MUC7 20-mer displays potent killing activity against a variety of fungi and both gram-positive and gram-negative bacteria at micromolar concentrations. Time-dependent killing of Candida albicans and Cryptococcus neoformans by MUC7 20-mer and Hsn-5 indicated differences in killing rates between MUC7 20-mer and Hsn-5. The secondary structure prediction showed that MUC7 20-mer adopts an amphiphilic helix with distinguishable hydrophilic and hydrophobic faces (a characteristic that is associated with antimicrobial activity). In comparison to that of Hsn-5, the fungicidal activity of MUC7 20-mer against C. albicans seems to be independent of fungal cellular metabolic activity, as evidenced by its killing potency at a low temperature (4°C) and in the presence of inhibitors of oxidative phosphorylation in the mitochondrial system. Fluorescence microscopy showed the ability of MUC7 20-mer to cross the fungal cell membrane and to accumulate inside the cells. The internalization of MUC7 20-mer was inhibited by divalent cations. Confocal microscopy of cells doubly labeled with MUC7 20-mer and a mitochondrion-specific dye indicated that mitochondria are not the target of MUC7 20-mer for either C. albicans or C. neoformans.","author":[{"dropping-particle":"","family":"Bobek","given":"Libuse A.","non-dropping-particle":"","parse-names":false,"suffix":""},{"dropping-particle":"","family":"Situ","given":"Hongsa","non-dropping-particle":"","parse-names":false,"suffix":""}],"container-title":"Antimicrobial Agents and Chemotherapy","id":"ITEM-2","issue":"2","issued":{"date-parts":[["2003","2","1"]]},"page":"643-652","publisher":"Antimicrob Agents Chemother","title":"MUC7 20-mer: Investigation of antimicrobial activity, secondary structure, and possible mechanism of antifungal action","type":"article-journal","volume":"47"},"uris":["http://www.mendeley.com/documents/?uuid=47fb00a0-321e-3e51-9adf-c2c530080c68"]},{"id":"ITEM-3","itemData":{"DOI":"10.1016/S0304-4165(98)00087-7","ISSN":"03044165","PMID":"9795251","abstract":"A putative antimicrobial peptide of 34 residues was recently deduced from a bovine cathelicidin gene sequence and named BMAP-34. A peptide based on the deduced sequence was chemically synthesized and used to study the localization, structure and biological activities of BMAP-34. A Western blot analysis using antibodies raised to the synthetic peptide showed that BMAP-34 is stored as proform in the cytoplasmic granules of bovine neutrophils. CD spectroscopy indicates that the peptide assumes an amphipathic α-helical conformation, as also predicted by secondary structure analysis. The peptide exerts a broad spectrum antimicrobial activity against both Gram-negative and Gram-positive organisms, and is not active against eukaryotic cells. When tested on Escherichia coli ML-35, the kinetics of bacterial killing and of inner membrane permeabilization are slower than those observed for other α-helical peptides derived from cathelicidins. Copyright (C) 1998 Elsevier Science B.V.","author":[{"dropping-particle":"","family":"Gennaro","given":"Renato","non-dropping-particle":"","parse-names":false,"suffix":""},{"dropping-particle":"","family":"Scocchi","given":"Marco","non-dropping-particle":"","parse-names":false,"suffix":""},{"dropping-particle":"","family":"Merluzzi","given":"Laura","non-dropping-particle":"","parse-names":false,"suffix":""},{"dropping-particle":"","family":"Zanetti","given":"Margherita","non-dropping-particle":"","parse-names":false,"suffix":""}],"container-title":"Biochimica et Biophysica Acta - General Subjects","id":"ITEM-3","issue":"2","issued":{"date-parts":[["1998","10","23"]]},"page":"361-368","publisher":"Biochim Biophys Acta","title":"Biological characterization of a novel mammalian antimicrobial peptide","type":"article-journal","volume":"1425"},"uris":["http://www.mendeley.com/documents/?uuid=37cb2ff3-cd98-353a-8a7b-2b479fd7b397"]},{"id":"ITEM-4","itemData":{"DOI":"10.1046/j.1432-1327.2000.01556.x","ISSN":"00142956","PMID":"10931184","abstract":"A new antimicrobial peptide, hadrurin, was isolated from the venom of the Mexican scorpion Hadrurus aztecus, by gel filtration on a Sephadex G-50 column, followed by high performance liquid chromatography. It is a basic peptide composed of 41 amino-acid residues with a molecular mass of 4436 Da, and contains no cysteines. A model of the three-dimensional folding of hadrurin is compatible with that of an amphipatic molecule with two α-helical segments. Hadrurin demonstrates antimicrobial activity at low micromolar concentration, inhibiting the growth of bacteria such as: Salmonella thyphi, Klebsiella pneumoniae, Enterococcus cloacae, Pseudomonas aeruginosa, Escherichia coli and Serratia marscences. It also shows cytolytic activity when tested in human erythrocytes. Hadrurin and two analogs (C-terminal amidated, and all D-enantiomer) were chemically synthesized. They were used to study the possible molecular mechanism of action by testing their ability to dissipate the diffusion potential of liposomes of different compositions. The results obtained indicate that there are no specific receptor molecules for the action of hadrurin, and the most probable mechanism is through a membrane destabilization activity. It is surmised that hadrurin is used by the scorpion as both an attack and defense element against its prey and putative invasive microorganisms. It is a unique peptide among all known antimicrobial peptides described, only partially similar to the N-terminal segment of gaegurin 4 and brevinin 2e, isolated from frog skin. It would certainly be a model molecule for studying new antibiotic activities and peptide-lipid interactions.","author":[{"dropping-particle":"","family":"Torres-Larios","given":"Alfredo","non-dropping-particle":"","parse-names":false,"suffix":""},{"dropping-particle":"","family":"Gurrola","given":"Georgina B.","non-dropping-particle":"","parse-names":false,"suffix":""},{"dropping-particle":"","family":"Zamudio","given":"Fernando Z.","non-dropping-particle":"","parse-names":false,"suffix":""},{"dropping-particle":"","family":"Possani","given":"Lourival D.","non-dropping-particle":"","parse-names":false,"suffix":""}],"container-title":"European Journal of Biochemistry","id":"ITEM-4","issue":"16","issued":{"date-parts":[["2000"]]},"page":"5023-5031","publisher":"Eur J Biochem","title":"Hadrurin, A new antimicrobial peptide from the venom of the scorpion Hadrurus aztecus","type":"article-journal","volume":"267"},"uris":["http://www.mendeley.com/documents/?uuid=734bab99-791b-3901-abab-4c83e01b3c42"]}],"mendeley":{"formattedCitation":"&lt;sup&gt;163–166&lt;/sup&gt;","plainTextFormattedCitation":"163–166","previouslyFormattedCitation":"&lt;sup&gt;163–166&lt;/sup&gt;"},"properties":{"noteIndex":0},"schema":"https://github.com/citation-style-language/schema/raw/master/csl-citation.json"}</w:instrText>
      </w:r>
      <w:r w:rsidR="00492337">
        <w:fldChar w:fldCharType="separate"/>
      </w:r>
      <w:r w:rsidR="00A313B9" w:rsidRPr="00A313B9">
        <w:rPr>
          <w:noProof/>
          <w:vertAlign w:val="superscript"/>
        </w:rPr>
        <w:t>163–166</w:t>
      </w:r>
      <w:r w:rsidR="00492337">
        <w:fldChar w:fldCharType="end"/>
      </w:r>
      <w:r w:rsidR="00492337">
        <w:t xml:space="preserve"> (Table </w:t>
      </w:r>
      <w:r w:rsidR="00686AFA">
        <w:t>5</w:t>
      </w:r>
      <w:r w:rsidR="00492337">
        <w:t xml:space="preserve">). </w:t>
      </w:r>
    </w:p>
    <w:p w14:paraId="7FA69460" w14:textId="098EF36B" w:rsidR="001529CF" w:rsidRDefault="00D6767C">
      <w:pPr>
        <w:pStyle w:val="LO-normal"/>
      </w:pPr>
      <w:r>
        <w:t xml:space="preserve">Table </w:t>
      </w:r>
      <w:r w:rsidR="00686AFA">
        <w:t>5</w:t>
      </w:r>
      <w:r>
        <w:t>: List of peptide secondary structure prediction tools.</w:t>
      </w:r>
    </w:p>
    <w:tbl>
      <w:tblPr>
        <w:tblW w:w="93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40" w:type="dxa"/>
          <w:left w:w="23" w:type="dxa"/>
          <w:bottom w:w="40" w:type="dxa"/>
          <w:right w:w="40" w:type="dxa"/>
        </w:tblCellMar>
        <w:tblLook w:val="04A0" w:firstRow="1" w:lastRow="0" w:firstColumn="1" w:lastColumn="0" w:noHBand="0" w:noVBand="1"/>
      </w:tblPr>
      <w:tblGrid>
        <w:gridCol w:w="1480"/>
        <w:gridCol w:w="5820"/>
        <w:gridCol w:w="1460"/>
        <w:gridCol w:w="570"/>
      </w:tblGrid>
      <w:tr w:rsidR="006D4147" w14:paraId="0D226F64" w14:textId="77777777">
        <w:trPr>
          <w:trHeight w:val="315"/>
        </w:trPr>
        <w:tc>
          <w:tcPr>
            <w:tcW w:w="149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49733BE" w14:textId="77777777" w:rsidR="001529CF" w:rsidRDefault="00492337">
            <w:pPr>
              <w:pStyle w:val="LO-normal"/>
              <w:widowControl w:val="0"/>
              <w:rPr>
                <w:b/>
                <w:sz w:val="20"/>
                <w:szCs w:val="20"/>
              </w:rPr>
            </w:pPr>
            <w:r>
              <w:rPr>
                <w:b/>
                <w:sz w:val="20"/>
                <w:szCs w:val="20"/>
              </w:rPr>
              <w:t>Name</w:t>
            </w:r>
          </w:p>
        </w:tc>
        <w:tc>
          <w:tcPr>
            <w:tcW w:w="58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7A8C615" w14:textId="77777777" w:rsidR="001529CF" w:rsidRDefault="00492337">
            <w:pPr>
              <w:pStyle w:val="LO-normal"/>
              <w:widowControl w:val="0"/>
              <w:rPr>
                <w:b/>
                <w:sz w:val="20"/>
                <w:szCs w:val="20"/>
              </w:rPr>
            </w:pPr>
            <w:r>
              <w:rPr>
                <w:b/>
                <w:sz w:val="20"/>
                <w:szCs w:val="20"/>
              </w:rPr>
              <w:t>Website</w:t>
            </w:r>
          </w:p>
        </w:tc>
        <w:tc>
          <w:tcPr>
            <w:tcW w:w="146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0C3E71A" w14:textId="77777777" w:rsidR="001529CF" w:rsidRDefault="00492337">
            <w:pPr>
              <w:pStyle w:val="LO-normal"/>
              <w:widowControl w:val="0"/>
              <w:rPr>
                <w:b/>
                <w:sz w:val="20"/>
                <w:szCs w:val="20"/>
              </w:rPr>
            </w:pPr>
            <w:r>
              <w:rPr>
                <w:b/>
                <w:sz w:val="20"/>
                <w:szCs w:val="20"/>
              </w:rPr>
              <w:t>Notes</w:t>
            </w:r>
          </w:p>
        </w:tc>
        <w:tc>
          <w:tcPr>
            <w:tcW w:w="4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6859142" w14:textId="77777777" w:rsidR="001529CF" w:rsidRDefault="00492337">
            <w:pPr>
              <w:pStyle w:val="LO-normal"/>
              <w:widowControl w:val="0"/>
              <w:rPr>
                <w:b/>
                <w:sz w:val="20"/>
                <w:szCs w:val="20"/>
              </w:rPr>
            </w:pPr>
            <w:r>
              <w:rPr>
                <w:b/>
                <w:sz w:val="20"/>
                <w:szCs w:val="20"/>
              </w:rPr>
              <w:t>Ref</w:t>
            </w:r>
          </w:p>
        </w:tc>
      </w:tr>
      <w:tr w:rsidR="006D4147" w14:paraId="14A31992" w14:textId="77777777">
        <w:trPr>
          <w:trHeight w:val="240"/>
        </w:trPr>
        <w:tc>
          <w:tcPr>
            <w:tcW w:w="149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D17FDB5" w14:textId="77777777" w:rsidR="001529CF" w:rsidRDefault="00492337">
            <w:pPr>
              <w:pStyle w:val="LO-normal"/>
              <w:widowControl w:val="0"/>
              <w:rPr>
                <w:sz w:val="20"/>
                <w:szCs w:val="20"/>
              </w:rPr>
            </w:pPr>
            <w:r>
              <w:rPr>
                <w:sz w:val="20"/>
                <w:szCs w:val="20"/>
              </w:rPr>
              <w:t>PEP2D</w:t>
            </w:r>
          </w:p>
        </w:tc>
        <w:tc>
          <w:tcPr>
            <w:tcW w:w="58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C6CF34E" w14:textId="77777777" w:rsidR="001529CF" w:rsidRDefault="00640BFA">
            <w:pPr>
              <w:pStyle w:val="LO-normal"/>
              <w:widowControl w:val="0"/>
            </w:pPr>
            <w:hyperlink r:id="rId31">
              <w:r w:rsidR="00492337">
                <w:rPr>
                  <w:rStyle w:val="ListLabel120"/>
                </w:rPr>
                <w:t>crdd.osdd.net/raghava/pep2d/</w:t>
              </w:r>
            </w:hyperlink>
          </w:p>
        </w:tc>
        <w:tc>
          <w:tcPr>
            <w:tcW w:w="146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ABEB634" w14:textId="77777777" w:rsidR="001529CF" w:rsidRDefault="00492337">
            <w:pPr>
              <w:pStyle w:val="LO-normal"/>
              <w:widowControl w:val="0"/>
              <w:rPr>
                <w:sz w:val="20"/>
                <w:szCs w:val="20"/>
              </w:rPr>
            </w:pPr>
            <w:r>
              <w:rPr>
                <w:sz w:val="20"/>
                <w:szCs w:val="20"/>
              </w:rPr>
              <w:t>Webserver</w:t>
            </w:r>
          </w:p>
        </w:tc>
        <w:tc>
          <w:tcPr>
            <w:tcW w:w="4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160AB94" w14:textId="6384F042" w:rsidR="001529CF" w:rsidRDefault="00B806B2" w:rsidP="00A313B9">
            <w:pPr>
              <w:pStyle w:val="LO-normal"/>
              <w:widowControl w:val="0"/>
            </w:pPr>
            <w:r>
              <w:fldChar w:fldCharType="begin" w:fldLock="1"/>
            </w:r>
            <w:r w:rsidR="00D40997">
              <w:instrText>ADDIN CSL_CITATION {"citationItems":[{"id":"ITEM-1","itemData":{"DOI":"10.1101/558791","abstract":"In the past, large numbers of methods have been developed for predicting secondary structure of proteins. Best of author’s knowledge no method has been specifically developed for predicting secondary structure of peptides. We analyzed secondary structure of peptides and proteins; it was observed that same peptide in protein adopt different secondary structures. Considering the wide application of peptides in therapeutic market, we made attempt to develop a method called PEP2D for predicting secondary structure of peptides.In this study, 3107 unique peptides have been used to train, test and evaluate peptide secondary structure prediction models. It was observed that regular secondary structure content (e.g., helix, beta-sheet) increased with length of peptides. Firstly, models based on various machine-learning techniques have been developed using binary profile of peptides and achieved maximum overall accuracy (Q3) 79.5%. The performance of models further improved from 79.5% to 83.5% using evolutionary information in the form of PSSM profile. We also evaluate performance of protein secondary structure prediction method PSIPRED on our dataset and achieved maximum accuracy 76.9%; particularly poor (Q3 71.4%) for small peptides having length less than 10 residues. Overall, PEP2D has better prediction of beta-sheets (Q3 74%) and coil region (Q3 87%) of peptides as compare to PSIPRED (Q3 54.4% for beta-sheet and Q3 77.9% for coil). We also measure performance of PSIPRED and PEP2D in terms of segment overlap (SOV); achieved 69.3 and 76.7 respectively.Our observations indicate that there is a need of developing separate method for predicting secondary structure of peptides. It was also observed that models based on PSSM profile perform poor on small peptides in comparison to long peptides. Based on our study, we developed method for predicting secondary structure of peptides. In order to provide service to user, a webserver/standalone has been developed (https://webs.iiitd.edu.in/raghava/pep2d/).","author":[{"dropping-particle":"","family":"Singh","given":"Harinder","non-dropping-particle":"","parse-names":false,"suffix":""},{"dropping-particle":"","family":"Singh","given":"Sandeep","non-dropping-particle":"","parse-names":false,"suffix":""},{"dropping-particle":"","family":"Singh Raghava","given":"Gajendra Pal","non-dropping-particle":"","parse-names":false,"suffix":""}],"container-title":"bioRxiv","id":"ITEM-1","issued":{"date-parts":[["2019","2","25"]]},"publisher":"bioRxiv","title":"Peptide Secondary Structure Prediction using Evolutionary Information","type":"article-journal","volume":"558791"},"uris":["http://www.mendeley.com/documents/?uuid=ffb95ede-0ad4-31ad-88bc-d88f37c21dcf"]}],"mendeley":{"formattedCitation":"&lt;sup&gt;167&lt;/sup&gt;","plainTextFormattedCitation":"167","previouslyFormattedCitation":"&lt;sup&gt;167&lt;/sup&gt;"},"properties":{"noteIndex":0},"schema":"https://github.com/citation-style-language/schema/raw/master/csl-citation.json"}</w:instrText>
            </w:r>
            <w:r>
              <w:fldChar w:fldCharType="separate"/>
            </w:r>
            <w:r w:rsidR="00A313B9" w:rsidRPr="00A313B9">
              <w:rPr>
                <w:noProof/>
                <w:vertAlign w:val="superscript"/>
              </w:rPr>
              <w:t>167</w:t>
            </w:r>
            <w:r>
              <w:fldChar w:fldCharType="end"/>
            </w:r>
          </w:p>
        </w:tc>
      </w:tr>
      <w:tr w:rsidR="006D4147" w14:paraId="2B990CC8" w14:textId="77777777">
        <w:trPr>
          <w:trHeight w:val="435"/>
        </w:trPr>
        <w:tc>
          <w:tcPr>
            <w:tcW w:w="149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018B07C" w14:textId="77777777" w:rsidR="001529CF" w:rsidRDefault="00492337">
            <w:pPr>
              <w:pStyle w:val="LO-normal"/>
              <w:widowControl w:val="0"/>
              <w:rPr>
                <w:sz w:val="20"/>
                <w:szCs w:val="20"/>
              </w:rPr>
            </w:pPr>
            <w:r>
              <w:rPr>
                <w:sz w:val="20"/>
                <w:szCs w:val="20"/>
              </w:rPr>
              <w:t>PEP-FOLD 3.5</w:t>
            </w:r>
          </w:p>
        </w:tc>
        <w:tc>
          <w:tcPr>
            <w:tcW w:w="58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E375299" w14:textId="77777777" w:rsidR="001529CF" w:rsidRDefault="00640BFA">
            <w:pPr>
              <w:pStyle w:val="LO-normal"/>
              <w:widowControl w:val="0"/>
            </w:pPr>
            <w:hyperlink r:id="rId32" w:anchor="forms::PEP-FOLD3" w:history="1">
              <w:r w:rsidR="00492337">
                <w:rPr>
                  <w:rStyle w:val="ListLabel120"/>
                </w:rPr>
                <w:t>mobyle.rpbs.univ-paris-diderot.fr/cgi-bin/portal.py#forms::PEP-FOLD3</w:t>
              </w:r>
            </w:hyperlink>
          </w:p>
        </w:tc>
        <w:tc>
          <w:tcPr>
            <w:tcW w:w="146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B68915A" w14:textId="77777777" w:rsidR="001529CF" w:rsidRDefault="00492337">
            <w:pPr>
              <w:pStyle w:val="LO-normal"/>
              <w:widowControl w:val="0"/>
              <w:rPr>
                <w:sz w:val="20"/>
                <w:szCs w:val="20"/>
              </w:rPr>
            </w:pPr>
            <w:r>
              <w:rPr>
                <w:sz w:val="20"/>
                <w:szCs w:val="20"/>
              </w:rPr>
              <w:t>Webserver</w:t>
            </w:r>
          </w:p>
        </w:tc>
        <w:tc>
          <w:tcPr>
            <w:tcW w:w="4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59CCE09" w14:textId="3B9513DD" w:rsidR="001529CF" w:rsidRDefault="00B806B2" w:rsidP="00A313B9">
            <w:pPr>
              <w:pStyle w:val="LO-normal"/>
              <w:widowControl w:val="0"/>
            </w:pPr>
            <w:r>
              <w:fldChar w:fldCharType="begin" w:fldLock="1"/>
            </w:r>
            <w:r w:rsidR="00576689">
              <w:instrText>ADDIN CSL_CITATION {"citationItems":[{"id":"ITEM-1","itemData":{"DOI":"10.1021/ct500592m","ISSN":"15499626","abstract":"Peptides and mini proteins have many biological and biomedical implications, which motivates the development of accurate methods, suitable for large-scale experiments, to predict their experimental or native conformations solely from sequences. In this study, we report PEP-FOLD2, an improved coarse grained approach for peptide de novo structure prediction and compare it with PEP-FOLD1 and the state-of-the-art Rosetta program. Using a benchmark of 56 structurally diverse peptides with 25-52 amino acids and a total of 600 simulations for each system, PEP-FOLD2 generates higher quality models than PEP-FOLD1, and PEP-FOLD2 and Rosetta generate near-native or native models for 95% and 88% of the targets, respectively. In the situation where we do not have any experimental structures at hand, PEP-FOLD2 and Rosetta return a near-native or native conformation among the top five best scored models for 80% and 75% of the targets, respectively. While the PEP-FOLD2 prediction rate is better than the ROSETTA prediction rate by 5%, this improvement is non-negligible because PEP-FOLD2 explores a larger conformational space than ROSETTA and consists of a single coarse-grained phase. Our results indicate that if the coarse-grained PEP-FOLD2 method is approaching maturity, we are not at the end of the game of mini-protein structure prediction, but this opens new perspectives for large-scale in silico experiments.","author":[{"dropping-particle":"","family":"Shen","given":"Yimin","non-dropping-particle":"","parse-names":false,"suffix":""},{"dropping-particle":"","family":"Maupetit","given":"Julien","non-dropping-particle":"","parse-names":false,"suffix":""},{"dropping-particle":"","family":"Derreumaux","given":"Philippe","non-dropping-particle":"","parse-names":false,"suffix":""},{"dropping-particle":"","family":"Tufféry","given":"Pierre","non-dropping-particle":"","parse-names":false,"suffix":""}],"container-title":"Journal of Chemical Theory and Computation","id":"ITEM-1","issue":"10","issued":{"date-parts":[["2014","10","14"]]},"page":"4745-4758","publisher":"American Chemical Society","title":"Improved PEP-FOLD approach for peptide and miniprotein structure prediction","type":"article-journal","volume":"10"},"uris":["http://www.mendeley.com/documents/?uuid=d2a7ef8c-76b6-3255-8712-8df26658ba61"]}],"mendeley":{"formattedCitation":"&lt;sup&gt;159&lt;/sup&gt;","plainTextFormattedCitation":"159","previouslyFormattedCitation":"&lt;sup&gt;159&lt;/sup&gt;"},"properties":{"noteIndex":0},"schema":"https://github.com/citation-style-language/schema/raw/master/csl-citation.json"}</w:instrText>
            </w:r>
            <w:r>
              <w:fldChar w:fldCharType="separate"/>
            </w:r>
            <w:r w:rsidR="00A313B9" w:rsidRPr="00A313B9">
              <w:rPr>
                <w:noProof/>
                <w:vertAlign w:val="superscript"/>
              </w:rPr>
              <w:t>159</w:t>
            </w:r>
            <w:r>
              <w:fldChar w:fldCharType="end"/>
            </w:r>
          </w:p>
        </w:tc>
      </w:tr>
      <w:tr w:rsidR="006D4147" w14:paraId="4554CFFB" w14:textId="77777777">
        <w:trPr>
          <w:trHeight w:val="300"/>
        </w:trPr>
        <w:tc>
          <w:tcPr>
            <w:tcW w:w="149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98C2282" w14:textId="77777777" w:rsidR="001529CF" w:rsidRDefault="00492337">
            <w:pPr>
              <w:pStyle w:val="LO-normal"/>
              <w:widowControl w:val="0"/>
              <w:rPr>
                <w:sz w:val="20"/>
                <w:szCs w:val="20"/>
              </w:rPr>
            </w:pPr>
            <w:r>
              <w:rPr>
                <w:sz w:val="20"/>
                <w:szCs w:val="20"/>
              </w:rPr>
              <w:t>PEPstrMOD</w:t>
            </w:r>
          </w:p>
        </w:tc>
        <w:tc>
          <w:tcPr>
            <w:tcW w:w="58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014A481" w14:textId="77777777" w:rsidR="001529CF" w:rsidRDefault="00640BFA">
            <w:pPr>
              <w:pStyle w:val="LO-normal"/>
              <w:widowControl w:val="0"/>
            </w:pPr>
            <w:hyperlink r:id="rId33">
              <w:r w:rsidR="00492337">
                <w:rPr>
                  <w:rStyle w:val="ListLabel120"/>
                </w:rPr>
                <w:t>osddlinux.osdd.net/raghava/pepstrmod/</w:t>
              </w:r>
            </w:hyperlink>
          </w:p>
        </w:tc>
        <w:tc>
          <w:tcPr>
            <w:tcW w:w="146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2F7A315" w14:textId="77777777" w:rsidR="001529CF" w:rsidRDefault="00492337">
            <w:pPr>
              <w:pStyle w:val="LO-normal"/>
              <w:widowControl w:val="0"/>
              <w:rPr>
                <w:sz w:val="20"/>
                <w:szCs w:val="20"/>
              </w:rPr>
            </w:pPr>
            <w:r>
              <w:rPr>
                <w:sz w:val="20"/>
                <w:szCs w:val="20"/>
              </w:rPr>
              <w:t>Webserver</w:t>
            </w:r>
          </w:p>
        </w:tc>
        <w:tc>
          <w:tcPr>
            <w:tcW w:w="4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1383BA3" w14:textId="6133F1FF" w:rsidR="001529CF" w:rsidRDefault="00B806B2" w:rsidP="00A313B9">
            <w:pPr>
              <w:pStyle w:val="LO-normal"/>
              <w:widowControl w:val="0"/>
            </w:pPr>
            <w:r>
              <w:fldChar w:fldCharType="begin" w:fldLock="1"/>
            </w:r>
            <w:r w:rsidR="00576689">
              <w:instrText>ADDIN CSL_CITATION {"citationItems":[{"id":"ITEM-1","itemData":{"DOI":"10.1186/s13062-015-0103-4","ISSN":"17456150","PMID":"26690490","abstract":"Background: In the past, many methods have been developed for peptide tertiary structure prediction but they are limited to peptides having natural amino acids. This study describes a method PEPstrMOD, which is an updated version of PEPstr, developed specifically for predicting the structure of peptides containing natural and non-natural/modified residues. Results: PEPstrMOD integrates Forcefield_NCAA and Forcefield_PTM force field libraries to handle 147 non-natural residues and 32 types of post-translational modifications respectively by performing molecular dynamics using AMBER. AMBER was also used to handle other modifications like peptide cyclization, use of D-amino acids and capping of terminal residues. In addition, GROMACS was used to implement 210 non-natural side-chains in peptides using SwissSideChain force field library. We evaluated the performance of PEPstrMOD on three datasets generated from Protein Data Bank; i) ModPep dataset contains 501 non-natural peptides, ii) ModPep16, a subset of ModPep, and iii) CyclicPep contains 34 cyclic peptides. We achieved backbone Root Mean Square Deviation between the actual and predicted structure of peptides in the range of 3.81-4.05 Å. Conclusions: In summary, the method PEPstrMOD has been developed that predicts the structure of modified peptide from the sequence/structure given as input. We validated the PEPstrMOD application using a dataset of peptides having non-natural/modified residues. PEPstrMOD offers unique advantages that allow the users to predict the structures of peptides having i) natural residues, ii) non-naturally modified residues, iii) terminal modifications, iv) post-translational modifications, v) D-amino acids, and also allows extended simulation of predicted peptides. This will help the researchers to have prior structural information of modified peptides to further design the peptides for desired therapeutic property. PEPstrMOD is freely available at http://osddlinux.osdd.net/raghava/pepstrmod/. Reviewers: This article was reviewed by Prof Michael Gromiha, Dr. Bojan Zagrovic and Dr. Zoltan Gaspari.","author":[{"dropping-particle":"","family":"Singh","given":"Sandeep","non-dropping-particle":"","parse-names":false,"suffix":""},{"dropping-particle":"","family":"Singh","given":"Harinder","non-dropping-particle":"","parse-names":false,"suffix":""},{"dropping-particle":"","family":"Tuknait","given":"Abhishek","non-dropping-particle":"","parse-names":false,"suffix":""},{"dropping-particle":"","family":"Chaudhary","given":"Kumardeep","non-dropping-particle":"","parse-names":false,"suffix":""},{"dropping-particle":"","family":"Singh","given":"Balvinder","non-dropping-particle":"","parse-names":false,"suffix":""},{"dropping-particle":"","family":"Kumaran","given":"S.","non-dropping-particle":"","parse-names":false,"suffix":""},{"dropping-particle":"","family":"Raghava","given":"Gajendra P.S.","non-dropping-particle":"","parse-names":false,"suffix":""}],"container-title":"Biology Direct","id":"ITEM-1","issue":"1","issued":{"date-parts":[["2015","12","21"]]},"page":"73","publisher":"BioMed Central Ltd.","title":"PEPstrMOD: Structure prediction of peptides containing natural, non-natural and modified residues","type":"article-journal","volume":"10"},"uris":["http://www.mendeley.com/documents/?uuid=16708f93-5c3f-36a5-8a13-d184ea1c611d"]}],"mendeley":{"formattedCitation":"&lt;sup&gt;168&lt;/sup&gt;","plainTextFormattedCitation":"168","previouslyFormattedCitation":"&lt;sup&gt;168&lt;/sup&gt;"},"properties":{"noteIndex":0},"schema":"https://github.com/citation-style-language/schema/raw/master/csl-citation.json"}</w:instrText>
            </w:r>
            <w:r>
              <w:fldChar w:fldCharType="separate"/>
            </w:r>
            <w:r w:rsidR="00A313B9" w:rsidRPr="00A313B9">
              <w:rPr>
                <w:noProof/>
                <w:vertAlign w:val="superscript"/>
              </w:rPr>
              <w:t>168</w:t>
            </w:r>
            <w:r>
              <w:fldChar w:fldCharType="end"/>
            </w:r>
          </w:p>
        </w:tc>
      </w:tr>
      <w:tr w:rsidR="006D4147" w14:paraId="683AF555" w14:textId="77777777">
        <w:trPr>
          <w:trHeight w:val="555"/>
        </w:trPr>
        <w:tc>
          <w:tcPr>
            <w:tcW w:w="149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1BB9C02" w14:textId="77777777" w:rsidR="001529CF" w:rsidRDefault="00492337">
            <w:pPr>
              <w:pStyle w:val="LO-normal"/>
              <w:widowControl w:val="0"/>
              <w:rPr>
                <w:sz w:val="20"/>
                <w:szCs w:val="20"/>
              </w:rPr>
            </w:pPr>
            <w:r>
              <w:rPr>
                <w:sz w:val="20"/>
                <w:szCs w:val="20"/>
              </w:rPr>
              <w:t>Jpred 4</w:t>
            </w:r>
          </w:p>
        </w:tc>
        <w:tc>
          <w:tcPr>
            <w:tcW w:w="58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55CF208" w14:textId="77777777" w:rsidR="001529CF" w:rsidRDefault="00640BFA">
            <w:pPr>
              <w:pStyle w:val="LO-normal"/>
              <w:widowControl w:val="0"/>
            </w:pPr>
            <w:hyperlink r:id="rId34">
              <w:r w:rsidR="00492337">
                <w:rPr>
                  <w:rStyle w:val="ListLabel120"/>
                </w:rPr>
                <w:t>compbio.dundee.ac.uk/jpred/</w:t>
              </w:r>
            </w:hyperlink>
          </w:p>
        </w:tc>
        <w:tc>
          <w:tcPr>
            <w:tcW w:w="146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9BE2009" w14:textId="77777777" w:rsidR="001529CF" w:rsidRDefault="00492337">
            <w:pPr>
              <w:pStyle w:val="LO-normal"/>
              <w:widowControl w:val="0"/>
              <w:rPr>
                <w:sz w:val="20"/>
                <w:szCs w:val="20"/>
              </w:rPr>
            </w:pPr>
            <w:r>
              <w:rPr>
                <w:sz w:val="20"/>
                <w:szCs w:val="20"/>
              </w:rPr>
              <w:t>Webserver</w:t>
            </w:r>
          </w:p>
        </w:tc>
        <w:tc>
          <w:tcPr>
            <w:tcW w:w="4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DDFA7F3" w14:textId="65660C60" w:rsidR="001529CF" w:rsidRDefault="00B806B2" w:rsidP="00A313B9">
            <w:pPr>
              <w:pStyle w:val="LO-normal"/>
              <w:widowControl w:val="0"/>
            </w:pPr>
            <w:r>
              <w:fldChar w:fldCharType="begin" w:fldLock="1"/>
            </w:r>
            <w:r w:rsidR="00576689">
              <w:instrText>ADDIN CSL_CITATION {"citationItems":[{"id":"ITEM-1","itemData":{"DOI":"10.1093/nar/gkv332","ISSN":"13624962","PMID":"25883141","abstract":"JPred4 (http://www.compbio.dundee.ac.uk/jpred4) is the latest version of the popular JPred protein secondary structure prediction server which provides predictions by the JNet algorithm, one of the most accurate methods for secondary structure prediction. In addition to protein secondary structure, JPred also makes predictions of solvent accessibility and coiled-coil regions. The JPred service runs up to 94 000 jobs per month and has carried out over 1.5 million predictions in total for users in 179 countries. The JPred4 web server has been re-implemented in the Bootstrap framework and JavaScript to improve its design, usability and accessibility from mobile devices. JPred4 features higher accuracy, with a blind three-state (α-helix, β-strand and coil) secondary structure prediction accuracy of 82.0% while solvent accessibility prediction accuracy has been raised to 90% for residues &lt;5% accessible. Reporting of results is enhanced both on the website and through the optional email summaries and batch submission results. Predictions are now presented in SVG format with options to view full multiple sequence alignments with and without gaps and insertions. Finally, the help-pages have been updated and tool-tips added as well as step-by-step tutorials.","author":[{"dropping-particle":"","family":"Drozdetskiy","given":"Alexey","non-dropping-particle":"","parse-names":false,"suffix":""},{"dropping-particle":"","family":"Cole","given":"Christian","non-dropping-particle":"","parse-names":false,"suffix":""},{"dropping-particle":"","family":"Procter","given":"James","non-dropping-particle":"","parse-names":false,"suffix":""},{"dropping-particle":"","family":"Barton","given":"Geoffrey J.","non-dropping-particle":"","parse-names":false,"suffix":""}],"container-title":"Nucleic Acids Research","id":"ITEM-1","issue":"W1","issued":{"date-parts":[["2015","7","1"]]},"page":"W389-W394","publisher":"Oxford University Press","title":"JPred4: A protein secondary structure prediction server","type":"article-journal","volume":"43"},"uris":["http://www.mendeley.com/documents/?uuid=6e005aef-5711-3eb6-93d7-50d50cad1323"]}],"mendeley":{"formattedCitation":"&lt;sup&gt;169&lt;/sup&gt;","plainTextFormattedCitation":"169","previouslyFormattedCitation":"&lt;sup&gt;169&lt;/sup&gt;"},"properties":{"noteIndex":0},"schema":"https://github.com/citation-style-language/schema/raw/master/csl-citation.json"}</w:instrText>
            </w:r>
            <w:r>
              <w:fldChar w:fldCharType="separate"/>
            </w:r>
            <w:r w:rsidR="00A313B9" w:rsidRPr="00A313B9">
              <w:rPr>
                <w:noProof/>
                <w:vertAlign w:val="superscript"/>
              </w:rPr>
              <w:t>169</w:t>
            </w:r>
            <w:r>
              <w:fldChar w:fldCharType="end"/>
            </w:r>
          </w:p>
        </w:tc>
      </w:tr>
      <w:tr w:rsidR="006D4147" w14:paraId="4113ECF5" w14:textId="77777777">
        <w:trPr>
          <w:trHeight w:val="450"/>
        </w:trPr>
        <w:tc>
          <w:tcPr>
            <w:tcW w:w="149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8E2B8D6" w14:textId="77777777" w:rsidR="001529CF" w:rsidRDefault="00492337">
            <w:pPr>
              <w:pStyle w:val="LO-normal"/>
              <w:widowControl w:val="0"/>
              <w:rPr>
                <w:sz w:val="20"/>
                <w:szCs w:val="20"/>
              </w:rPr>
            </w:pPr>
            <w:r>
              <w:rPr>
                <w:sz w:val="20"/>
                <w:szCs w:val="20"/>
              </w:rPr>
              <w:t>PHD</w:t>
            </w:r>
          </w:p>
        </w:tc>
        <w:tc>
          <w:tcPr>
            <w:tcW w:w="58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CD9C65A" w14:textId="77777777" w:rsidR="001529CF" w:rsidRDefault="00640BFA">
            <w:pPr>
              <w:pStyle w:val="LO-normal"/>
              <w:widowControl w:val="0"/>
            </w:pPr>
            <w:hyperlink r:id="rId35">
              <w:r w:rsidR="00492337">
                <w:rPr>
                  <w:rStyle w:val="ListLabel120"/>
                </w:rPr>
                <w:t>npsa-prabi.ibcp.fr/cgi-bin/npsa_automat.pl?page=/NPSA/npsa_phd.html</w:t>
              </w:r>
            </w:hyperlink>
          </w:p>
        </w:tc>
        <w:tc>
          <w:tcPr>
            <w:tcW w:w="146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99B5803" w14:textId="77777777" w:rsidR="001529CF" w:rsidRDefault="00492337">
            <w:pPr>
              <w:pStyle w:val="LO-normal"/>
              <w:widowControl w:val="0"/>
              <w:rPr>
                <w:sz w:val="20"/>
                <w:szCs w:val="20"/>
              </w:rPr>
            </w:pPr>
            <w:r>
              <w:rPr>
                <w:sz w:val="20"/>
                <w:szCs w:val="20"/>
              </w:rPr>
              <w:t>Webserver</w:t>
            </w:r>
          </w:p>
        </w:tc>
        <w:tc>
          <w:tcPr>
            <w:tcW w:w="4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78C6BE4" w14:textId="75FD7CB1" w:rsidR="001529CF" w:rsidRDefault="00B806B2" w:rsidP="00A313B9">
            <w:pPr>
              <w:pStyle w:val="LO-normal"/>
              <w:widowControl w:val="0"/>
            </w:pPr>
            <w:r>
              <w:fldChar w:fldCharType="begin" w:fldLock="1"/>
            </w:r>
            <w:r w:rsidR="00576689">
              <w:instrText>ADDIN CSL_CITATION {"citationItems":[{"id":"ITEM-1","itemData":{"DOI":"10.1016/s0076-6879(96)66033-9","ISSN":"00766879","PMID":"8743704","author":[{"dropping-particle":"","family":"Rost","given":"Burkhard","non-dropping-particle":"","parse-names":false,"suffix":""}],"container-title":"Methods in Enzymology","id":"ITEM-1","issued":{"date-parts":[["1996","1","1"]]},"page":"525-539","publisher":"Academic Press Inc.","title":"PHD: Predicting one-dimensional protein structure by profile-based neural networks","type":"article-journal","volume":"266"},"uris":["http://www.mendeley.com/documents/?uuid=cb400324-a119-3cf9-8507-214e0959bd64"]}],"mendeley":{"formattedCitation":"&lt;sup&gt;170&lt;/sup&gt;","plainTextFormattedCitation":"170","previouslyFormattedCitation":"&lt;sup&gt;170&lt;/sup&gt;"},"properties":{"noteIndex":0},"schema":"https://github.com/citation-style-language/schema/raw/master/csl-citation.json"}</w:instrText>
            </w:r>
            <w:r>
              <w:fldChar w:fldCharType="separate"/>
            </w:r>
            <w:r w:rsidR="00A313B9" w:rsidRPr="00A313B9">
              <w:rPr>
                <w:noProof/>
                <w:vertAlign w:val="superscript"/>
              </w:rPr>
              <w:t>170</w:t>
            </w:r>
            <w:r>
              <w:fldChar w:fldCharType="end"/>
            </w:r>
          </w:p>
        </w:tc>
      </w:tr>
      <w:tr w:rsidR="006D4147" w14:paraId="72B9B6B6" w14:textId="77777777">
        <w:trPr>
          <w:trHeight w:val="555"/>
        </w:trPr>
        <w:tc>
          <w:tcPr>
            <w:tcW w:w="149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47658C2" w14:textId="77777777" w:rsidR="001529CF" w:rsidRDefault="00492337">
            <w:pPr>
              <w:pStyle w:val="LO-normal"/>
              <w:widowControl w:val="0"/>
              <w:rPr>
                <w:sz w:val="20"/>
                <w:szCs w:val="20"/>
              </w:rPr>
            </w:pPr>
            <w:r>
              <w:rPr>
                <w:sz w:val="20"/>
                <w:szCs w:val="20"/>
              </w:rPr>
              <w:t>PSIPRED</w:t>
            </w:r>
          </w:p>
        </w:tc>
        <w:tc>
          <w:tcPr>
            <w:tcW w:w="58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B37D794" w14:textId="77777777" w:rsidR="001529CF" w:rsidRDefault="00640BFA">
            <w:pPr>
              <w:pStyle w:val="LO-normal"/>
              <w:widowControl w:val="0"/>
            </w:pPr>
            <w:hyperlink r:id="rId36">
              <w:r w:rsidR="00492337">
                <w:rPr>
                  <w:rStyle w:val="ListLabel120"/>
                </w:rPr>
                <w:t>bioinf.cs.ucl.ac.uk/psipred/</w:t>
              </w:r>
            </w:hyperlink>
          </w:p>
        </w:tc>
        <w:tc>
          <w:tcPr>
            <w:tcW w:w="146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8561F15" w14:textId="77777777" w:rsidR="001529CF" w:rsidRDefault="00492337">
            <w:pPr>
              <w:pStyle w:val="LO-normal"/>
              <w:widowControl w:val="0"/>
              <w:rPr>
                <w:sz w:val="20"/>
                <w:szCs w:val="20"/>
              </w:rPr>
            </w:pPr>
            <w:r>
              <w:rPr>
                <w:sz w:val="20"/>
                <w:szCs w:val="20"/>
              </w:rPr>
              <w:t>Webserver</w:t>
            </w:r>
          </w:p>
        </w:tc>
        <w:tc>
          <w:tcPr>
            <w:tcW w:w="4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AF34C0F" w14:textId="4317A46A" w:rsidR="001529CF" w:rsidRDefault="00B806B2" w:rsidP="00A313B9">
            <w:pPr>
              <w:pStyle w:val="LO-normal"/>
              <w:widowControl w:val="0"/>
            </w:pPr>
            <w:r>
              <w:fldChar w:fldCharType="begin" w:fldLock="1"/>
            </w:r>
            <w:r w:rsidR="00576689">
              <w:instrText>ADDIN CSL_CITATION {"citationItems":[{"id":"ITEM-1","itemData":{"DOI":"10.1006/jmbi.1999.3091","ISSN":"00222836","PMID":"10493868","abstract":"A two-stage neural network has been used to predict protein secondary structure based on the position specific scoring matrices generated by PSI-BLAST. Despite the simplicity and convenience of the approach used, the results are found to be superior to those produced by other methods, including the popular PHD method according to our own benchmarking results and the results from the recent Critical Assessment of Techniques for Protein Structure Prediction experiment (CASP3), where the method was evaluated by stringent blind testing. Using a new testing set based on a set of 187 unique folds, and three-way cross-validation based on structural similarity criteria rather than sequence similarity criteria used previously (no similar folds were present in both the testing and training sets) the method presented here (PSIPRED) achieved an average Q3 score of between 76.5% to 78.3% depending on the precise definition of observed secondary structure used, which is the highest published score for any method to date. Given the success of the method in CASP3, it is reasonable to be confident that the evaluation presented here gives a fair indication of the performance of the method in general.","author":[{"dropping-particle":"","family":"Jones","given":"David T.","non-dropping-particle":"","parse-names":false,"suffix":""}],"container-title":"Journal of Molecular Biology","id":"ITEM-1","issue":"2","issued":{"date-parts":[["1999","9","17"]]},"page":"195-202","publisher":"Academic Press","title":"Protein secondary structure prediction based on position-specific scoring matrices","type":"article-journal","volume":"292"},"uris":["http://www.mendeley.com/documents/?uuid=ae45bee5-bba1-3494-bdd8-f65b6f1058d7"]}],"mendeley":{"formattedCitation":"&lt;sup&gt;171&lt;/sup&gt;","plainTextFormattedCitation":"171","previouslyFormattedCitation":"&lt;sup&gt;171&lt;/sup&gt;"},"properties":{"noteIndex":0},"schema":"https://github.com/citation-style-language/schema/raw/master/csl-citation.json"}</w:instrText>
            </w:r>
            <w:r>
              <w:fldChar w:fldCharType="separate"/>
            </w:r>
            <w:r w:rsidR="00A313B9" w:rsidRPr="00A313B9">
              <w:rPr>
                <w:noProof/>
                <w:vertAlign w:val="superscript"/>
              </w:rPr>
              <w:t>171</w:t>
            </w:r>
            <w:r>
              <w:fldChar w:fldCharType="end"/>
            </w:r>
          </w:p>
        </w:tc>
      </w:tr>
      <w:tr w:rsidR="006D4147" w14:paraId="599A69F0" w14:textId="77777777">
        <w:trPr>
          <w:trHeight w:val="630"/>
        </w:trPr>
        <w:tc>
          <w:tcPr>
            <w:tcW w:w="149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9A34719" w14:textId="77777777" w:rsidR="001529CF" w:rsidRDefault="00492337">
            <w:pPr>
              <w:pStyle w:val="LO-normal"/>
              <w:widowControl w:val="0"/>
              <w:rPr>
                <w:sz w:val="20"/>
                <w:szCs w:val="20"/>
              </w:rPr>
            </w:pPr>
            <w:r>
              <w:rPr>
                <w:sz w:val="20"/>
                <w:szCs w:val="20"/>
              </w:rPr>
              <w:t>SOPMA</w:t>
            </w:r>
          </w:p>
        </w:tc>
        <w:tc>
          <w:tcPr>
            <w:tcW w:w="58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7EB61F9" w14:textId="77777777" w:rsidR="001529CF" w:rsidRDefault="00640BFA">
            <w:pPr>
              <w:pStyle w:val="LO-normal"/>
              <w:widowControl w:val="0"/>
            </w:pPr>
            <w:hyperlink r:id="rId37">
              <w:r w:rsidR="00492337">
                <w:rPr>
                  <w:rStyle w:val="ListLabel120"/>
                </w:rPr>
                <w:t>npsa-prabi.ibcp.fr/cgi-bin/npsa_automat.pl?page=/NPSA/npsa_sopma.html</w:t>
              </w:r>
            </w:hyperlink>
          </w:p>
        </w:tc>
        <w:tc>
          <w:tcPr>
            <w:tcW w:w="146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C1A69C5" w14:textId="77777777" w:rsidR="001529CF" w:rsidRDefault="00492337">
            <w:pPr>
              <w:pStyle w:val="LO-normal"/>
              <w:widowControl w:val="0"/>
              <w:rPr>
                <w:sz w:val="20"/>
                <w:szCs w:val="20"/>
              </w:rPr>
            </w:pPr>
            <w:r>
              <w:rPr>
                <w:sz w:val="20"/>
                <w:szCs w:val="20"/>
              </w:rPr>
              <w:t>Webserver</w:t>
            </w:r>
          </w:p>
        </w:tc>
        <w:tc>
          <w:tcPr>
            <w:tcW w:w="4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C587C04" w14:textId="1609464B" w:rsidR="001529CF" w:rsidRDefault="00B806B2" w:rsidP="00A313B9">
            <w:pPr>
              <w:pStyle w:val="LO-normal"/>
              <w:widowControl w:val="0"/>
            </w:pPr>
            <w:r>
              <w:fldChar w:fldCharType="begin" w:fldLock="1"/>
            </w:r>
            <w:r w:rsidR="00576689">
              <w:instrText>ADDIN CSL_CITATION {"citationItems":[{"id":"ITEM-1","itemData":{"DOI":"10.1093/bioinformatics/11.6.681","ISSN":"1367-4803","abstract":"Recently a new method called the self-optimized prediction method (SOPM) has been described to improve the success rate in the prediction of the secondary structure of proteins. In this paper we report improvements brought about by predicting all the sequences of a set of aligned proteins belonging to the same family. This improved SOPM method (SOPMA) correctly predicts 69.5% of amino acids for a three-state description of the secondary structure (α-helix, β-sheet and coil) in a whole database containing 126 chains of non-homologous (less than 25% identity) proteins. Joint prediction with SOPMA and a neural networks method (PHD) correctly predicts 82.2% of residues for 74% of co-predicted amino acids. Predictions are available by Email to . deleage@ibcp.fr or on a Web page (. http://www.ibcp.fr/predict.html). © 1995 Oxford University Press.","author":[{"dropping-particle":"","family":"Geourjon","given":"C.","non-dropping-particle":"","parse-names":false,"suffix":""},{"dropping-particle":"","family":"Deléage","given":"G.","non-dropping-particle":"","parse-names":false,"suffix":""}],"container-title":"Bioinformatics","id":"ITEM-1","issue":"6","issued":{"date-parts":[["1995","12","1"]]},"page":"681-684","publisher":"Oxford Academic","title":"SOPMA: significant improvements in protein secondary structure prediction by consensus prediction from multiple alignments","type":"article-journal","volume":"11"},"uris":["http://www.mendeley.com/documents/?uuid=3731de55-6d9e-308d-82ef-1dd32e18adba"]}],"mendeley":{"formattedCitation":"&lt;sup&gt;172&lt;/sup&gt;","plainTextFormattedCitation":"172","previouslyFormattedCitation":"&lt;sup&gt;172&lt;/sup&gt;"},"properties":{"noteIndex":0},"schema":"https://github.com/citation-style-language/schema/raw/master/csl-citation.json"}</w:instrText>
            </w:r>
            <w:r>
              <w:fldChar w:fldCharType="separate"/>
            </w:r>
            <w:r w:rsidR="00A313B9" w:rsidRPr="00A313B9">
              <w:rPr>
                <w:noProof/>
                <w:vertAlign w:val="superscript"/>
              </w:rPr>
              <w:t>172</w:t>
            </w:r>
            <w:r>
              <w:fldChar w:fldCharType="end"/>
            </w:r>
          </w:p>
        </w:tc>
      </w:tr>
      <w:tr w:rsidR="006D4147" w14:paraId="03B6854A" w14:textId="77777777">
        <w:trPr>
          <w:trHeight w:val="630"/>
        </w:trPr>
        <w:tc>
          <w:tcPr>
            <w:tcW w:w="149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E78A8D0" w14:textId="0195305D" w:rsidR="007E7BCC" w:rsidRDefault="007E7BCC">
            <w:pPr>
              <w:pStyle w:val="LO-normal"/>
              <w:widowControl w:val="0"/>
              <w:rPr>
                <w:sz w:val="20"/>
                <w:szCs w:val="20"/>
              </w:rPr>
            </w:pPr>
            <w:r>
              <w:rPr>
                <w:sz w:val="20"/>
                <w:szCs w:val="20"/>
              </w:rPr>
              <w:t>I-TASSER</w:t>
            </w:r>
          </w:p>
        </w:tc>
        <w:tc>
          <w:tcPr>
            <w:tcW w:w="58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5F112CC" w14:textId="23EE2AF3" w:rsidR="007E7BCC" w:rsidRDefault="007E7BCC" w:rsidP="007E7BCC">
            <w:pPr>
              <w:pStyle w:val="LO-normal"/>
              <w:widowControl w:val="0"/>
              <w:rPr>
                <w:rStyle w:val="ListLabel120"/>
              </w:rPr>
            </w:pPr>
            <w:r w:rsidRPr="007E7BCC">
              <w:rPr>
                <w:rStyle w:val="ListLabel120"/>
              </w:rPr>
              <w:t>https://zhanglab.ccmb.med.umich.edu/I-TASSER/</w:t>
            </w:r>
          </w:p>
        </w:tc>
        <w:tc>
          <w:tcPr>
            <w:tcW w:w="146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C6AF0C6" w14:textId="02915EAA" w:rsidR="007E7BCC" w:rsidRDefault="007E7BCC">
            <w:pPr>
              <w:pStyle w:val="LO-normal"/>
              <w:widowControl w:val="0"/>
              <w:rPr>
                <w:sz w:val="20"/>
                <w:szCs w:val="20"/>
              </w:rPr>
            </w:pPr>
            <w:r>
              <w:rPr>
                <w:sz w:val="20"/>
                <w:szCs w:val="20"/>
              </w:rPr>
              <w:t>Webserver</w:t>
            </w:r>
          </w:p>
        </w:tc>
        <w:tc>
          <w:tcPr>
            <w:tcW w:w="4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DA3E5E0" w14:textId="38D71A28" w:rsidR="007E7BCC" w:rsidRDefault="007E7BCC" w:rsidP="00A313B9">
            <w:pPr>
              <w:pStyle w:val="LO-normal"/>
              <w:widowControl w:val="0"/>
            </w:pPr>
            <w:r>
              <w:fldChar w:fldCharType="begin" w:fldLock="1"/>
            </w:r>
            <w:r w:rsidR="00D40997">
              <w:instrText>ADDIN CSL_CITATION {"citationItems":[{"id":"ITEM-1","itemData":{"DOI":"10.1038/nmeth.3213","ISSN":"15487105","PMID":"25549265","abstract":"correspondence The lowest free-energy conformations are identified by structure clustering. A second round of assembly simulation is conducted, starting from the centroid models, to remove steric clashes and refine global topology. Final atomic structure models are constructed from the low-energy conformations by a two-step atomic-level energy minimization approach. The correctness of the global model is assessed by the confidence score, which is based on the significance of threading alignments and the density of structure clustering; the residue-level local quality of the structural models and B factor of the target protein are evaluated by a newly developed method, ResQ, built on the variation of modeling simulations and the uncertainty of homologous alignments through support vector regression training. For function annotation, the structure models with the highest confidence scores are matched against the BioLiP 5 database of ligand-protein interactions to detect homologous function templates. Functional insights on ligand-binding site (LBS), Enzyme Commission (EC) and Gene Ontology (GO) are deduced from the functional templates. We developed three complementary algorithms (COFACTOR, TM-SITE and S-SITE) to enhance function inferences, the consensus of which is derived by COACH 4 using support vector machines. Detailed instructions for installation, implementation and result interpretation of the Suite can be found in the Supplementary Methods and Supplementary Tables 1 and 2. The I-TASSER Suite pipeline was tested in recent community-wide structure and function prediction experiments, including CASP10 (ref. 1) and CAMEO 2. Overall, I-TASSER generated the correct fold with a template modeling score (TM-score) &gt;0.5 for 10 out of 36 \"New Fold\" (NF) targets in the CASP10, which have no homologous templates in the Protein Data Bank (PDB). Of the 110 template-based modeling targets, 92 had a TM-score &gt;0.5, and 89 had the templates drawn closer to the native with an average r.m.s. deviation improvement of 1.05 Å in the same threading-aligned regions 6. In CAMEO, COACH generated LBS predictions for 4,271 targets with an average accuracy 0.86, which was 20% higher than that of the second-best method in the experiment. Here we illustrate I-TASSER Suite-based structure and function modeling using six examples (Fig. 1b-g) from the community-wide blind tests 1,2. R0006 and R0007 are two NF targets from CASP10, and I-TASSER constructed models of correct fold wit…","author":[{"dropping-particle":"","family":"Yang","given":"Jianyi","non-dropping-particle":"","parse-names":false,"suffix":""},{"dropping-particle":"","family":"Yan","given":"Renxiang","non-dropping-particle":"","parse-names":false,"suffix":""},{"dropping-particle":"","family":"Roy","given":"Ambrish","non-dropping-particle":"","parse-names":false,"suffix":""},{"dropping-particle":"","family":"Xu","given":"Dong","non-dropping-particle":"","parse-names":false,"suffix":""},{"dropping-particle":"","family":"Poisson","given":"Jonathan","non-dropping-particle":"","parse-names":false,"suffix":""},{"dropping-particle":"","family":"Zhang","given":"Yang","non-dropping-particle":"","parse-names":false,"suffix":""}],"container-title":"Nature Methods","id":"ITEM-1","issue":"1","issued":{"date-parts":[["2014","1","1"]]},"page":"7-8","publisher":"Nature Publishing Group","title":"The I-TASSER suite: Protein structure and function prediction","type":"article-journal","volume":"12"},"uris":["http://www.mendeley.com/documents/?uuid=6b3ed321-f0fa-3329-ab1f-b58a274cd1d0"]}],"mendeley":{"formattedCitation":"&lt;sup&gt;173&lt;/sup&gt;","plainTextFormattedCitation":"173","previouslyFormattedCitation":"&lt;sup&gt;173&lt;/sup&gt;"},"properties":{"noteIndex":0},"schema":"https://github.com/citation-style-language/schema/raw/master/csl-citation.json"}</w:instrText>
            </w:r>
            <w:r>
              <w:fldChar w:fldCharType="separate"/>
            </w:r>
            <w:r w:rsidR="00A313B9" w:rsidRPr="00A313B9">
              <w:rPr>
                <w:noProof/>
                <w:vertAlign w:val="superscript"/>
              </w:rPr>
              <w:t>173</w:t>
            </w:r>
            <w:r>
              <w:fldChar w:fldCharType="end"/>
            </w:r>
          </w:p>
        </w:tc>
      </w:tr>
      <w:tr w:rsidR="006D4147" w14:paraId="7DD08AF3" w14:textId="77777777">
        <w:trPr>
          <w:trHeight w:val="630"/>
        </w:trPr>
        <w:tc>
          <w:tcPr>
            <w:tcW w:w="149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C82ED74" w14:textId="6B095630" w:rsidR="007E7BCC" w:rsidRDefault="007E7BCC">
            <w:pPr>
              <w:pStyle w:val="LO-normal"/>
              <w:widowControl w:val="0"/>
              <w:rPr>
                <w:sz w:val="20"/>
                <w:szCs w:val="20"/>
              </w:rPr>
            </w:pPr>
            <w:r>
              <w:rPr>
                <w:sz w:val="20"/>
                <w:szCs w:val="20"/>
              </w:rPr>
              <w:t>QUARK</w:t>
            </w:r>
          </w:p>
        </w:tc>
        <w:tc>
          <w:tcPr>
            <w:tcW w:w="58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5DC2B06" w14:textId="47ED37A0" w:rsidR="007E7BCC" w:rsidRPr="007E7BCC" w:rsidRDefault="007E7BCC" w:rsidP="007E7BCC">
            <w:pPr>
              <w:pStyle w:val="LO-normal"/>
              <w:widowControl w:val="0"/>
              <w:rPr>
                <w:rStyle w:val="ListLabel120"/>
              </w:rPr>
            </w:pPr>
            <w:r w:rsidRPr="007E7BCC">
              <w:rPr>
                <w:rStyle w:val="ListLabel120"/>
              </w:rPr>
              <w:t>https://zhanglab.ccmb.med.umich.edu/QUARK/</w:t>
            </w:r>
          </w:p>
        </w:tc>
        <w:tc>
          <w:tcPr>
            <w:tcW w:w="146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A6B3B47" w14:textId="106110C1" w:rsidR="007E7BCC" w:rsidRDefault="007E7BCC">
            <w:pPr>
              <w:pStyle w:val="LO-normal"/>
              <w:widowControl w:val="0"/>
              <w:rPr>
                <w:sz w:val="20"/>
                <w:szCs w:val="20"/>
              </w:rPr>
            </w:pPr>
            <w:r>
              <w:rPr>
                <w:sz w:val="20"/>
                <w:szCs w:val="20"/>
              </w:rPr>
              <w:t>Webserver</w:t>
            </w:r>
          </w:p>
        </w:tc>
        <w:tc>
          <w:tcPr>
            <w:tcW w:w="4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ECDF22D" w14:textId="36BB0FE3" w:rsidR="007E7BCC" w:rsidRDefault="001B34A9" w:rsidP="00A313B9">
            <w:pPr>
              <w:pStyle w:val="LO-normal"/>
              <w:widowControl w:val="0"/>
            </w:pPr>
            <w:r>
              <w:fldChar w:fldCharType="begin" w:fldLock="1"/>
            </w:r>
            <w:r w:rsidR="00576689">
              <w:instrText>ADDIN CSL_CITATION {"citationItems":[{"id":"ITEM-1","itemData":{"DOI":"10.1002/prot.24065","ISSN":"08873585","abstract":"Ab initio protein folding is one of the major unsolved problems in computational biology owing to the difficulties in force field design and conformational search. We developed a novel program, QUARK, for template-free protein structure prediction. Query sequences are first broken into fragments of 1-20 residues where multiple fragment structures are retrieved at each position from unrelated experimental structures. Full-length structure models are then assembled from fragments using replica-exchange Monte Carlo simulations, which are guided by a composite knowledge-based force field. A number of novel energy terms and Monte Carlo movements are introduced and the particular contributions to enhancing the efficiency of both force field and search engine are analyzed in detail. QUARK prediction procedure is depicted and tested on the structure modeling of 145 nonhomologous proteins. Although no global templates are used and all fragments from experimental structures with template modeling score &gt;0.5 are excluded, QUARK can successfully construct 3D models of correct folds in one-third cases of short proteins up to 100 residues. In the ninth community-wide Critical Assessment of protein Structure Prediction experiment, QUARK server outperformed the second and third best servers by 18 and 47% based on the cumulative Z-score of global distance test-total scores in the FM category. Although ab initio protein folding remains a significant challenge, these data demonstrate new progress toward the solution of the most important problem in the field. © 2012 Wiley Periodicals, Inc.","author":[{"dropping-particle":"","family":"Xu","given":"Dong","non-dropping-particle":"","parse-names":false,"suffix":""},{"dropping-particle":"","family":"Zhang","given":"Yang","non-dropping-particle":"","parse-names":false,"suffix":""}],"container-title":"Proteins: Structure, Function, and Bioinformatics","id":"ITEM-1","issue":"7","issued":{"date-parts":[["2012","7","1"]]},"page":"1715-1735","publisher":"John Wiley &amp; Sons, Ltd","title":"&lt;i&gt;Ab initio&lt;/i&gt; protein structure assembly using continuous structure fragments and optimized knowledge-based force field","type":"article-journal","volume":"80"},"uris":["http://www.mendeley.com/documents/?uuid=cd454b57-ead3-3089-9e00-bbd40d76f629"]}],"mendeley":{"formattedCitation":"&lt;sup&gt;174&lt;/sup&gt;","plainTextFormattedCitation":"174","previouslyFormattedCitation":"&lt;sup&gt;174&lt;/sup&gt;"},"properties":{"noteIndex":0},"schema":"https://github.com/citation-style-language/schema/raw/master/csl-citation.json"}</w:instrText>
            </w:r>
            <w:r>
              <w:fldChar w:fldCharType="separate"/>
            </w:r>
            <w:r w:rsidR="00A313B9" w:rsidRPr="00A313B9">
              <w:rPr>
                <w:noProof/>
                <w:vertAlign w:val="superscript"/>
              </w:rPr>
              <w:t>174</w:t>
            </w:r>
            <w:r>
              <w:fldChar w:fldCharType="end"/>
            </w:r>
          </w:p>
        </w:tc>
      </w:tr>
      <w:tr w:rsidR="006D4147" w14:paraId="3C5E0CB9" w14:textId="77777777">
        <w:trPr>
          <w:trHeight w:val="630"/>
        </w:trPr>
        <w:tc>
          <w:tcPr>
            <w:tcW w:w="149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4082DED" w14:textId="1BED8DBC" w:rsidR="007E7BCC" w:rsidRDefault="007E7BCC">
            <w:pPr>
              <w:pStyle w:val="LO-normal"/>
              <w:widowControl w:val="0"/>
              <w:rPr>
                <w:sz w:val="20"/>
                <w:szCs w:val="20"/>
              </w:rPr>
            </w:pPr>
            <w:r>
              <w:rPr>
                <w:sz w:val="20"/>
                <w:szCs w:val="20"/>
              </w:rPr>
              <w:t>LOMETS</w:t>
            </w:r>
          </w:p>
        </w:tc>
        <w:tc>
          <w:tcPr>
            <w:tcW w:w="58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8D6C819" w14:textId="1FF2A764" w:rsidR="007E7BCC" w:rsidRPr="007E7BCC" w:rsidRDefault="007E7BCC" w:rsidP="007E7BCC">
            <w:pPr>
              <w:pStyle w:val="LO-normal"/>
              <w:widowControl w:val="0"/>
              <w:rPr>
                <w:rStyle w:val="ListLabel120"/>
              </w:rPr>
            </w:pPr>
            <w:r w:rsidRPr="007E7BCC">
              <w:rPr>
                <w:rStyle w:val="ListLabel120"/>
              </w:rPr>
              <w:t>https://zhanglab.ccmb.med.umich.edu/LOMETS/</w:t>
            </w:r>
          </w:p>
        </w:tc>
        <w:tc>
          <w:tcPr>
            <w:tcW w:w="146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2C7293F" w14:textId="6A8767BC" w:rsidR="007E7BCC" w:rsidRDefault="007E7BCC">
            <w:pPr>
              <w:pStyle w:val="LO-normal"/>
              <w:widowControl w:val="0"/>
              <w:rPr>
                <w:sz w:val="20"/>
                <w:szCs w:val="20"/>
              </w:rPr>
            </w:pPr>
            <w:r>
              <w:rPr>
                <w:sz w:val="20"/>
                <w:szCs w:val="20"/>
              </w:rPr>
              <w:t>Webserver</w:t>
            </w:r>
          </w:p>
        </w:tc>
        <w:tc>
          <w:tcPr>
            <w:tcW w:w="4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D861847" w14:textId="5A73FC57" w:rsidR="007E7BCC" w:rsidRDefault="001B34A9" w:rsidP="00A313B9">
            <w:pPr>
              <w:pStyle w:val="LO-normal"/>
              <w:widowControl w:val="0"/>
            </w:pPr>
            <w:r>
              <w:fldChar w:fldCharType="begin" w:fldLock="1"/>
            </w:r>
            <w:r w:rsidR="00576689">
              <w:instrText>ADDIN CSL_CITATION {"citationItems":[{"id":"ITEM-1","itemData":{"DOI":"10.1093/nar/gkz384","ISSN":"13624962","PMID":"31081035","abstract":"The LOMETS2 server (https://zhanglab.ccmb.med.umich.edu/LOMETS/) is an online meta-threading server system for template-based protein structure prediction. Although the server has been widely used by the community over the last decade, the previous LOMETS server no longer represents the state-of-the-art due to aging of the algorithms and unsatisfactory performance on distant-homology template identification. An extension of the server built on cutting-edge methods, especially techniques developed since the recent CASP experiments, is urgently needed. In this work, we report the recent advancements of the LOMETS2 server, which comprise a number of major new developments, including (i) new state-of-the-art threading programs, including contact-map-based threading approaches, (ii) deep sequence search-based sequence profile construction and (iii) a new web interface design that incorporates structure-based function annotations. Large-scale benchmark tests demonstrated that the integration of the deep profiles and new threading approaches into LOMETS2 significantly improve its structure modeling quality and template detection, where LOMETS2 detected 176% more templates with TM-scores &gt;0.5 than the previous LOMETS server for Hard targets that lacked homologous templates. Meanwhile, the newly incorporated structure-based function prediction helps extend the usefulness of the online server to the broader biological community.","author":[{"dropping-particle":"","family":"Zheng","given":"Wei","non-dropping-particle":"","parse-names":false,"suffix":""},{"dropping-particle":"","family":"Zhang","given":"Chengxin","non-dropping-particle":"","parse-names":false,"suffix":""},{"dropping-particle":"","family":"Wuyun","given":"Qiqige","non-dropping-particle":"","parse-names":false,"suffix":""},{"dropping-particle":"","family":"Pearce","given":"Robin","non-dropping-particle":"","parse-names":false,"suffix":""},{"dropping-particle":"","family":"Li","given":"Yang","non-dropping-particle":"","parse-names":false,"suffix":""},{"dropping-particle":"","family":"Zhang","given":"Yang","non-dropping-particle":"","parse-names":false,"suffix":""}],"container-title":"Nucleic Acids Research","id":"ITEM-1","issue":"W1","issued":{"date-parts":[["2019","7","1"]]},"page":"W429-W436","publisher":"Oxford University Press","title":"LOMETS2: improved meta-threading server for fold-recognition and structure-based function annotation for distant-homology proteins","type":"article-journal","volume":"47"},"uris":["http://www.mendeley.com/documents/?uuid=2330f3d1-b1fa-3e8d-8dfa-bd94aad3db0a"]}],"mendeley":{"formattedCitation":"&lt;sup&gt;175&lt;/sup&gt;","plainTextFormattedCitation":"175","previouslyFormattedCitation":"&lt;sup&gt;175&lt;/sup&gt;"},"properties":{"noteIndex":0},"schema":"https://github.com/citation-style-language/schema/raw/master/csl-citation.json"}</w:instrText>
            </w:r>
            <w:r>
              <w:fldChar w:fldCharType="separate"/>
            </w:r>
            <w:r w:rsidR="00A313B9" w:rsidRPr="00A313B9">
              <w:rPr>
                <w:noProof/>
                <w:vertAlign w:val="superscript"/>
              </w:rPr>
              <w:t>175</w:t>
            </w:r>
            <w:r>
              <w:fldChar w:fldCharType="end"/>
            </w:r>
          </w:p>
        </w:tc>
      </w:tr>
      <w:tr w:rsidR="006D4147" w14:paraId="1C7EF562" w14:textId="77777777">
        <w:trPr>
          <w:trHeight w:val="630"/>
        </w:trPr>
        <w:tc>
          <w:tcPr>
            <w:tcW w:w="149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20354A1" w14:textId="4E7C39BE" w:rsidR="001B34A9" w:rsidRDefault="001B34A9">
            <w:pPr>
              <w:pStyle w:val="LO-normal"/>
              <w:widowControl w:val="0"/>
              <w:rPr>
                <w:sz w:val="20"/>
                <w:szCs w:val="20"/>
              </w:rPr>
            </w:pPr>
            <w:r>
              <w:rPr>
                <w:sz w:val="20"/>
                <w:szCs w:val="20"/>
              </w:rPr>
              <w:t>Robetta</w:t>
            </w:r>
          </w:p>
        </w:tc>
        <w:tc>
          <w:tcPr>
            <w:tcW w:w="58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4D2A298" w14:textId="47E0B37F" w:rsidR="001B34A9" w:rsidRPr="001B34A9" w:rsidRDefault="00640BFA" w:rsidP="007E7BCC">
            <w:pPr>
              <w:pStyle w:val="LO-normal"/>
              <w:widowControl w:val="0"/>
              <w:rPr>
                <w:rStyle w:val="ListLabel120"/>
              </w:rPr>
            </w:pPr>
            <w:hyperlink r:id="rId38" w:history="1">
              <w:r w:rsidR="001B34A9">
                <w:rPr>
                  <w:rStyle w:val="Hyperlink"/>
                </w:rPr>
                <w:t>https://robetta.bakerlab.org</w:t>
              </w:r>
            </w:hyperlink>
          </w:p>
        </w:tc>
        <w:tc>
          <w:tcPr>
            <w:tcW w:w="146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FB46F99" w14:textId="5C6DAA82" w:rsidR="001B34A9" w:rsidRDefault="001B34A9">
            <w:pPr>
              <w:pStyle w:val="LO-normal"/>
              <w:widowControl w:val="0"/>
              <w:rPr>
                <w:sz w:val="20"/>
                <w:szCs w:val="20"/>
              </w:rPr>
            </w:pPr>
            <w:r>
              <w:rPr>
                <w:sz w:val="20"/>
                <w:szCs w:val="20"/>
              </w:rPr>
              <w:t>Webserver</w:t>
            </w:r>
          </w:p>
        </w:tc>
        <w:tc>
          <w:tcPr>
            <w:tcW w:w="4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829F3E9" w14:textId="4BE647B0" w:rsidR="001B34A9" w:rsidRDefault="001B34A9" w:rsidP="00A313B9">
            <w:pPr>
              <w:pStyle w:val="LO-normal"/>
              <w:widowControl w:val="0"/>
            </w:pPr>
            <w:r>
              <w:fldChar w:fldCharType="begin" w:fldLock="1"/>
            </w:r>
            <w:r w:rsidR="00576689">
              <w:instrText xml:space="preserve">ADDIN CSL_CITATION {"citationItems":[{"id":"ITEM-1","itemData":{"DOI":"10.1016/S0076-6879(04)83004-0","ISSN":"00766879","PMID":"15063647","author":[{"dropping-particle":"","family":"Rohl","given":"Carol A.","non-dropping-particle":"","parse-names":false,"suffix":""},{"dropping-particle":"","family":"Strauss","given":"Charlie E.M.","non-dropping-particle":"","parse-names":false,"suffix":""},{"dropping-particle":"","family":"Misura","given":"Kira M.S.","non-dropping-particle":"","parse-names":false,"suffix":""},{"dropping-particle":"","family":"Baker","given":"David","non-dropping-particle":"","parse-names":false,"suffix":""}],"container-title":"Methods in Enzymology","id":"ITEM-1","issued":{"date-parts":[["2004","1","1"]]},"page":"66-93","publisher":"Academic Press Inc.","title":"Protein Structure Prediction Using Rosetta","type":"article-journal","volume":"383"},"uris":["http://www.mendeley.com/documents/?uuid=4c7c436f-8382-38bd-a777-9633ff751346"]},{"id":"ITEM-2","itemData":{"DOI":"10.1016/j.str.2013.08.005","ISSN":"09692126","PMID":"24035711","abstract":"We describe an improved method for comparative modeling, RosettaCM, which optimizes a physically realistic all-atom energy function over the conformational space defined by homologous structures. Given a set of sequence alignments, RosettaCM assembles topologies by recombining aligned segments in Cartesian space and building unaligned regions de novo in torsion space. The junctions between segments are regularized using a loop closure method combining fragment superposition with gradient-based minimization. The energies of the resulting models are optimized by all-atom refinement, and the most representative low-energy model is selected. The CASP10 experiment suggests that RosettaCM yields models with more accurate side-chain and backbone conformations than other methods when the sequence identity to the templates is greater than </w:instrText>
            </w:r>
            <w:r w:rsidR="00576689">
              <w:rPr>
                <w:rFonts w:ascii="Cambria Math" w:hAnsi="Cambria Math" w:cs="Cambria Math"/>
              </w:rPr>
              <w:instrText>∼</w:instrText>
            </w:r>
            <w:r w:rsidR="00576689">
              <w:instrText>15%. © 2013 Elsevier Ltd.","author":[{"dropping-particle":"","family":"Song","given":"Yifan","non-dropping-particle":"","parse-names":false,"suffix":""},{"dropping-particle":"","family":"Dimaio","given":"Frank","non-dropping-particle":"","parse-names":false,"suffix":""},{"dropping-particle":"","family":"Wang","given":"Ray Yu Ruei","non-dropping-particle":"","parse-names":false,"suffix":""},{"dropping-particle":"","family":"Kim","given":"David","non-dropping-particle":"","parse-names":false,"suffix":""},{"dropping-particle":"","family":"Miles","given":"Chris","non-dropping-particle":"","parse-names":false,"suffix":""},{"dropping-particle":"","family":"Brunette","given":"Tj","non-dropping-particle":"","parse-names":false,"suffix":""},{"dropping-particle":"","family":"Thompson","given":"James","non-dropping-particle":"","parse-names":false,"suffix":""},{"dropping-particle":"","family":"Baker","given":"David","non-dropping-particle":"","parse-names":false,"suffix":""}],"container-title":"Structure","id":"ITEM-2","issue":"10","issued":{"date-parts":[["2013","10","8"]]},"page":"1735-1742","publisher":"NIH Public Access","title":"High-resolution comparative modeling with RosettaCM","type":"article-journal","volume":"21"},"uris":["http://www.mendeley.com/documents/?uuid=09052d6a-9afc-3ba1-b4bf-a2071025b521"]}],"mendeley":{"formattedCitation":"&lt;sup&gt;176,177&lt;/sup&gt;","plainTextFormattedCitation":"176,177","previouslyFormattedCitation":"&lt;sup&gt;176,177&lt;/sup&gt;"},"properties":{"noteIndex":0},"schema":"https://github.com/citation-style-language/schema/raw/master/csl-citation.json"}</w:instrText>
            </w:r>
            <w:r>
              <w:fldChar w:fldCharType="separate"/>
            </w:r>
            <w:r w:rsidR="00A313B9" w:rsidRPr="00A313B9">
              <w:rPr>
                <w:noProof/>
                <w:vertAlign w:val="superscript"/>
              </w:rPr>
              <w:t>176,177</w:t>
            </w:r>
            <w:r>
              <w:fldChar w:fldCharType="end"/>
            </w:r>
          </w:p>
        </w:tc>
      </w:tr>
      <w:tr w:rsidR="006D4147" w14:paraId="462B7E94" w14:textId="77777777">
        <w:trPr>
          <w:trHeight w:val="630"/>
        </w:trPr>
        <w:tc>
          <w:tcPr>
            <w:tcW w:w="149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A8B151E" w14:textId="586697B8" w:rsidR="001B34A9" w:rsidRDefault="001B34A9" w:rsidP="001B34A9">
            <w:pPr>
              <w:pStyle w:val="LO-normal"/>
              <w:widowControl w:val="0"/>
              <w:rPr>
                <w:sz w:val="20"/>
                <w:szCs w:val="20"/>
              </w:rPr>
            </w:pPr>
            <w:r>
              <w:rPr>
                <w:sz w:val="20"/>
                <w:szCs w:val="20"/>
              </w:rPr>
              <w:t>MODELLER</w:t>
            </w:r>
          </w:p>
        </w:tc>
        <w:tc>
          <w:tcPr>
            <w:tcW w:w="58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4B5EBCD" w14:textId="72D752EB" w:rsidR="001B34A9" w:rsidRDefault="001B34A9" w:rsidP="001B34A9">
            <w:pPr>
              <w:pStyle w:val="LO-normal"/>
              <w:widowControl w:val="0"/>
            </w:pPr>
            <w:r w:rsidRPr="001B34A9">
              <w:rPr>
                <w:rStyle w:val="ListLabel120"/>
              </w:rPr>
              <w:t>https://salilab.org/modeller/download_installation.html</w:t>
            </w:r>
          </w:p>
        </w:tc>
        <w:tc>
          <w:tcPr>
            <w:tcW w:w="146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223F163" w14:textId="499502D9" w:rsidR="001B34A9" w:rsidRDefault="001B34A9" w:rsidP="001B34A9">
            <w:pPr>
              <w:pStyle w:val="LO-normal"/>
              <w:widowControl w:val="0"/>
              <w:rPr>
                <w:sz w:val="20"/>
                <w:szCs w:val="20"/>
              </w:rPr>
            </w:pPr>
            <w:r>
              <w:rPr>
                <w:sz w:val="20"/>
                <w:szCs w:val="20"/>
              </w:rPr>
              <w:t>Downloadable program</w:t>
            </w:r>
          </w:p>
        </w:tc>
        <w:tc>
          <w:tcPr>
            <w:tcW w:w="4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7F03B9B" w14:textId="3AD3EF92" w:rsidR="001B34A9" w:rsidRDefault="001B34A9" w:rsidP="00A313B9">
            <w:pPr>
              <w:pStyle w:val="LO-normal"/>
              <w:widowControl w:val="0"/>
            </w:pPr>
            <w:r>
              <w:fldChar w:fldCharType="begin" w:fldLock="1"/>
            </w:r>
            <w:r w:rsidR="00576689">
              <w:instrText>ADDIN CSL_CITATION {"citationItems":[{"id":"ITEM-1","itemData":{"DOI":"10.1002/cpbi.3","ISSN":"1934-3396","abstract":"Comparative protein structure modeling predicts the three-dimensional structure of a given protein sequence (target) based primarily on its alignment to one or more proteins of known structure (templates). The prediction process consists of fold assignment, target-template alignment, model building, and model evaluation. This unit describes how to calculate comparative models using the program MODELLER and how to use the ModBase database of such models, and discusses all four steps of comparative modeling, frequently observed errors, and some applications. Modeling lactate dehydrogenase from Trichomonas vaginalis (TvLDH) is described as an example. The download and installation of the MODELLER software is also described.","author":[{"dropping-particle":"","family":"Webb","given":"Benjamin","non-dropping-particle":"","parse-names":false,"suffix":""},{"dropping-particle":"","family":"Sali","given":"Andrej","non-dropping-particle":"","parse-names":false,"suffix":""}],"container-title":"Current Protocols in Bioinformatics","id":"ITEM-1","issue":"1","issued":{"date-parts":[["2016","6","20"]]},"page":"5.6.1-5.6.37","publisher":"John Wiley and Sons Inc.","title":"Comparative Protein Structure Modeling Using MODELLER","type":"article-journal","volume":"54"},"uris":["http://www.mendeley.com/documents/?uuid=8af434a5-73eb-36b9-b4bd-7e7d09ac3784"]}],"mendeley":{"formattedCitation":"&lt;sup&gt;178&lt;/sup&gt;","plainTextFormattedCitation":"178","previouslyFormattedCitation":"&lt;sup&gt;178&lt;/sup&gt;"},"properties":{"noteIndex":0},"schema":"https://github.com/citation-style-language/schema/raw/master/csl-citation.json"}</w:instrText>
            </w:r>
            <w:r>
              <w:fldChar w:fldCharType="separate"/>
            </w:r>
            <w:r w:rsidR="00A313B9" w:rsidRPr="00A313B9">
              <w:rPr>
                <w:noProof/>
                <w:vertAlign w:val="superscript"/>
              </w:rPr>
              <w:t>178</w:t>
            </w:r>
            <w:r>
              <w:fldChar w:fldCharType="end"/>
            </w:r>
          </w:p>
        </w:tc>
      </w:tr>
      <w:tr w:rsidR="006D4147" w14:paraId="3D0344F9" w14:textId="77777777">
        <w:trPr>
          <w:trHeight w:val="315"/>
        </w:trPr>
        <w:tc>
          <w:tcPr>
            <w:tcW w:w="149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3DEF6C7" w14:textId="77777777" w:rsidR="001B34A9" w:rsidRDefault="001B34A9" w:rsidP="001B34A9">
            <w:pPr>
              <w:pStyle w:val="LO-normal"/>
              <w:widowControl w:val="0"/>
              <w:rPr>
                <w:sz w:val="20"/>
                <w:szCs w:val="20"/>
              </w:rPr>
            </w:pPr>
            <w:r>
              <w:rPr>
                <w:sz w:val="20"/>
                <w:szCs w:val="20"/>
              </w:rPr>
              <w:t>DeepCNF</w:t>
            </w:r>
          </w:p>
        </w:tc>
        <w:tc>
          <w:tcPr>
            <w:tcW w:w="58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BADFAEB" w14:textId="77777777" w:rsidR="001B34A9" w:rsidRDefault="00640BFA" w:rsidP="001B34A9">
            <w:pPr>
              <w:pStyle w:val="LO-normal"/>
              <w:widowControl w:val="0"/>
            </w:pPr>
            <w:hyperlink r:id="rId39">
              <w:r w:rsidR="001B34A9">
                <w:rPr>
                  <w:rStyle w:val="ListLabel120"/>
                </w:rPr>
                <w:t>raptorx.uchicago.edu/download/</w:t>
              </w:r>
            </w:hyperlink>
          </w:p>
        </w:tc>
        <w:tc>
          <w:tcPr>
            <w:tcW w:w="146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C800648" w14:textId="77777777" w:rsidR="001B34A9" w:rsidRDefault="001B34A9" w:rsidP="001B34A9">
            <w:pPr>
              <w:pStyle w:val="LO-normal"/>
              <w:widowControl w:val="0"/>
              <w:rPr>
                <w:sz w:val="20"/>
                <w:szCs w:val="20"/>
              </w:rPr>
            </w:pPr>
            <w:r>
              <w:rPr>
                <w:sz w:val="20"/>
                <w:szCs w:val="20"/>
              </w:rPr>
              <w:t xml:space="preserve">Downloadable </w:t>
            </w:r>
            <w:r>
              <w:rPr>
                <w:sz w:val="20"/>
                <w:szCs w:val="20"/>
              </w:rPr>
              <w:lastRenderedPageBreak/>
              <w:t>program</w:t>
            </w:r>
          </w:p>
        </w:tc>
        <w:tc>
          <w:tcPr>
            <w:tcW w:w="4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67DA3D7" w14:textId="6001C66B" w:rsidR="001B34A9" w:rsidRDefault="001B34A9" w:rsidP="00A313B9">
            <w:pPr>
              <w:pStyle w:val="LO-normal"/>
              <w:widowControl w:val="0"/>
            </w:pPr>
            <w:r>
              <w:lastRenderedPageBreak/>
              <w:fldChar w:fldCharType="begin" w:fldLock="1"/>
            </w:r>
            <w:r w:rsidR="00576689">
              <w:instrText xml:space="preserve">ADDIN CSL_CITATION {"citationItems":[{"id":"ITEM-1","itemData":{"DOI":"10.1038/srep18962","ISSN":"20452322","PMID":"26752681","abstract":"Protein secondary structure (SS) prediction is important for studying protein structure and function. When only the sequence (profile) information is used as input feature, currently the best predictors can obtain </w:instrText>
            </w:r>
            <w:r w:rsidR="00576689">
              <w:rPr>
                <w:rFonts w:ascii="Cambria Math" w:hAnsi="Cambria Math" w:cs="Cambria Math"/>
              </w:rPr>
              <w:instrText>∼</w:instrText>
            </w:r>
            <w:r w:rsidR="00576689">
              <w:instrText xml:space="preserve">80% Q3 accuracy, which has not been improved in the past decade. Here we present DeepCNF (Deep Convolutional Neural Fields) for protein SS prediction. DeepCNF is a Deep Learning extension of Conditional Neural Fields (CNF), which is an integration of Conditional Random Fields (CRF) and shallow neural networks. DeepCNF can model not only complex sequence-structure relationship by a deep hierarchical architecture, but also interdependency between adjacent SS labels, so it is much more powerful than CNF. Experimental results show that DeepCNF can obtain </w:instrText>
            </w:r>
            <w:r w:rsidR="00576689">
              <w:rPr>
                <w:rFonts w:ascii="Cambria Math" w:hAnsi="Cambria Math" w:cs="Cambria Math"/>
              </w:rPr>
              <w:instrText>∼</w:instrText>
            </w:r>
            <w:r w:rsidR="00576689">
              <w:instrText xml:space="preserve">84% Q3 accuracy, </w:instrText>
            </w:r>
            <w:r w:rsidR="00576689">
              <w:rPr>
                <w:rFonts w:ascii="Cambria Math" w:hAnsi="Cambria Math" w:cs="Cambria Math"/>
              </w:rPr>
              <w:instrText>∼</w:instrText>
            </w:r>
            <w:r w:rsidR="00576689">
              <w:instrText xml:space="preserve">85% SOV score, and </w:instrText>
            </w:r>
            <w:r w:rsidR="00576689">
              <w:rPr>
                <w:rFonts w:ascii="Cambria Math" w:hAnsi="Cambria Math" w:cs="Cambria Math"/>
              </w:rPr>
              <w:instrText>∼</w:instrText>
            </w:r>
            <w:r w:rsidR="00576689">
              <w:instrText>72% Q8 accuracy, respectively, on the CASP and CAMEO test proteins, greatly outperforming currently popular predictors. As a general framework, DeepCNF can be used to predict other protein structure properties such as contact number, disorder regions, and solvent accessibility.","author":[{"dropping-particle":"","family":"Wang","given":"Sheng","non-dropping-particle":"","parse-names":false,"suffix":""},{"dropping-particle":"","family":"Peng","given":"Jian","non-dropping-particle":"","parse-names":false,"suffix":""},{"dropping-particle":"","family":"Ma","given":"Jianzhu","non-dropping-particle":"","parse-names":false,"suffix":""},{"dropping-particle":"","family":"Xu","given":"Jinbo","non-dropping-particle":"","parse-names":false,"suffix":""}],"container-title":"Scientific Reports","id":"ITEM-1","issue":"1","issued":{"date-parts":[["2016","1","11"]]},"page":"1-11","publisher":"Nature Publishing Group","title":"Protein Secondary Structure Prediction Using Deep Convolutional Neural Fields","type":"article-journal","volume":"6"},"uris":["http://www.mendeley.com/documents/?uuid=d49108cd-40ab-385c-941c-5c0a8a76a744"]}],"mendeley":{"formattedCitation":"&lt;sup&gt;160&lt;/sup&gt;","plainTextFormattedCitation":"160","previouslyFormattedCitation":"&lt;sup&gt;160&lt;/sup&gt;"},"properties":{"noteIndex":0},"schema":"https://github.com/citation-style-language/schema/raw/master/csl-citation.json"}</w:instrText>
            </w:r>
            <w:r>
              <w:fldChar w:fldCharType="separate"/>
            </w:r>
            <w:r w:rsidR="00A313B9" w:rsidRPr="00A313B9">
              <w:rPr>
                <w:noProof/>
                <w:vertAlign w:val="superscript"/>
              </w:rPr>
              <w:t>160</w:t>
            </w:r>
            <w:r>
              <w:fldChar w:fldCharType="end"/>
            </w:r>
          </w:p>
        </w:tc>
      </w:tr>
      <w:tr w:rsidR="006D4147" w14:paraId="4C4B3ADF" w14:textId="77777777">
        <w:trPr>
          <w:trHeight w:val="390"/>
        </w:trPr>
        <w:tc>
          <w:tcPr>
            <w:tcW w:w="149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179E471" w14:textId="77777777" w:rsidR="001B34A9" w:rsidRDefault="001B34A9" w:rsidP="001B34A9">
            <w:pPr>
              <w:pStyle w:val="LO-normal"/>
              <w:widowControl w:val="0"/>
              <w:rPr>
                <w:sz w:val="20"/>
                <w:szCs w:val="20"/>
              </w:rPr>
            </w:pPr>
            <w:r>
              <w:rPr>
                <w:sz w:val="20"/>
                <w:szCs w:val="20"/>
              </w:rPr>
              <w:t>DNSS2</w:t>
            </w:r>
          </w:p>
        </w:tc>
        <w:tc>
          <w:tcPr>
            <w:tcW w:w="58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C3D90AC" w14:textId="77777777" w:rsidR="001B34A9" w:rsidRDefault="00640BFA" w:rsidP="001B34A9">
            <w:pPr>
              <w:pStyle w:val="LO-normal"/>
              <w:widowControl w:val="0"/>
            </w:pPr>
            <w:hyperlink r:id="rId40">
              <w:r w:rsidR="001B34A9">
                <w:rPr>
                  <w:rStyle w:val="ListLabel120"/>
                </w:rPr>
                <w:t>github.com/multicom-toolbox/DNSS2</w:t>
              </w:r>
            </w:hyperlink>
          </w:p>
        </w:tc>
        <w:tc>
          <w:tcPr>
            <w:tcW w:w="146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0E41D94" w14:textId="77777777" w:rsidR="001B34A9" w:rsidRDefault="001B34A9" w:rsidP="001B34A9">
            <w:pPr>
              <w:pStyle w:val="LO-normal"/>
              <w:widowControl w:val="0"/>
              <w:rPr>
                <w:sz w:val="20"/>
                <w:szCs w:val="20"/>
              </w:rPr>
            </w:pPr>
            <w:r>
              <w:rPr>
                <w:sz w:val="20"/>
                <w:szCs w:val="20"/>
              </w:rPr>
              <w:t>Downloadable program</w:t>
            </w:r>
          </w:p>
        </w:tc>
        <w:tc>
          <w:tcPr>
            <w:tcW w:w="4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A4FA3CA" w14:textId="0D3477D0" w:rsidR="001B34A9" w:rsidRDefault="001B34A9" w:rsidP="00A313B9">
            <w:pPr>
              <w:pStyle w:val="LO-normal"/>
              <w:widowControl w:val="0"/>
            </w:pPr>
            <w:r>
              <w:fldChar w:fldCharType="begin" w:fldLock="1"/>
            </w:r>
            <w:r w:rsidR="00D40997">
              <w:instrText>ADDIN CSL_CITATION {"citationItems":[{"id":"ITEM-1","itemData":{"DOI":"10.1101/639021","abstract":"Accurate prediction of protein secondary structure (alpha-helix, beta-strand and coil) is a crucial step for protein inter-residue contact prediction and ab initio tertiary structure prediction. In a previous study, we developed a deep belief network-based protein secondary structure method (DNSS1) and successfully advanced the prediction accuracy beyond 80%. In this work, we developed multiple advanced deep learning architectures (DNSS2) to further improve secondary structure prediction.The major improvements over the DNSS1 method include (i) designing and integrating six advanced one-dimensional deep convolutional/recurrent/residual/memory/fractal/inception networks to predict secondary structure, and (ii) using more sensitive profile features inferred from Hidden Markov model (HMM) and multiple sequence alignment (MSA). Most of the deep learning architectures are novel for protein secondary structure prediction. DNSS2 was systematically benchmarked on two independent test datasets with eight state-of-art tools and consistently ranked as one of the best methods. Particularly, DNSS2 was tested on the 82 protein targets of 2018 CASP13 experiment and achieved the best Q3 score of 83.74% and SOV score of 72.46%. DNSS2 is freely available at: https://github.com/multicom-toolbox/DNSS2.","author":[{"dropping-particle":"","family":"Hou","given":"Jie","non-dropping-particle":"","parse-names":false,"suffix":""},{"dropping-particle":"","family":"Guo","given":"Zhiye","non-dropping-particle":"","parse-names":false,"suffix":""},{"dropping-particle":"","family":"Cheng","given":"Jianlin","non-dropping-particle":"","parse-names":false,"suffix":""}],"container-title":"bioRxiv","id":"ITEM-1","issued":{"date-parts":[["2019","5","17"]]},"publisher":"bioRxiv","title":"DNSS2: Improved ab initio protein secondary structure prediction using advanced deep learning architectures","type":"article-journal","volume":"639021"},"uris":["http://www.mendeley.com/documents/?uuid=fd42f005-6ec7-3191-a28d-2fcbb2f8db8e"]}],"mendeley":{"formattedCitation":"&lt;sup&gt;179&lt;/sup&gt;","plainTextFormattedCitation":"179","previouslyFormattedCitation":"&lt;sup&gt;179&lt;/sup&gt;"},"properties":{"noteIndex":0},"schema":"https://github.com/citation-style-language/schema/raw/master/csl-citation.json"}</w:instrText>
            </w:r>
            <w:r>
              <w:fldChar w:fldCharType="separate"/>
            </w:r>
            <w:r w:rsidR="00A313B9" w:rsidRPr="00A313B9">
              <w:rPr>
                <w:noProof/>
                <w:vertAlign w:val="superscript"/>
              </w:rPr>
              <w:t>179</w:t>
            </w:r>
            <w:r>
              <w:fldChar w:fldCharType="end"/>
            </w:r>
          </w:p>
        </w:tc>
      </w:tr>
    </w:tbl>
    <w:p w14:paraId="382F18B4" w14:textId="77777777" w:rsidR="001529CF" w:rsidRDefault="001529CF">
      <w:pPr>
        <w:pStyle w:val="LO-normal"/>
        <w:jc w:val="both"/>
      </w:pPr>
    </w:p>
    <w:p w14:paraId="3E8AED3C" w14:textId="7321714F" w:rsidR="00E54976" w:rsidRDefault="00492337">
      <w:pPr>
        <w:pStyle w:val="LO-normal"/>
        <w:jc w:val="both"/>
      </w:pPr>
      <w:r>
        <w:t>There are also methodologies that are AMP-specific</w:t>
      </w:r>
      <w:r w:rsidR="00B806B2">
        <w:fldChar w:fldCharType="begin" w:fldLock="1"/>
      </w:r>
      <w:r w:rsidR="00576689">
        <w:instrText>ADDIN CSL_CITATION {"citationItems":[{"id":"ITEM-1","itemData":{"DOI":"10.1002/prot.25473","ISSN":"08873585","abstract":"Antimicrobial resistance within a wide range of infectious agents is a severe and growing public health threat. Antimicrobial peptides (AMPs) are among the leading alternatives to current antibiotics, exhibiting broad spectrum activity. Their activity is determined by numerous properties such as cationic charge, amphipathicity, size, and amino acid composition. Currently, only around 10% of known AMP sequences have experimentally solved structures. To improve our understanding of the AMP structural universe we have carried out large scale ab initio 3D modeling of structurally uncharacterized AMPs that revealed similarities between predicted folds of the modeled sequences and structures of characterized AMPs. Two of the peptides whose models matched known folds are Lebocin Peptide 1A (LP1A) and Odorranain M, predicted to form β-hairpins but, interestingly, to lack the intramolecular disulfide bonds, cation-π or aromatic interactions that generally stabilize such AMP structures. Other examples include Ponericin Q42, Latarcin 4a, Kassinatuerin 1, Ceratotoxin D, and CPF-B1 peptide, which have α-helical folds, as well as mixed αβ folds of human Histatin 2 peptide and Garvicin A which are, to the best of our knowledge, the first linear αββ fold AMPs lacking intramolecular disulfide bonds. In addition to fold matches to experimentally derived structures, unique folds were also obtained, namely for Microcin M and Ipomicin. These results help in understanding the range of protein scaffolds that naturally bear antimicrobial activity and may facilitate protein design efforts towards better AMPs.","author":[{"dropping-particle":"","family":"Kozic","given":"Mara","non-dropping-particle":"","parse-names":false,"suffix":""},{"dropping-particle":"","family":"Fox","given":"Stephen J.","non-dropping-particle":"","parse-names":false,"suffix":""},{"dropping-particle":"","family":"Thomas","given":"Jens M.","non-dropping-particle":"","parse-names":false,"suffix":""},{"dropping-particle":"","family":"Verma","given":"Chandra S.","non-dropping-particle":"","parse-names":false,"suffix":""},{"dropping-particle":"","family":"Rigden","given":"Daniel J.","non-dropping-particle":"","parse-names":false,"suffix":""}],"container-title":"Proteins: Structure, Function, and Bioinformatics","id":"ITEM-1","issue":"5","issued":{"date-parts":[["2018","5","1"]]},"page":"548-565","publisher":"John Wiley and Sons Inc.","title":"Large scale ab initio modeling of structurally uncharacterized antimicrobial peptides reveals known and novel folds","type":"article-journal","volume":"86"},"uris":["http://www.mendeley.com/documents/?uuid=fff50e80-ced3-3ed2-9e3f-6df6051eb588"]}],"mendeley":{"formattedCitation":"&lt;sup&gt;180&lt;/sup&gt;","plainTextFormattedCitation":"180","previouslyFormattedCitation":"&lt;sup&gt;180&lt;/sup&gt;"},"properties":{"noteIndex":0},"schema":"https://github.com/citation-style-language/schema/raw/master/csl-citation.json"}</w:instrText>
      </w:r>
      <w:r w:rsidR="00B806B2">
        <w:fldChar w:fldCharType="separate"/>
      </w:r>
      <w:r w:rsidR="00A313B9" w:rsidRPr="00A313B9">
        <w:rPr>
          <w:noProof/>
          <w:vertAlign w:val="superscript"/>
        </w:rPr>
        <w:t>180</w:t>
      </w:r>
      <w:r w:rsidR="00B806B2">
        <w:fldChar w:fldCharType="end"/>
      </w:r>
      <w:r>
        <w:t>, drawing from the previously mentioned databases of AMPs to identify common folds and structures, which can be used to assign secondary and tertiary structure to uncharacterised sequences in a more targeted manner. This approach relies on previous studies that have identified general conformations adopted by AMPs; broadly speaking, these can be distinguished based on adoption of α-helical or β-sheet secondary structures, extended structures rich in specific amino acids, loop conformations</w:t>
      </w:r>
      <w:r w:rsidR="00B806B2">
        <w:fldChar w:fldCharType="begin" w:fldLock="1"/>
      </w:r>
      <w:r w:rsidR="00522194">
        <w:instrText>ADDIN CSL_CITATION {"citationItems":[{"id":"ITEM-1","itemData":{"DOI":"10.1038/nbt1267","ISSN":"10870156","PMID":"17160061","abstract":"Short cationic amphiphilic peptides with antimicrobial and/or immunomodulatory activities are present in virtually every life form, as an important component of (innate) immune defenses. These host-defense peptides provide a template for two separate classes of antimicrobial drugs. Direct-acting antimicrobial host-defense peptides can be rapid-acting and potent, and possess an unusually broad spectrum of activity; consequently, they have prospects as new antibiotics, although clinical trials to date have shown efficacy only as topical agents. But for these compounds to fulfill their therapeutic promise and overcome clinical setbacks, further work is needed to understand their mechanisms of action and reduce the potential for unwanted toxicity, to make them more resistant to protease degradation and improve serum half-life, as well as to devise means of manufacturing them on a large scale in a consistent and cost-effective manner. In contrast, the role of cationic host-defense peptides in modulating the innate immune response and boosting infection-resolving immunity while dampening potentially harmful pro-inflammatory (septic) responses gives these peptides the potential to become an entirely new therapeutic approach against bacterial infections. © 2006 Nature Publishing Group.","author":[{"dropping-particle":"","family":"Hancock","given":"Robert E.W.","non-dropping-particle":"","parse-names":false,"suffix":""},{"dropping-particle":"","family":"Sahl","given":"Hans Georg","non-dropping-particle":"","parse-names":false,"suffix":""}],"container-title":"Nature Biotechnology","id":"ITEM-1","issue":"12","issued":{"date-parts":[["2006","12","11"]]},"page":"1551-1557","publisher":"Nature Publishing Group","title":"Antimicrobial and host-defense peptides as new anti-infective therapeutic strategies","type":"article-journal","volume":"24"},"uris":["http://www.mendeley.com/documents/?uuid=0039600c-4dda-358b-b7b5-a6622a014054"]}],"mendeley":{"formattedCitation":"&lt;sup&gt;181&lt;/sup&gt;","plainTextFormattedCitation":"181","previouslyFormattedCitation":"&lt;sup&gt;181&lt;/sup&gt;"},"properties":{"noteIndex":0},"schema":"https://github.com/citation-style-language/schema/raw/master/csl-citation.json"}</w:instrText>
      </w:r>
      <w:r w:rsidR="00B806B2">
        <w:fldChar w:fldCharType="separate"/>
      </w:r>
      <w:r w:rsidR="00A313B9" w:rsidRPr="00A313B9">
        <w:rPr>
          <w:noProof/>
          <w:vertAlign w:val="superscript"/>
        </w:rPr>
        <w:t>181</w:t>
      </w:r>
      <w:r w:rsidR="00B806B2">
        <w:fldChar w:fldCharType="end"/>
      </w:r>
      <w:r>
        <w:t>, or combinations of these structures</w:t>
      </w:r>
      <w:r w:rsidR="00B806B2">
        <w:fldChar w:fldCharType="begin" w:fldLock="1"/>
      </w:r>
      <w:r w:rsidR="0052410F">
        <w:instrText>ADDIN CSL_CITATION {"citationItems":[{"id":"ITEM-1","itemData":{"DOI":"10.1155/2015/475062","ISSN":"23146141","PMID":"26000295","abstract":"Antimicrobial peptides (AMPs) are potent drug candidates against microbial organisms such as bacteria, fungi, parasites, and viruses. AMPs have abundant sequences and structures, two fundamental resources for bioinformatics researches, but analyses on how they associate with each other are either nonexistent or limited to partial classification and data. We thus present A Database of Anti-Microbial peptides (ADAM), which contains 7,007 unique sequences and 759 structures, to systematically establish comprehensive associations between AMP sequences and structures through structural folds and to provide an easy access to view their relationships. 30 distinct AMP structural fold clusters with more than one structure are detected and about a thousand AMPs are associated with at least one structural fold cluster. According to ADAM, AMP structural folds are limited-AMPs only cover about 3% of the overall protein fold space.","author":[{"dropping-particle":"","family":"Lee","given":"Hao Ting","non-dropping-particle":"","parse-names":false,"suffix":""},{"dropping-particle":"","family":"Lee","given":"Chen Che","non-dropping-particle":"","parse-names":false,"suffix":""},{"dropping-particle":"","family":"Yang","given":"Je Ruei","non-dropping-particle":"","parse-names":false,"suffix":""},{"dropping-particle":"","family":"Lai","given":"Jim Z.C.","non-dropping-particle":"","parse-names":false,"suffix":""},{"dropping-particle":"","family":"Chang","given":"Kuan Y.","non-dropping-particle":"","parse-names":false,"suffix":""},{"dropping-particle":"","family":"Ray","given":"Oliver","non-dropping-particle":"","parse-names":false,"suffix":""}],"container-title":"BioMed Research International","id":"ITEM-1","issued":{"date-parts":[["2015"]]},"page":"475062","publisher":"Hindawi Publishing Corporation","title":"A large-scale structural classification of Antimicrobial peptides","type":"article-journal","volume":"2015"},"uris":["http://www.mendeley.com/documents/?uuid=7c887ddc-5dd0-3180-81eb-f153015e4846"]}],"mendeley":{"formattedCitation":"&lt;sup&gt;95&lt;/sup&gt;","plainTextFormattedCitation":"95","previouslyFormattedCitation":"&lt;sup&gt;95&lt;/sup&gt;"},"properties":{"noteIndex":0},"schema":"https://github.com/citation-style-language/schema/raw/master/csl-citation.json"}</w:instrText>
      </w:r>
      <w:r w:rsidR="00B806B2">
        <w:fldChar w:fldCharType="separate"/>
      </w:r>
      <w:r w:rsidR="0019024E" w:rsidRPr="0019024E">
        <w:rPr>
          <w:noProof/>
          <w:vertAlign w:val="superscript"/>
        </w:rPr>
        <w:t>95</w:t>
      </w:r>
      <w:r w:rsidR="00B806B2">
        <w:fldChar w:fldCharType="end"/>
      </w:r>
      <w:r>
        <w:t xml:space="preserve"> (Figure 2). Prediction is also carried out by matching new sequences with known ones to suggest potential secondary structures for the query</w:t>
      </w:r>
      <w:r w:rsidR="00B806B2">
        <w:fldChar w:fldCharType="begin" w:fldLock="1"/>
      </w:r>
      <w:r w:rsidR="00576689">
        <w:instrText>ADDIN CSL_CITATION {"citationItems":[{"id":"ITEM-1","itemData":{"DOI":"10.1079/9781845936570.0072","ISBN":"9781845936570","abstract":"The isolation and characterization of potent antimicrobial peptides from natural sources has opened a new avenue to the development of future antimicrobials. To further expand the peptide space, new antimicrobial peptides can be predicted or designed based on natural peptide templates. By using the knowledge derived from mature peptides, propeptides, or both (i.e. precursor proteins), a variety of peptide prediction tools have been developed. Furthermore, bacteriocins are predicted under the genomic context by considering not only the peptide itself, but also the accompanying genes for its expression, processing and export. This chapter also discusses database-aided peptide design based on database screening, sequence shuffling, grammar-based design and de novo design. Finally, major strategies for improving peptide selectivity and stability are highlighted.© CAB International 2010.","author":[{"dropping-particle":"","family":"Wang","given":"Guangshun","non-dropping-particle":"","parse-names":false,"suffix":""}],"container-title":"Antimicrobial Peptides: Discovery, Design and Novel Therapeutic Strategies","id":"ITEM-1","issued":{"date-parts":[["2010","11","5"]]},"page":"72-86","publisher":"CABI Publishing","title":"Database-aided prediction and design of novel antimicrobial peptides","type":"chapter"},"uris":["http://www.mendeley.com/documents/?uuid=b418a0f8-3d4e-357e-872d-e5e1feb10478"]}],"mendeley":{"formattedCitation":"&lt;sup&gt;182&lt;/sup&gt;","plainTextFormattedCitation":"182","previouslyFormattedCitation":"&lt;sup&gt;182&lt;/sup&gt;"},"properties":{"noteIndex":0},"schema":"https://github.com/citation-style-language/schema/raw/master/csl-citation.json"}</w:instrText>
      </w:r>
      <w:r w:rsidR="00B806B2">
        <w:fldChar w:fldCharType="separate"/>
      </w:r>
      <w:r w:rsidR="00A313B9" w:rsidRPr="00A313B9">
        <w:rPr>
          <w:noProof/>
          <w:vertAlign w:val="superscript"/>
        </w:rPr>
        <w:t>182</w:t>
      </w:r>
      <w:r w:rsidR="00B806B2">
        <w:fldChar w:fldCharType="end"/>
      </w:r>
      <w:r>
        <w:t>. This is a continuously evolving area with several challenges; for example, categorising AMP conformations by global secondary structure can lead to classifications that are too broad, and dihedral angles provide a more granular metric</w:t>
      </w:r>
      <w:r w:rsidR="00B806B2">
        <w:fldChar w:fldCharType="begin" w:fldLock="1"/>
      </w:r>
      <w:r w:rsidR="00386CB6">
        <w:instrText>ADDIN CSL_CITATION {"citationItems":[{"id":"ITEM-1","itemData":{"DOI":"10.1038/nrd3591","ISSN":"14741784","PMID":"22173434","abstract":"Multidrug-resistant bacteria are a severe threat to public health. Conventional antibiotics are becoming increasingly ineffective as a result of resistance, and it is imperative to find new antibacterial strategies. Natural antimicrobials, known as host defence peptides or antimicrobial peptides, defend host organisms against microbes but most have modest direct antibiotic activity. Enhanced variants have been developed using straightforward design and optimization strategies and are being tested clinically. Here, we describe advanced computer-assisted design strategies that address the difficult problem of relating primary sequence to peptide structure, and are delivering more potent, cost-effective, broad-spectrum peptides as potential next-generation antibiotics. © 2012 Macmillan Publishers Limited.","author":[{"dropping-particle":"","family":"Fjell","given":"Christopher D.","non-dropping-particle":"","parse-names":false,"suffix":""},{"dropping-particle":"","family":"Hiss","given":"Jan A.","non-dropping-particle":"","parse-names":false,"suffix":""},{"dropping-particle":"","family":"Hancock","given":"Robert E.W.","non-dropping-particle":"","parse-names":false,"suffix":""},{"dropping-particle":"","family":"Schneider","given":"Gisbert","non-dropping-particle":"","parse-names":false,"suffix":""}],"container-title":"Nature Reviews Drug Discovery","id":"ITEM-1","issue":"1","issued":{"date-parts":[["2012","12","16"]]},"page":"37-51","publisher":"Nature Publishing Group","title":"Designing antimicrobial peptides: Form follows function","type":"article-journal","volume":"11"},"uris":["http://www.mendeley.com/documents/?uuid=f93e5a13-7acb-38fc-abfd-26b976ecdf3f"]}],"mendeley":{"formattedCitation":"&lt;sup&gt;140&lt;/sup&gt;","plainTextFormattedCitation":"140","previouslyFormattedCitation":"&lt;sup&gt;140&lt;/sup&gt;"},"properties":{"noteIndex":0},"schema":"https://github.com/citation-style-language/schema/raw/master/csl-citation.json"}</w:instrText>
      </w:r>
      <w:r w:rsidR="00B806B2">
        <w:fldChar w:fldCharType="separate"/>
      </w:r>
      <w:r w:rsidR="00D217EC" w:rsidRPr="00D217EC">
        <w:rPr>
          <w:noProof/>
          <w:vertAlign w:val="superscript"/>
        </w:rPr>
        <w:t>140</w:t>
      </w:r>
      <w:r w:rsidR="00B806B2">
        <w:fldChar w:fldCharType="end"/>
      </w:r>
      <w:r>
        <w:t>. The ability to predict the folds and 3D structures of AMPs will improve as more tertiary structures are reported in the literature and smarter algorithms are developed</w:t>
      </w:r>
      <w:r w:rsidR="00B806B2">
        <w:fldChar w:fldCharType="begin" w:fldLock="1"/>
      </w:r>
      <w:r w:rsidR="00386CB6">
        <w:instrText>ADDIN CSL_CITATION {"citationItems":[{"id":"ITEM-1","itemData":{"DOI":"10.1038/nrd3591","ISSN":"14741784","PMID":"22173434","abstract":"Multidrug-resistant bacteria are a severe threat to public health. Conventional antibiotics are becoming increasingly ineffective as a result of resistance, and it is imperative to find new antibacterial strategies. Natural antimicrobials, known as host defence peptides or antimicrobial peptides, defend host organisms against microbes but most have modest direct antibiotic activity. Enhanced variants have been developed using straightforward design and optimization strategies and are being tested clinically. Here, we describe advanced computer-assisted design strategies that address the difficult problem of relating primary sequence to peptide structure, and are delivering more potent, cost-effective, broad-spectrum peptides as potential next-generation antibiotics. © 2012 Macmillan Publishers Limited.","author":[{"dropping-particle":"","family":"Fjell","given":"Christopher D.","non-dropping-particle":"","parse-names":false,"suffix":""},{"dropping-particle":"","family":"Hiss","given":"Jan A.","non-dropping-particle":"","parse-names":false,"suffix":""},{"dropping-particle":"","family":"Hancock","given":"Robert E.W.","non-dropping-particle":"","parse-names":false,"suffix":""},{"dropping-particle":"","family":"Schneider","given":"Gisbert","non-dropping-particle":"","parse-names":false,"suffix":""}],"container-title":"Nature Reviews Drug Discovery","id":"ITEM-1","issue":"1","issued":{"date-parts":[["2012","12","16"]]},"page":"37-51","publisher":"Nature Publishing Group","title":"Designing antimicrobial peptides: Form follows function","type":"article-journal","volume":"11"},"uris":["http://www.mendeley.com/documents/?uuid=f93e5a13-7acb-38fc-abfd-26b976ecdf3f"]},{"id":"ITEM-2","itemData":{"DOI":"10.1021/acssynbio.8b00084","ISSN":"21615063","PMID":"30124040","abstract":"Novel approaches are needed to combat antibiotic resistance. Here, we describe a computational-experimental framework for the discovery of novel cryptic antimicrobial peptides (AMPs). The computational platform, based on previously validated antimicrobial scoring functions, indicated the activation peptide of pepsin A, the main human stomach protease, and its N- and C-terminal halves as antimicrobial peptides. The three peptides from pepsinogen A3 isoform were prepared in a recombinant form using a fusion carrier specifically developed to express toxic peptides in Escherichia coli. Recombinant pepsinogen A3-derived peptides proved to be wide-spectrum antimicrobial agents with MIC values in the range 1.56-50 μM (1.56-12.5 μM for the whole activation peptide). Moreover, the activation peptide was bactericidal at pH 3.5 for relevant foodborne pathogens, suggesting that this new class of previously unexplored AMPs may contribute to microbial surveillance within the human stomach. The peptides showed no toxicity toward human cells and exhibited anti-infective activity in vivo, reducing by up to 4 orders of magnitude the bacterial load in a mouse skin infection model. These peptides thus represent a promising new class of antibiotics. We envision that computationally guided data mining approaches such as the one described here will lead to the discovery of antibiotics from previously unexplored sources.","author":[{"dropping-particle":"","family":"Pane","given":"Katia","non-dropping-particle":"","parse-names":false,"suffix":""},{"dropping-particle":"","family":"Cafaro","given":"Valeria","non-dropping-particle":"","parse-names":false,"suffix":""},{"dropping-particle":"","family":"Avitabile","given":"Angela","non-dropping-particle":"","parse-names":false,"suffix":""},{"dropping-particle":"","family":"Torres","given":"Marcelo Der Torossian","non-dropping-particle":"","parse-names":false,"suffix":""},{"dropping-particle":"","family":"Vollaro","given":"Adriana","non-dropping-particle":"","parse-names":false,"suffix":""},{"dropping-particle":"","family":"Gregorio","given":"Eliana","non-dropping-particle":"De","parse-names":false,"suffix":""},{"dropping-particle":"","family":"Catania","given":"Maria Rosaria","non-dropping-particle":"","parse-names":false,"suffix":""},{"dropping-particle":"","family":"Maro","given":"Antimo","non-dropping-particle":"Di","parse-names":false,"suffix":""},{"dropping-particle":"","family":"Bosso","given":"Andrea","non-dropping-particle":"","parse-names":false,"suffix":""},{"dropping-particle":"","family":"Gallo","given":"Giovanni","non-dropping-particle":"","parse-names":false,"suffix":""},{"dropping-particle":"","family":"Zanfardino","given":"Anna","non-dropping-particle":"","parse-names":false,"suffix":""},{"dropping-particle":"","family":"Varcamonti","given":"Mario","non-dropping-particle":"","parse-names":false,"suffix":""},{"dropping-particle":"","family":"Pizzo","given":"Elio","non-dropping-particle":"","parse-names":false,"suffix":""},{"dropping-particle":"","family":"Donato","given":"Alberto","non-dropping-particle":"Di","parse-names":false,"suffix":""},{"dropping-particle":"","family":"Lu","given":"Timothy K.","non-dropping-particle":"","parse-names":false,"suffix":""},{"dropping-particle":"","family":"La Fuente-Nunez","given":"Cesar","non-dropping-particle":"De","parse-names":false,"suffix":""},{"dropping-particle":"","family":"Notomista","given":"Eugenio","non-dropping-particle":"","parse-names":false,"suffix":""}],"container-title":"ACS Synthetic Biology","id":"ITEM-2","issue":"9","issued":{"date-parts":[["2018","9","21"]]},"page":"2105-2115","publisher":"American Chemical Society","title":"Identification of Novel Cryptic Multifunctional Antimicrobial Peptides from the Human Stomach Enabled by a Computational-Experimental Platform","type":"article-journal","volume":"7"},"uris":["http://www.mendeley.com/documents/?uuid=f31288fe-a1ef-34b9-a2b2-3c73001f299a"]},{"id":"ITEM-3","itemData":{"DOI":"10.1016/j.peptides.2015.03.003","ISSN":"18735169","PMID":"25805002","abstract":"A new antimicrobial peptide, herein named Stigmurin, was selected based on a transcriptomic analysis of the Brazilian yellow scorpion Tityus stigmurus venom gland, an underexplored source for toxic peptides with possible biotechnological applications. Stigmurin was investigated in silico, by circular dichroism (CD) spectroscopy, and in vitro. The CD spectra suggested that this peptide interacts with membranes, changing its conformation in the presence of an amphipathic environment, with predominance of random coil and beta-sheet structures. Stigmurin exhibited antibacterial and antifungal activity, with minimal inhibitory concentrations ranging from 8.7 to 69.5 μM. It was also showed that Stigmurin is toxic against SiHa and Vero E6 cell lines. The results suggest that Stigmurin can be considered a potential anti-infective drug.","author":[{"dropping-particle":"","family":"Melo","given":"Edinara Targino","non-dropping-particle":"De","parse-names":false,"suffix":""},{"dropping-particle":"","family":"Estrela","given":"Andréia Bergamo","non-dropping-particle":"","parse-names":false,"suffix":""},{"dropping-particle":"","family":"Santos","given":"Elizabeth Cristina Gomes","non-dropping-particle":"","parse-names":false,"suffix":""},{"dropping-particle":"","family":"Machado","given":"Paula Renata Lima","non-dropping-particle":"","parse-names":false,"suffix":""},{"dropping-particle":"","family":"Farias","given":"Kleber Juvenal Silva","non-dropping-particle":"","parse-names":false,"suffix":""},{"dropping-particle":"","family":"Torres","given":"Taffarel Melo","non-dropping-particle":"","parse-names":false,"suffix":""},{"dropping-particle":"","family":"Carvalho","given":"Enéas","non-dropping-particle":"","parse-names":false,"suffix":""},{"dropping-particle":"","family":"Lima","given":"João Paulo Matos Santos","non-dropping-particle":"","parse-names":false,"suffix":""},{"dropping-particle":"","family":"Silva-Júnior","given":"Arnóbio Antonio","non-dropping-particle":"","parse-names":false,"suffix":""},{"dropping-particle":"","family":"Barbosa","given":"Euzébio Guimarães","non-dropping-particle":"","parse-names":false,"suffix":""},{"dropping-particle":"","family":"Fernandes-Pedrosa","given":"Matheus De Freitas","non-dropping-particle":"","parse-names":false,"suffix":""}],"container-title":"Peptides","id":"ITEM-3","issued":{"date-parts":[["2015","6","1"]]},"page":"3-10","publisher":"Elsevier Inc.","title":"Structural characterization of a novel peptide with antimicrobial activity from the venom gland of the scorpion Tityus stigmurus: Stigmurin","type":"article-journal","volume":"68"},"uris":["http://www.mendeley.com/documents/?uuid=297f0c7d-c6d8-3ab2-9df2-ad960f56e251"]}],"mendeley":{"formattedCitation":"&lt;sup&gt;140,183,184&lt;/sup&gt;","plainTextFormattedCitation":"140,183,184","previouslyFormattedCitation":"&lt;sup&gt;140,183,184&lt;/sup&gt;"},"properties":{"noteIndex":0},"schema":"https://github.com/citation-style-language/schema/raw/master/csl-citation.json"}</w:instrText>
      </w:r>
      <w:r w:rsidR="00B806B2">
        <w:fldChar w:fldCharType="separate"/>
      </w:r>
      <w:r w:rsidR="00A313B9" w:rsidRPr="00A313B9">
        <w:rPr>
          <w:noProof/>
          <w:vertAlign w:val="superscript"/>
        </w:rPr>
        <w:t>140,183,184</w:t>
      </w:r>
      <w:r w:rsidR="00B806B2">
        <w:fldChar w:fldCharType="end"/>
      </w:r>
      <w:r>
        <w:t>.</w:t>
      </w:r>
      <w:r w:rsidR="00963A53">
        <w:t xml:space="preserve"> Furthermore, modelling simulations of biomolecules require a starting 3D structure, which may be provided by crystallography or NMR studies, but, where those are unavailable, can be provided by secondary</w:t>
      </w:r>
      <w:r w:rsidR="007312FB">
        <w:t>/tertiary</w:t>
      </w:r>
      <w:r w:rsidR="00963A53">
        <w:t xml:space="preserve"> structure prediction tool</w:t>
      </w:r>
      <w:r w:rsidR="007312FB">
        <w:t>s</w:t>
      </w:r>
      <w:r w:rsidR="00963A53">
        <w:t>. In the likely case that a novel AMP sequence lacks an experimentally-obtained conformation, these tools can be used as a starting point for the mechanistic studies described in</w:t>
      </w:r>
      <w:r w:rsidR="00E54976">
        <w:t xml:space="preserve"> the second half of this review.</w:t>
      </w:r>
    </w:p>
    <w:p w14:paraId="01D3908E" w14:textId="72BBDA28" w:rsidR="001529CF" w:rsidRDefault="00492337">
      <w:pPr>
        <w:pStyle w:val="LO-normal"/>
        <w:jc w:val="both"/>
      </w:pPr>
      <w:r>
        <w:t>In summary, it is clear that regardless of the method, matching a sequence with its structure is of great importance towards gaining a mechanistic understanding of an AMP’s mode of action.</w:t>
      </w:r>
    </w:p>
    <w:p w14:paraId="230A0E2F" w14:textId="77777777" w:rsidR="00AF6AE8" w:rsidRDefault="00963A53" w:rsidP="00AF6AE8">
      <w:pPr>
        <w:pStyle w:val="Heading3"/>
      </w:pPr>
      <w:r>
        <w:t>Aggregation Propensity Prediction</w:t>
      </w:r>
    </w:p>
    <w:p w14:paraId="36A5D800" w14:textId="48761CB7" w:rsidR="00963A53" w:rsidRPr="00340777" w:rsidRDefault="00963A53" w:rsidP="00963A53">
      <w:pPr>
        <w:pStyle w:val="LO-normal"/>
        <w:jc w:val="both"/>
      </w:pPr>
      <w:r w:rsidRPr="00340777">
        <w:t>The last category of tools</w:t>
      </w:r>
      <w:r w:rsidR="00712E7D" w:rsidRPr="00340777">
        <w:t xml:space="preserve"> we wish to discuss</w:t>
      </w:r>
      <w:r w:rsidR="00340777" w:rsidRPr="00340777">
        <w:t xml:space="preserve"> in this </w:t>
      </w:r>
      <w:r w:rsidR="003F4ECC">
        <w:t>part of the review</w:t>
      </w:r>
      <w:r w:rsidR="00712E7D" w:rsidRPr="00340777">
        <w:t xml:space="preserve"> is that of aggregation propensity predictors. As we will explain</w:t>
      </w:r>
      <w:r w:rsidR="00712E7D" w:rsidRPr="006E5341">
        <w:t xml:space="preserve"> more in detail in a later section, aggregation is the ability of </w:t>
      </w:r>
      <w:r w:rsidR="00712E7D" w:rsidRPr="00340777">
        <w:t>certain species to form supramolecular structures with copies of itself, and it is an important parameter to consider when examining the properties of AMPs</w:t>
      </w:r>
      <w:r w:rsidR="00A609F7">
        <w:fldChar w:fldCharType="begin" w:fldLock="1"/>
      </w:r>
      <w:r w:rsidR="00522194">
        <w:instrText>ADDIN CSL_CITATION {"citationItems":[{"id":"ITEM-1","itemData":{"DOI":"10.1016/j.cocis.2018.09.002","ISSN":"18790399","abstract":"With a rapidly growing number of bacterial strains displaying resistance against conventional antibiotics, the development of novel types of antimicrobial agents represents an important health challenge. Antimicrobial peptides (AMPs) has attracted interest in this context, as these can be designed to display potent broad-spectrum antimicrobial as well as anti-inflammatory effects, but simultaneously low toxicity against human cells. Much of the work on AMPs has been focused on membrane interactions of monomeric AMPs, and how these can be controlled by peptide design to obtain selective disruption of bacterial membranes. However, a growing body of research has demonstrated that AMPs offer opportunities as antimicrobials beyond this through their self-assembly. An overview is therefore provided of the current understanding of the interplay between AMP aggregation and antimicrobial effects, including the role of oligomerization and self-assembly on membrane interactions and antimicrobial effects, AMP interactions with amyloid-forming peptides/proteins, AMP self-assemblies as antimicrobial biomaterials, and AMP-induced flocculation of bacteria and bacterial lipopolysaccharides as a novel pathway for confinement of infection and inflammation.","author":[{"dropping-particle":"","family":"Malekkhaiat Häffner","given":"Sara","non-dropping-particle":"","parse-names":false,"suffix":""},{"dropping-particle":"","family":"Malmsten","given":"Martin","non-dropping-particle":"","parse-names":false,"suffix":""}],"container-title":"Current Opinion in Colloid and Interface Science","id":"ITEM-1","issued":{"date-parts":[["2018","11","1"]]},"page":"56-79","publisher":"Elsevier Ltd","title":"Influence of self-assembly on the performance of antimicrobial peptides","type":"article-journal","volume":"38"},"uris":["http://www.mendeley.com/documents/?uuid=c51a3dee-d482-3ba7-9b06-943ec2852cbe"]}],"mendeley":{"formattedCitation":"&lt;sup&gt;185&lt;/sup&gt;","plainTextFormattedCitation":"185","previouslyFormattedCitation":"&lt;sup&gt;185&lt;/sup&gt;"},"properties":{"noteIndex":0},"schema":"https://github.com/citation-style-language/schema/raw/master/csl-citation.json"}</w:instrText>
      </w:r>
      <w:r w:rsidR="00A609F7">
        <w:fldChar w:fldCharType="separate"/>
      </w:r>
      <w:r w:rsidR="00A313B9" w:rsidRPr="00A313B9">
        <w:rPr>
          <w:noProof/>
          <w:vertAlign w:val="superscript"/>
        </w:rPr>
        <w:t>185</w:t>
      </w:r>
      <w:r w:rsidR="00A609F7">
        <w:fldChar w:fldCharType="end"/>
      </w:r>
      <w:r w:rsidR="00712E7D" w:rsidRPr="00340777">
        <w:t>. Knowing if an AMP is more or less likely to aggregate, as well as the properties of the aggregate, provides valuable insight on the mode of action of the AMP.</w:t>
      </w:r>
      <w:r w:rsidRPr="00340777">
        <w:t xml:space="preserve"> For </w:t>
      </w:r>
      <w:r w:rsidR="00712E7D" w:rsidRPr="00340777">
        <w:t>this purpose</w:t>
      </w:r>
      <w:r w:rsidRPr="00340777">
        <w:t>, there are several tools freely available online or as downloadable executables. These tools are not AMP-specific, and in fact are ‘borrowed’ from amyloid research, in which there is also interest in determining the aggregation propensity of peptides. They have however been employed in AMP research</w:t>
      </w:r>
      <w:r w:rsidRPr="00340777">
        <w:fldChar w:fldCharType="begin" w:fldLock="1"/>
      </w:r>
      <w:r w:rsidR="00522194">
        <w:instrText>ADDIN CSL_CITATION {"citationItems":[{"id":"ITEM-1","itemData":{"DOI":"10.1002/psc.3151","ISSN":"1075-2617","abstract":"Protegrin-4 (PG-4) is a member of the porcine leukocyte protegrins family of cysteine-rich antimicrobial peptides (AMPs) isolated from Sus scrofa. It consists of 18 amino acid residues and works as a part of innate immune system. In this study, we examined the intrinsic aggregation propensity of this AMP using multiple computational algorithms, namely, TANGO, AGGRESCAN, FOLDAMYLOID, AMYLPRED, and ZYGGREGATOR, and found that the peptide is predicted to have a high propensity for the β sheet formation that disposes this peptide to be amyloidogenic. Under in vitro conditions, PG-4 formed visible aggregates and displayed the hallmark properties of typical amyloids such as enhanced binding of Congo red, increased fluorescence with Thioflavin-T, and fibrillar morphology under transmission electron microscopy. Then we examined its antimicrobial activity against Bacillus subtilis and found that the aggregated peptide retained its antimicrobial activity. Additionally, the aggregates remain non-toxic to the HEK293 and Caco2 cells. Our study suggests that the inherent aggregation properties of AMP can rationally be explored as a potential source of peptide-based antimicrobials with enhanced stability.","author":[{"dropping-particle":"","family":"Gour","given":"Shalini","non-dropping-particle":"","parse-names":false,"suffix":""},{"dropping-particle":"","family":"Kumar","given":"Vijay","non-dropping-particle":"","parse-names":false,"suffix":""},{"dropping-particle":"","family":"Singh","given":"Ashutosh","non-dropping-particle":"","parse-names":false,"suffix":""},{"dropping-particle":"","family":"Gadhave","given":"Kundlik","non-dropping-particle":"","parse-names":false,"suffix":""},{"dropping-particle":"","family":"Goyal","given":"Pankaj","non-dropping-particle":"","parse-names":false,"suffix":""},{"dropping-particle":"","family":"Pandey","given":"Janmejay","non-dropping-particle":"","parse-names":false,"suffix":""},{"dropping-particle":"","family":"Giri","given":"Rajanish","non-dropping-particle":"","parse-names":false,"suffix":""},{"dropping-particle":"","family":"Yadav","given":"Jay Kant","non-dropping-particle":"","parse-names":false,"suffix":""}],"container-title":"Journal of Peptide Science","id":"ITEM-1","issue":"3","issued":{"date-parts":[["2019","3","3"]]},"page":"e3151","publisher":"John Wiley and Sons Ltd","title":"Mammalian antimicrobial peptide protegrin</w:instrText>
      </w:r>
      <w:r w:rsidR="00522194">
        <w:rPr>
          <w:rFonts w:ascii="Cambria Math" w:hAnsi="Cambria Math" w:cs="Cambria Math"/>
        </w:rPr>
        <w:instrText>‐</w:instrText>
      </w:r>
      <w:r w:rsidR="00522194">
        <w:instrText>4 self assembles and forms amyloid</w:instrText>
      </w:r>
      <w:r w:rsidR="00522194">
        <w:rPr>
          <w:rFonts w:ascii="Cambria Math" w:hAnsi="Cambria Math" w:cs="Cambria Math"/>
        </w:rPr>
        <w:instrText>‐</w:instrText>
      </w:r>
      <w:r w:rsidR="00522194">
        <w:instrText>like aggregates: Assessment of its functional relevance","type":"article-journal","volume":"25"},"uris":["http://www.mendeley.com/documents/?uuid=dfeb834f-e3f3-33f3-a7e7-a655d3bc2452"]},{"id":"ITEM-2","itemData":{"DOI":"10.1016/j.bbamem.2009.04.012","ISSN":"00052736","PMID":"19394305","abstract":"Temporins constitute a family of amphipathic α-helical antimicrobial peptides (AMP) and contain some of the shortest cytotoxic peptides, comprised of only 10-14 residues. General characteristics of temporins parallel those of other AMP, both in terms of structural features and biophysical properties relating to their interactions with membrane lipids, with selective lipid-binding properties believed to underlie the discrimination between target vs host cells. Lipid-binding properties also contribute to the cytotoxicity AMP, causing permeabilization of their target cell membranes. The latter functional property of AMP involves highly interdependent acidic phospholipid-induced conformational changes, aggregation, and formation of toxic oligomers in the membrane. These oligomers are subsequently converted to amyloid-type fibers, as demonstrated for e.g. temporins B and L in our laboratory, and more recently for dermaseptins by Auvynet et al. Amyloid state represents the generic minimum in the folding/aggregation free energy landscape, and for AMP its formation most likely serves to detoxify the peptides, in keeping with the current consensus on mature amyloid being inert and non-toxic. The above scenario is supported by sequence analyses of temporins as well as other amphipathic α-helical AMP belonging to diverse families. Accordingly, sequence comparison identifies 'conformational switches', domains with equal probabilities for adopting random coil, α-helical and β-sheet structures. These regions were further predicted also to aggregate and assemble into amyloid β-sheets. Taken together, the lipid-binding properties and structural characterization lend support to the notion that the mechanism of membrane permeabilization by temporins B and L and perhaps of most AMP could be very similar, if not identical, to that of the paradigm amyloid forming cytotoxic peptides, responsible for degenerative cell loss in e.g. prion, Alzheimer's and Parkinson's disease, and type 2 diabetes. © 2009 Elsevier B.V. All rights reserved.","author":[{"dropping-particle":"","family":"Mahalka","given":"Ajay K.","non-dropping-particle":"","parse-names":false,"suffix":""},{"dropping-particle":"","family":"Kinnunen","given":"Paavo K.J.","non-dropping-particle":"","parse-names":false,"suffix":""}],"container-title":"Biochimica et Biophysica Acta - Biomembranes","id":"ITEM-2","issue":"8","issued":{"date-parts":[["2009","8","1"]]},"page":"1600-1609","publisher":"Elsevier","title":"Binding of amphipathic α-helical antimicrobial peptides to lipid membranes: Lessons from temporins B and L","type":"article-journal","volume":"1788"},"uris":["http://www.mendeley.com/documents/?uuid=4d3233aa-c58e-3950-ad8b-57085c45ed1b"]}],"mendeley":{"formattedCitation":"&lt;sup&gt;186,187&lt;/sup&gt;","plainTextFormattedCitation":"186,187","previouslyFormattedCitation":"&lt;sup&gt;186,187&lt;/sup&gt;"},"properties":{"noteIndex":0},"schema":"https://github.com/citation-style-language/schema/raw/master/csl-citation.json"}</w:instrText>
      </w:r>
      <w:r w:rsidRPr="00340777">
        <w:fldChar w:fldCharType="separate"/>
      </w:r>
      <w:r w:rsidR="00A313B9" w:rsidRPr="00A313B9">
        <w:rPr>
          <w:noProof/>
          <w:vertAlign w:val="superscript"/>
        </w:rPr>
        <w:t>186,187</w:t>
      </w:r>
      <w:r w:rsidRPr="00340777">
        <w:fldChar w:fldCharType="end"/>
      </w:r>
      <w:r w:rsidRPr="00340777">
        <w:t xml:space="preserve">, with TANGO usually the most popular tool for the purpose, followed by AGGRESCAN. </w:t>
      </w:r>
      <w:r w:rsidR="00D6767C">
        <w:t xml:space="preserve">We have catalogued these tools in table </w:t>
      </w:r>
      <w:r w:rsidR="00686AFA">
        <w:t>6</w:t>
      </w:r>
      <w:r w:rsidR="00D6767C">
        <w:t xml:space="preserve">. </w:t>
      </w:r>
      <w:r w:rsidRPr="00340777">
        <w:t>These methods generally work by measuring physico</w:t>
      </w:r>
      <w:r w:rsidR="00434261">
        <w:t>-</w:t>
      </w:r>
      <w:r w:rsidRPr="00340777">
        <w:t>chemical parameters of the peptide as a whole, or by scanning for known aggregation-prone segments or structures, or by a combination of these approaches</w:t>
      </w:r>
      <w:r w:rsidRPr="00340777">
        <w:fldChar w:fldCharType="begin" w:fldLock="1"/>
      </w:r>
      <w:r w:rsidR="00522194">
        <w:instrText>ADDIN CSL_CITATION {"citationItems":[{"id":"ITEM-1","itemData":{"DOI":"10.1016/j.cbpa.2006.07.009","ISSN":"13675931","PMID":"16880001","abstract":"In amyloid fibrils, β-strand conformations of polypeptide chains, or segments thereof, are perpendicular to the fibril axis, but knowledge of their three dimensional structure at atomic level of detail is scarce. Two types of computational approaches have been developed recently for investigating the aggregation propensity of peptides and proteins and identifying the segments most prone to form fibrils (hot spots). The physicochemical properties of the natural amino acids (e.g. β-propensity, hydrophobicity, aromatic content and charge) have been used to derive phenomenological models able to predict changes in aggregation rate upon mutation, as well as absolute rates and hot spots. Applications of these models to entire proteomes have provided evidence that intrinsically disordered proteins are less amyloidogenic than globular proteins. In the second type of approach, amyloidogenic polypeptides have been decomposed into overlapping segments, and atomistic simulations of three or more copies of each segment have been performed to obtain insights into aggregation propensity and structural details of the ordered aggregates (e.g. turn regions). © 2006 Elsevier Ltd. All rights reserved.","author":[{"dropping-particle":"","family":"Caflisch","given":"Amedeo","non-dropping-particle":"","parse-names":false,"suffix":""}],"container-title":"Current Opinion in Chemical Biology","id":"ITEM-1","issue":"5","issued":{"date-parts":[["2006","10","1"]]},"page":"437-444","publisher":"Elsevier Current Trends","title":"Computational models for the prediction of polypeptide aggregation propensity","type":"article-journal","volume":"10"},"uris":["http://www.mendeley.com/documents/?uuid=53407669-46d4-384c-af29-44d374039646"]}],"mendeley":{"formattedCitation":"&lt;sup&gt;188&lt;/sup&gt;","plainTextFormattedCitation":"188","previouslyFormattedCitation":"&lt;sup&gt;188&lt;/sup&gt;"},"properties":{"noteIndex":0},"schema":"https://github.com/citation-style-language/schema/raw/master/csl-citation.json"}</w:instrText>
      </w:r>
      <w:r w:rsidRPr="00340777">
        <w:fldChar w:fldCharType="separate"/>
      </w:r>
      <w:r w:rsidR="00A313B9" w:rsidRPr="00A313B9">
        <w:rPr>
          <w:noProof/>
          <w:vertAlign w:val="superscript"/>
        </w:rPr>
        <w:t>188</w:t>
      </w:r>
      <w:r w:rsidRPr="00340777">
        <w:fldChar w:fldCharType="end"/>
      </w:r>
      <w:r w:rsidRPr="00340777">
        <w:t>. They are not without flaws, however</w:t>
      </w:r>
      <w:r w:rsidRPr="00340777">
        <w:fldChar w:fldCharType="begin" w:fldLock="1"/>
      </w:r>
      <w:r w:rsidR="00522194">
        <w:instrText>ADDIN CSL_CITATION {"citationItems":[{"id":"ITEM-1","itemData":{"DOI":"10.1098/rsfs.2017.0030","ISSN":"20428901","abstract":"The number of biological therapeutic agents in the clinic and development pipeline has increased dramatically over the last decade and the number will undoubtedly continue to increase in the coming years. Despite this fact, there are considerable challenges in the development, production and formulation of such biologics particularly with respect to their physical stabilities. There are many cases where self-association to form either amorphous aggregates or highly structured fibrillar species limits their use. Here, we review the numerous factors that influence the physical stability of peptides including both intrinsic and external factors, wherever possible illustrating these with examples that are of therapeutic interest. The effects of sequence, concentration, pH, net charge, excipients, chemical degradation and modification, surfaces and interfaces, and impurities are all discussed. In addition, the effects of physical parameters such as pressure, temperature, agitation and lyophilization are described. We provide an overview of the structures of aggregates formed, as well as our current knowledge of the mechanisms for their formation.","author":[{"dropping-particle":"","family":"Zapadka","given":"Karolina L.","non-dropping-particle":"","parse-names":false,"suffix":""},{"dropping-particle":"","family":"Becher","given":"Frederik J.","non-dropping-particle":"","parse-names":false,"suffix":""},{"dropping-particle":"","family":"Gomes dos Santos","given":"A. L.","non-dropping-particle":"","parse-names":false,"suffix":""},{"dropping-particle":"","family":"Jackson","given":"Sophie E.","non-dropping-particle":"","parse-names":false,"suffix":""}],"container-title":"Interface Focus","id":"ITEM-1","issue":"6","issued":{"date-parts":[["2017","12","6"]]},"page":"20170030","publisher":"Royal Society Publishing","title":"Factors affecting the physical stability (aggregation) of peptide therapeutics","type":"article-journal","volume":"7"},"uris":["http://www.mendeley.com/documents/?uuid=92b518c1-79ae-3f8f-87c6-1b1e8b755c2e"]}],"mendeley":{"formattedCitation":"&lt;sup&gt;189&lt;/sup&gt;","plainTextFormattedCitation":"189","previouslyFormattedCitation":"&lt;sup&gt;189&lt;/sup&gt;"},"properties":{"noteIndex":0},"schema":"https://github.com/citation-style-language/schema/raw/master/csl-citation.json"}</w:instrText>
      </w:r>
      <w:r w:rsidRPr="00340777">
        <w:fldChar w:fldCharType="separate"/>
      </w:r>
      <w:r w:rsidR="00A313B9" w:rsidRPr="00A313B9">
        <w:rPr>
          <w:noProof/>
          <w:vertAlign w:val="superscript"/>
        </w:rPr>
        <w:t>189</w:t>
      </w:r>
      <w:r w:rsidRPr="00340777">
        <w:fldChar w:fldCharType="end"/>
      </w:r>
      <w:r w:rsidRPr="00340777">
        <w:t>: while features such as amino acid composition can be reliably used as a predictor of aggregation propensity, the effects of other factors such as impurities and post-translational modifications are much harder to incorporate in models. A thorough analysis of the system is important to determine if there are unknowns that might affect aggregation.</w:t>
      </w:r>
    </w:p>
    <w:p w14:paraId="59C3F309" w14:textId="4508760B" w:rsidR="00D6767C" w:rsidRDefault="00D6767C" w:rsidP="00963A53">
      <w:pPr>
        <w:pStyle w:val="LO-normal"/>
      </w:pPr>
    </w:p>
    <w:p w14:paraId="135C5A75" w14:textId="4EA83A6C" w:rsidR="00963A53" w:rsidRPr="00D53A98" w:rsidRDefault="00D6767C" w:rsidP="00963A53">
      <w:pPr>
        <w:pStyle w:val="LO-normal"/>
      </w:pPr>
      <w:r>
        <w:lastRenderedPageBreak/>
        <w:t xml:space="preserve">Table </w:t>
      </w:r>
      <w:r w:rsidR="00686AFA">
        <w:t>6</w:t>
      </w:r>
      <w:r>
        <w:t>: List of available aggregation propensity prediction tools.</w:t>
      </w:r>
    </w:p>
    <w:tbl>
      <w:tblPr>
        <w:tblW w:w="9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40" w:type="dxa"/>
          <w:left w:w="23" w:type="dxa"/>
          <w:bottom w:w="40" w:type="dxa"/>
          <w:right w:w="40" w:type="dxa"/>
        </w:tblCellMar>
        <w:tblLook w:val="04A0" w:firstRow="1" w:lastRow="0" w:firstColumn="1" w:lastColumn="0" w:noHBand="0" w:noVBand="1"/>
      </w:tblPr>
      <w:tblGrid>
        <w:gridCol w:w="1486"/>
        <w:gridCol w:w="5310"/>
        <w:gridCol w:w="567"/>
        <w:gridCol w:w="1843"/>
      </w:tblGrid>
      <w:tr w:rsidR="00963A53" w14:paraId="53028B28" w14:textId="77777777" w:rsidTr="00D53A98">
        <w:trPr>
          <w:trHeight w:val="315"/>
        </w:trPr>
        <w:tc>
          <w:tcPr>
            <w:tcW w:w="148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90707E7" w14:textId="77777777" w:rsidR="00963A53" w:rsidRDefault="00963A53" w:rsidP="00340777">
            <w:pPr>
              <w:pStyle w:val="LO-normal"/>
              <w:widowControl w:val="0"/>
              <w:rPr>
                <w:b/>
                <w:sz w:val="20"/>
                <w:szCs w:val="20"/>
              </w:rPr>
            </w:pPr>
            <w:r>
              <w:rPr>
                <w:b/>
                <w:sz w:val="20"/>
                <w:szCs w:val="20"/>
              </w:rPr>
              <w:t>Tool</w:t>
            </w:r>
          </w:p>
        </w:tc>
        <w:tc>
          <w:tcPr>
            <w:tcW w:w="53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DC71B1B" w14:textId="77777777" w:rsidR="00963A53" w:rsidRDefault="00963A53" w:rsidP="00340777">
            <w:pPr>
              <w:pStyle w:val="LO-normal"/>
              <w:widowControl w:val="0"/>
              <w:rPr>
                <w:b/>
                <w:sz w:val="20"/>
                <w:szCs w:val="20"/>
              </w:rPr>
            </w:pPr>
            <w:r>
              <w:rPr>
                <w:b/>
                <w:sz w:val="20"/>
                <w:szCs w:val="20"/>
              </w:rPr>
              <w:t>Website</w:t>
            </w: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A67D41E" w14:textId="77777777" w:rsidR="00963A53" w:rsidRDefault="00963A53" w:rsidP="00340777">
            <w:pPr>
              <w:pStyle w:val="LO-normal"/>
              <w:widowControl w:val="0"/>
              <w:rPr>
                <w:b/>
                <w:sz w:val="20"/>
                <w:szCs w:val="20"/>
              </w:rPr>
            </w:pPr>
            <w:r>
              <w:rPr>
                <w:b/>
                <w:sz w:val="20"/>
                <w:szCs w:val="20"/>
              </w:rPr>
              <w:t>Ref.</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C415FBC" w14:textId="77777777" w:rsidR="00963A53" w:rsidRDefault="00963A53" w:rsidP="00340777">
            <w:pPr>
              <w:pStyle w:val="LO-normal"/>
              <w:widowControl w:val="0"/>
              <w:rPr>
                <w:b/>
                <w:sz w:val="20"/>
                <w:szCs w:val="20"/>
              </w:rPr>
            </w:pPr>
            <w:r>
              <w:rPr>
                <w:b/>
                <w:sz w:val="20"/>
                <w:szCs w:val="20"/>
              </w:rPr>
              <w:t>Notes</w:t>
            </w:r>
          </w:p>
        </w:tc>
      </w:tr>
      <w:tr w:rsidR="00963A53" w14:paraId="4EFDAD08" w14:textId="77777777" w:rsidTr="00D53A98">
        <w:trPr>
          <w:trHeight w:val="360"/>
        </w:trPr>
        <w:tc>
          <w:tcPr>
            <w:tcW w:w="148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3A171E6" w14:textId="77777777" w:rsidR="00963A53" w:rsidRDefault="00963A53" w:rsidP="00340777">
            <w:pPr>
              <w:pStyle w:val="LO-normal"/>
              <w:widowControl w:val="0"/>
              <w:rPr>
                <w:sz w:val="20"/>
                <w:szCs w:val="20"/>
              </w:rPr>
            </w:pPr>
            <w:r>
              <w:rPr>
                <w:sz w:val="20"/>
                <w:szCs w:val="20"/>
              </w:rPr>
              <w:t>AGGRESCAN</w:t>
            </w:r>
          </w:p>
        </w:tc>
        <w:tc>
          <w:tcPr>
            <w:tcW w:w="53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39B3B68" w14:textId="77777777" w:rsidR="00963A53" w:rsidRDefault="00640BFA" w:rsidP="00340777">
            <w:pPr>
              <w:pStyle w:val="LO-normal"/>
              <w:widowControl w:val="0"/>
            </w:pPr>
            <w:hyperlink r:id="rId41">
              <w:r w:rsidR="00963A53">
                <w:rPr>
                  <w:rStyle w:val="ListLabel120"/>
                </w:rPr>
                <w:t>bioinf.uab.es/aggrescan/</w:t>
              </w:r>
            </w:hyperlink>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542B6C1" w14:textId="76A3E9D4" w:rsidR="00963A53" w:rsidRDefault="00963A53" w:rsidP="00A313B9">
            <w:pPr>
              <w:pStyle w:val="LO-normal"/>
              <w:widowControl w:val="0"/>
            </w:pPr>
            <w:r>
              <w:fldChar w:fldCharType="begin" w:fldLock="1"/>
            </w:r>
            <w:r w:rsidR="00576689">
              <w:instrText>ADDIN CSL_CITATION {"citationItems":[{"id":"ITEM-1","itemData":{"DOI":"10.1186/1471-2105-8-65","ISSN":"14712105","PMID":"17324296","abstract":"Background: Protein aggregation correlates with the development of several debilitating human disorders of growing incidence, such as Alzheimer's and Parkinson's diseases. On the biotechnological side, protein production is often hampered by the accumulation of recombinant proteins into aggregates. Thus, the development of methods to anticipate the aggregation properties of polypeptides is receiving increasing attention. AGGRESCAN is a web-based software for the prediction of aggregation-prone segments in protein sequences, the analysis of the effect of mutations on protein aggregation propensities and the comparison of the aggregation properties of different proteins or protein sets. Results: AGGRESCAN is based on an aggregation-propensity scale for natural amino acids derived from in vivo experiments and on the assumption that short and specific sequence stretches modulate protein aggregation. The algorithm is shown to identify a series of protein fragments involved in the aggregation of disease-related proteins and to predict the effect of genetic mutations on their deposition propensities. It also provides new insights into the differential aggregation properties displayed by globular proteins, natively unfolded polypeptides, amyloidogenic proteins and proteins found in bacterial inclusion bodies. Conclusion: By identifying aggregation-prone segments in proteins, AGGRESCAN http://bioinf.uab.es/aggrescan/shall facilitate (i) the identification of possible therapeutic targets for anti-depositional strategies in conformational diseases and (ii) the anticipation of aggregation phenomena during storage or recombinant production of bioactive polypeptides or polypeptide sets. © 2007 Conchillo-Solé et al; licensee BioMed Central Ltd.","author":[{"dropping-particle":"","family":"Conchillo-Solé","given":"Oscar","non-dropping-particle":"","parse-names":false,"suffix":""},{"dropping-particle":"","family":"Groot","given":"Natalia S.","non-dropping-particle":"de","parse-names":false,"suffix":""},{"dropping-particle":"","family":"Avilés","given":"Francesc X.","non-dropping-particle":"","parse-names":false,"suffix":""},{"dropping-particle":"","family":"Vendrell","given":"Josep","non-dropping-particle":"","parse-names":false,"suffix":""},{"dropping-particle":"","family":"Daura","given":"Xavier","non-dropping-particle":"","parse-names":false,"suffix":""},{"dropping-particle":"","family":"Ventura","given":"Salvador","non-dropping-particle":"","parse-names":false,"suffix":""}],"container-title":"BMC Bioinformatics","id":"ITEM-1","issue":"1","issued":{"date-parts":[["2007","2","27"]]},"page":"1-17","publisher":"BioMed Central","title":"AGGRESCAN: A server for the prediction and evaluation of \"hot spots\" of aggregation in polypeptides","type":"article-journal","volume":"8"},"uris":["http://www.mendeley.com/documents/?uuid=0e41d6b1-2108-326a-8f63-713169587473"]}],"mendeley":{"formattedCitation":"&lt;sup&gt;190&lt;/sup&gt;","plainTextFormattedCitation":"190","previouslyFormattedCitation":"&lt;sup&gt;190&lt;/sup&gt;"},"properties":{"noteIndex":0},"schema":"https://github.com/citation-style-language/schema/raw/master/csl-citation.json"}</w:instrText>
            </w:r>
            <w:r>
              <w:fldChar w:fldCharType="separate"/>
            </w:r>
            <w:r w:rsidR="00A313B9" w:rsidRPr="00A313B9">
              <w:rPr>
                <w:noProof/>
                <w:vertAlign w:val="superscript"/>
              </w:rPr>
              <w:t>190</w:t>
            </w:r>
            <w:r>
              <w:fldChar w:fldCharType="end"/>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B6A103D" w14:textId="77777777" w:rsidR="00963A53" w:rsidRDefault="00963A53" w:rsidP="00340777">
            <w:pPr>
              <w:pStyle w:val="LO-normal"/>
              <w:widowControl w:val="0"/>
              <w:rPr>
                <w:sz w:val="20"/>
                <w:szCs w:val="20"/>
              </w:rPr>
            </w:pPr>
          </w:p>
        </w:tc>
      </w:tr>
      <w:tr w:rsidR="00963A53" w14:paraId="641F160F" w14:textId="77777777" w:rsidTr="00D53A98">
        <w:trPr>
          <w:trHeight w:val="315"/>
        </w:trPr>
        <w:tc>
          <w:tcPr>
            <w:tcW w:w="148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4E3E093" w14:textId="77777777" w:rsidR="00963A53" w:rsidRDefault="00963A53" w:rsidP="00340777">
            <w:pPr>
              <w:pStyle w:val="LO-normal"/>
              <w:widowControl w:val="0"/>
              <w:rPr>
                <w:sz w:val="20"/>
                <w:szCs w:val="20"/>
              </w:rPr>
            </w:pPr>
            <w:r>
              <w:rPr>
                <w:sz w:val="20"/>
                <w:szCs w:val="20"/>
              </w:rPr>
              <w:t>AmyloidMutants</w:t>
            </w:r>
          </w:p>
        </w:tc>
        <w:tc>
          <w:tcPr>
            <w:tcW w:w="53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52B4AFB" w14:textId="77777777" w:rsidR="00963A53" w:rsidRDefault="00640BFA" w:rsidP="00340777">
            <w:pPr>
              <w:pStyle w:val="LO-normal"/>
              <w:widowControl w:val="0"/>
            </w:pPr>
            <w:hyperlink r:id="rId42">
              <w:r w:rsidR="00963A53">
                <w:rPr>
                  <w:rStyle w:val="ListLabel120"/>
                </w:rPr>
                <w:t>amyloid.csail.mit.edu/</w:t>
              </w:r>
            </w:hyperlink>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8E86875" w14:textId="3C37FE22" w:rsidR="00963A53" w:rsidRDefault="00963A53" w:rsidP="00A313B9">
            <w:pPr>
              <w:pStyle w:val="LO-normal"/>
              <w:widowControl w:val="0"/>
            </w:pPr>
            <w:r>
              <w:fldChar w:fldCharType="begin" w:fldLock="1"/>
            </w:r>
            <w:r w:rsidR="00576689">
              <w:instrText>ADDIN CSL_CITATION {"citationItems":[{"id":"ITEM-1","itemData":{"DOI":"10.1093/bioinformatics/btr238","ISSN":"1460-2059","abstract":"Motivation: Proteins of all kinds can self-assemble into highly ordered β-sheet aggregates known as amyloid fibrils, important both biologically and clinically. However, the specific molecular structure of a fibril can vary dramatically depending on sequence and environmental conditions, and mutations can drastically alter amyloid function and pathogenicity. Experimental structure determination has proven extremely difficult with only a handful of NMR-based models proposed, suggesting a need for computational methods. Results: We present AmyloidMutants, a statistical mechanics approach for de novo prediction and analysis of wild-type and mutant amyloid structures. Based on the premise of protein mutational landscapes, AmyloidMutants energetically quantifies the effects of sequence mutation on fibril conformation and stability. Tested on non-mutant, full-length amyloid structures with known chemical shift data, AmyloidMutants offers roughly 2-fold improvement in prediction accuracy over existing tools. Moreover, AmyloidMutants is the only method to predict complete super-secondary structures, enabling accurate discrimination of topologically dissimilar amyloid conformations that correspond to the same sequence locations. Applied to mutant prediction, AmyloidMutants identifies a global conformational switch between Aβ and its highly-toxic 'Iowa' mutant in agreement with a recent experimental model based on partial chemical shift data. Predictions on mutant, yeast-toxic strains of HET-s suggest similar alternate folds. When applied to HET-s and a HET-s mutant with core asparagines replaced by glutamines (both highly amyloidogenic chemically similar residues abundant in many amyloids), AmyloidMutants surprisingly predicts a greatly reduced capacity of the glutamine mutant to form amyloid. We confirm this finding by conducting mutagenesis experiments. © The Author(s) 2011. Published by Oxford University Press.","author":[{"dropping-particle":"","family":"O'Donnell","given":"Charles W.","non-dropping-particle":"","parse-names":false,"suffix":""},{"dropping-particle":"","family":"Waldispühl","given":"Jérôme","non-dropping-particle":"","parse-names":false,"suffix":""},{"dropping-particle":"","family":"Lis","given":"Mieszko","non-dropping-particle":"","parse-names":false,"suffix":""},{"dropping-particle":"","family":"Halfmann","given":"Randal","non-dropping-particle":"","parse-names":false,"suffix":""},{"dropping-particle":"","family":"Devadas","given":"Srinivas","non-dropping-particle":"","parse-names":false,"suffix":""},{"dropping-particle":"","family":"Lindquist","given":"Susan","non-dropping-particle":"","parse-names":false,"suffix":""},{"dropping-particle":"","family":"Berger","given":"Bonnie","non-dropping-particle":"","parse-names":false,"suffix":""}],"container-title":"Bioinformatics","id":"ITEM-1","issue":"13","issued":{"date-parts":[["2011","7","1"]]},"page":"i34-i42","publisher":"Oxford Academic","title":"A method for probing the mutational landscape of amyloid structure","type":"article-journal","volume":"27"},"uris":["http://www.mendeley.com/documents/?uuid=54c6db2d-0333-3df6-a69e-db45f1fe1063"]}],"mendeley":{"formattedCitation":"&lt;sup&gt;191&lt;/sup&gt;","plainTextFormattedCitation":"191","previouslyFormattedCitation":"&lt;sup&gt;191&lt;/sup&gt;"},"properties":{"noteIndex":0},"schema":"https://github.com/citation-style-language/schema/raw/master/csl-citation.json"}</w:instrText>
            </w:r>
            <w:r>
              <w:fldChar w:fldCharType="separate"/>
            </w:r>
            <w:r w:rsidR="00A313B9" w:rsidRPr="00A313B9">
              <w:rPr>
                <w:noProof/>
                <w:vertAlign w:val="superscript"/>
              </w:rPr>
              <w:t>191</w:t>
            </w:r>
            <w:r>
              <w:fldChar w:fldCharType="end"/>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6FC3237" w14:textId="77777777" w:rsidR="00963A53" w:rsidRDefault="00963A53" w:rsidP="00340777">
            <w:pPr>
              <w:pStyle w:val="LO-normal"/>
              <w:widowControl w:val="0"/>
              <w:rPr>
                <w:sz w:val="20"/>
                <w:szCs w:val="20"/>
              </w:rPr>
            </w:pPr>
          </w:p>
        </w:tc>
      </w:tr>
      <w:tr w:rsidR="00963A53" w14:paraId="68157B0E" w14:textId="77777777" w:rsidTr="00D53A98">
        <w:trPr>
          <w:trHeight w:val="435"/>
        </w:trPr>
        <w:tc>
          <w:tcPr>
            <w:tcW w:w="148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79E327D" w14:textId="77777777" w:rsidR="00963A53" w:rsidRDefault="00963A53" w:rsidP="00340777">
            <w:pPr>
              <w:pStyle w:val="LO-normal"/>
              <w:widowControl w:val="0"/>
              <w:rPr>
                <w:sz w:val="20"/>
                <w:szCs w:val="20"/>
              </w:rPr>
            </w:pPr>
            <w:r>
              <w:rPr>
                <w:sz w:val="20"/>
                <w:szCs w:val="20"/>
              </w:rPr>
              <w:t>AMYLPRED2</w:t>
            </w:r>
          </w:p>
        </w:tc>
        <w:tc>
          <w:tcPr>
            <w:tcW w:w="53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B03B49C" w14:textId="77777777" w:rsidR="00963A53" w:rsidRDefault="00640BFA" w:rsidP="00340777">
            <w:pPr>
              <w:pStyle w:val="LO-normal"/>
              <w:widowControl w:val="0"/>
            </w:pPr>
            <w:hyperlink r:id="rId43">
              <w:r w:rsidR="00963A53">
                <w:rPr>
                  <w:rStyle w:val="ListLabel120"/>
                </w:rPr>
                <w:t>aias.biol.uoa.gr/AMYLPRED2/</w:t>
              </w:r>
            </w:hyperlink>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8349E49" w14:textId="680041DF" w:rsidR="00963A53" w:rsidRDefault="00963A53" w:rsidP="00A313B9">
            <w:pPr>
              <w:pStyle w:val="LO-normal"/>
              <w:widowControl w:val="0"/>
            </w:pPr>
            <w:r>
              <w:fldChar w:fldCharType="begin" w:fldLock="1"/>
            </w:r>
            <w:r w:rsidR="00522194">
              <w:instrText>ADDIN CSL_CITATION {"citationItems":[{"id":"ITEM-1","itemData":{"DOI":"10.1371/journal.pone.0054175","ISSN":"19326203","PMID":"23326595","abstract":"The purpose of this work was to construct a consensus prediction algorithm of 'aggregation-prone' peptides in globular proteins, combining existing tools. This allows comparison of the different algorithms and the production of more objective and accurate results. Eleven (11) individual methods are combined and produce AMYLPRED2, a publicly, freely available web tool to academic users (http://biophysics.biol.uoa.gr/AMYLPRED2), for the consensus prediction of amyloidogenic determinants/'aggregation-prone' peptides in proteins, from sequence alone. The performance of AMYLPRED2 indicates that it functions better than individual aggregation-prediction algorithms, as perhaps expected. AMYLPRED2 is a useful tool for identifying amyloid-forming regions in proteins that are associated with several conformational diseases, called amyloidoses, such as Altzheimer's, Parkinson's, prion diseases and type II diabetes. It may also be useful for understanding the properties of protein folding and misfolding and for helping to the control of protein aggregation/solubility in biotechnology (recombinant proteins forming bacterial inclusion bodies) and biotherapeutics (monoclonal antibodies and biopharmaceutical proteins). © 2013 Tsolis et al.","author":[{"dropping-particle":"","family":"Tsolis","given":"Antonios C.","non-dropping-particle":"","parse-names":false,"suffix":""},{"dropping-particle":"","family":"Papandreou","given":"Nikos C.","non-dropping-particle":"","parse-names":false,"suffix":""},{"dropping-particle":"","family":"Iconomidou","given":"Vassiliki A.","non-dropping-particle":"","parse-names":false,"suffix":""},{"dropping-particle":"","family":"Hamodrakas","given":"Stavros J.","non-dropping-particle":"","parse-names":false,"suffix":""}],"container-title":"PLoS ONE","id":"ITEM-1","issue":"1","issued":{"date-parts":[["2013","1","17"]]},"page":"e54175","publisher":"Public Library of Science","title":"A Consensus Method for the Prediction of 'Aggregation-Prone' Peptides in Globular Proteins","type":"article-journal","volume":"8"},"uris":["http://www.mendeley.com/documents/?uuid=7da16803-eb5a-3fcf-aff9-7d3e004eae64"]}],"mendeley":{"formattedCitation":"&lt;sup&gt;192&lt;/sup&gt;","plainTextFormattedCitation":"192","previouslyFormattedCitation":"&lt;sup&gt;192&lt;/sup&gt;"},"properties":{"noteIndex":0},"schema":"https://github.com/citation-style-language/schema/raw/master/csl-citation.json"}</w:instrText>
            </w:r>
            <w:r>
              <w:fldChar w:fldCharType="separate"/>
            </w:r>
            <w:r w:rsidR="00A313B9" w:rsidRPr="00A313B9">
              <w:rPr>
                <w:noProof/>
                <w:vertAlign w:val="superscript"/>
              </w:rPr>
              <w:t>192</w:t>
            </w:r>
            <w:r>
              <w:fldChar w:fldCharType="end"/>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5A939A7" w14:textId="77777777" w:rsidR="00963A53" w:rsidRDefault="00963A53" w:rsidP="00340777">
            <w:pPr>
              <w:pStyle w:val="LO-normal"/>
              <w:widowControl w:val="0"/>
              <w:rPr>
                <w:sz w:val="20"/>
                <w:szCs w:val="20"/>
              </w:rPr>
            </w:pPr>
            <w:r>
              <w:rPr>
                <w:sz w:val="20"/>
                <w:szCs w:val="20"/>
              </w:rPr>
              <w:t>Needs registration</w:t>
            </w:r>
          </w:p>
        </w:tc>
      </w:tr>
      <w:tr w:rsidR="00963A53" w14:paraId="5E7C9462" w14:textId="77777777" w:rsidTr="00D53A98">
        <w:trPr>
          <w:trHeight w:val="345"/>
        </w:trPr>
        <w:tc>
          <w:tcPr>
            <w:tcW w:w="148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B1EBB8E" w14:textId="77777777" w:rsidR="00963A53" w:rsidRDefault="00963A53" w:rsidP="00340777">
            <w:pPr>
              <w:pStyle w:val="LO-normal"/>
              <w:widowControl w:val="0"/>
              <w:rPr>
                <w:sz w:val="20"/>
                <w:szCs w:val="20"/>
              </w:rPr>
            </w:pPr>
            <w:r>
              <w:rPr>
                <w:sz w:val="20"/>
                <w:szCs w:val="20"/>
              </w:rPr>
              <w:t>CamSol</w:t>
            </w:r>
          </w:p>
        </w:tc>
        <w:tc>
          <w:tcPr>
            <w:tcW w:w="53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50DE68B" w14:textId="77777777" w:rsidR="00963A53" w:rsidRDefault="00640BFA" w:rsidP="00340777">
            <w:pPr>
              <w:pStyle w:val="LO-normal"/>
              <w:widowControl w:val="0"/>
            </w:pPr>
            <w:hyperlink r:id="rId44">
              <w:r w:rsidR="00963A53">
                <w:rPr>
                  <w:rStyle w:val="ListLabel120"/>
                </w:rPr>
                <w:t>www-mvsoftware.ch.cam.ac.uk/index.php/camsolintrinsic</w:t>
              </w:r>
            </w:hyperlink>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1521F91" w14:textId="5E5B6464" w:rsidR="00963A53" w:rsidRDefault="00963A53" w:rsidP="00A313B9">
            <w:pPr>
              <w:pStyle w:val="LO-normal"/>
              <w:widowControl w:val="0"/>
            </w:pPr>
            <w:r>
              <w:fldChar w:fldCharType="begin" w:fldLock="1"/>
            </w:r>
            <w:r w:rsidR="00576689">
              <w:instrText>ADDIN CSL_CITATION {"citationItems":[{"id":"ITEM-1","itemData":{"DOI":"10.1016/j.jmb.2014.09.026","ISSN":"10898638","PMID":"25451785","abstract":"Protein solubility is often an essential requirement in biotechnological and biomedical applications. Great advances in understanding the principles that determine this specific property of proteins have been made during the past decade, in particular concerning the physicochemical characteristics of their constituent amino acids. By exploiting these advances, we present the CamSol method for the rational design of protein variants with enhanced solubility. The method works by performing a rapid computational screening of tens of thousand of mutations to identify those with the greatest impact on the solubility of the target protein while maintaining its native state and biological activity. The application to a single-domain antibody that targets the Alzheimer's Aβ peptide demonstrates that the method predicts with great accuracy solubility changes upon mutation, thus offering a cost-effective strategy to help the production of soluble proteins for academic and industrial purposes.","author":[{"dropping-particle":"","family":"Sormanni","given":"Pietro","non-dropping-particle":"","parse-names":false,"suffix":""},{"dropping-particle":"","family":"Aprile","given":"Francesco A.","non-dropping-particle":"","parse-names":false,"suffix":""},{"dropping-particle":"","family":"Vendruscolo","given":"Michele","non-dropping-particle":"","parse-names":false,"suffix":""}],"container-title":"Journal of Molecular Biology","id":"ITEM-1","issue":"2","issued":{"date-parts":[["2015","1","30"]]},"page":"478-490","publisher":"Academic Press","title":"The CamSol method of rational design of protein mutants with enhanced solubility","type":"article-journal","volume":"427"},"uris":["http://www.mendeley.com/documents/?uuid=215552de-7567-3910-8c64-1e17f49a8a10"]}],"mendeley":{"formattedCitation":"&lt;sup&gt;193&lt;/sup&gt;","plainTextFormattedCitation":"193","previouslyFormattedCitation":"&lt;sup&gt;193&lt;/sup&gt;"},"properties":{"noteIndex":0},"schema":"https://github.com/citation-style-language/schema/raw/master/csl-citation.json"}</w:instrText>
            </w:r>
            <w:r>
              <w:fldChar w:fldCharType="separate"/>
            </w:r>
            <w:r w:rsidR="00A313B9" w:rsidRPr="00A313B9">
              <w:rPr>
                <w:noProof/>
                <w:vertAlign w:val="superscript"/>
              </w:rPr>
              <w:t>193</w:t>
            </w:r>
            <w:r>
              <w:fldChar w:fldCharType="end"/>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691B293" w14:textId="77777777" w:rsidR="00963A53" w:rsidRDefault="00963A53" w:rsidP="00340777">
            <w:pPr>
              <w:pStyle w:val="LO-normal"/>
              <w:widowControl w:val="0"/>
              <w:rPr>
                <w:sz w:val="20"/>
                <w:szCs w:val="20"/>
              </w:rPr>
            </w:pPr>
            <w:r>
              <w:rPr>
                <w:sz w:val="20"/>
                <w:szCs w:val="20"/>
              </w:rPr>
              <w:t>Needs registration</w:t>
            </w:r>
          </w:p>
        </w:tc>
      </w:tr>
      <w:tr w:rsidR="00963A53" w14:paraId="25EAFF72" w14:textId="77777777" w:rsidTr="00D53A98">
        <w:trPr>
          <w:trHeight w:val="345"/>
        </w:trPr>
        <w:tc>
          <w:tcPr>
            <w:tcW w:w="148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C5556E1" w14:textId="77777777" w:rsidR="00963A53" w:rsidRDefault="00963A53" w:rsidP="00340777">
            <w:pPr>
              <w:pStyle w:val="LO-normal"/>
              <w:widowControl w:val="0"/>
              <w:rPr>
                <w:sz w:val="20"/>
                <w:szCs w:val="20"/>
              </w:rPr>
            </w:pPr>
            <w:r>
              <w:rPr>
                <w:sz w:val="20"/>
                <w:szCs w:val="20"/>
              </w:rPr>
              <w:t>ChemAGG</w:t>
            </w:r>
          </w:p>
        </w:tc>
        <w:tc>
          <w:tcPr>
            <w:tcW w:w="53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0F2E96E" w14:textId="77777777" w:rsidR="00963A53" w:rsidRDefault="00640BFA" w:rsidP="00340777">
            <w:pPr>
              <w:pStyle w:val="LO-normal"/>
              <w:widowControl w:val="0"/>
            </w:pPr>
            <w:hyperlink r:id="rId45">
              <w:r w:rsidR="00963A53">
                <w:rPr>
                  <w:rStyle w:val="ListLabel120"/>
                </w:rPr>
                <w:t>admet.scbdd.com/ChemAGG/index/</w:t>
              </w:r>
            </w:hyperlink>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1F1E5D2" w14:textId="7F75B73A" w:rsidR="00963A53" w:rsidRDefault="00963A53" w:rsidP="00A313B9">
            <w:pPr>
              <w:pStyle w:val="LO-normal"/>
              <w:widowControl w:val="0"/>
            </w:pPr>
            <w:r>
              <w:fldChar w:fldCharType="begin" w:fldLock="1"/>
            </w:r>
            <w:r w:rsidR="00576689">
              <w:instrText>ADDIN CSL_CITATION {"citationItems":[{"id":"ITEM-1","itemData":{"DOI":"10.1021/acs.jcim.9b00541","ISSN":"15205142","PMID":"31430151","abstract":"Aggregation has been posing a great challenge in drug discovery. Current computational approaches aiming to filter out aggregated molecules based on their similarity to known aggregators, such as Aggregator Advisor, have low prediction accuracy, and therefore development of reliable in silico models to detect aggregators is highly desirable. In this study, we built a data set consisting of 12 119 aggregators and 24 172 drugs or drug candidates and then developed a group of classification models based on the combination of two ensemble learning approaches and five types of molecular representations. The best model yielded an accuracy of 0.950 and an area under the curve (AUC) value of 0.987 for the training set, and an accuracy of 0.937 and an AUC of 0.976 for the test set. The best model also gave reliable predictions to the external validation set with 5681 aggregators since 80% of molecules were predicted to be aggregators with a prediction probability higher than 0.9. More importantly, we explored the relationship between colloidal aggregation and molecular features, and generalized a set of simple rules to detect aggregators. Molecular features, such as log D, the number of hydroxyl groups, the number of aromatic carbons attached to a hydrogen atom, and the number of sulfur atoms in aromatic heterocycles, would be helpful to distinguish aggregators from nonaggregators. A comparison with numerous existing druglikeness and aggregation filtering rules and models used in virtual screening verified the high reliability of the model and rules proposed in this study. We also used the model to screen several curated chemical databases, and almost 20% of molecules in the evaluated databases were predicted as aggregators, highlighting the potential high risk of aggregation in screening. Finally, we developed an online Web server of ChemAGG (http://admet.scbdd.com/ChemAGG/index), which offers a freely available tool to detect aggregators.","author":[{"dropping-particle":"","family":"Yang","given":"Zi Yi","non-dropping-particle":"","parse-names":false,"suffix":""},{"dropping-particle":"","family":"Yang","given":"Zhi Jiang","non-dropping-particle":"","parse-names":false,"suffix":""},{"dropping-particle":"","family":"Dong","given":"Jie","non-dropping-particle":"","parse-names":false,"suffix":""},{"dropping-particle":"","family":"Wang","given":"Liang Liang","non-dropping-particle":"","parse-names":false,"suffix":""},{"dropping-particle":"","family":"Zhang","given":"Liu Xia","non-dropping-particle":"","parse-names":false,"suffix":""},{"dropping-particle":"","family":"Ding","given":"Jun Jie","non-dropping-particle":"","parse-names":false,"suffix":""},{"dropping-particle":"","family":"Ding","given":"Xiao Qin","non-dropping-particle":"","parse-names":false,"suffix":""},{"dropping-particle":"","family":"Lu","given":"Ai Ping","non-dropping-particle":"","parse-names":false,"suffix":""},{"dropping-particle":"","family":"Hou","given":"Ting Jun","non-dropping-particle":"","parse-names":false,"suffix":""},{"dropping-particle":"","family":"Cao","given":"Dong Sheng","non-dropping-particle":"","parse-names":false,"suffix":""}],"container-title":"Journal of Chemical Information and Modeling","id":"ITEM-1","issue":"9","issued":{"date-parts":[["2019","9","23"]]},"page":"3714-3726","publisher":"American Chemical Society","title":"Structural Analysis and Identification of Colloidal Aggregators in Drug Discovery","type":"article-journal","volume":"59"},"uris":["http://www.mendeley.com/documents/?uuid=db93b507-b82f-3cee-a774-a9d9861afe48"]}],"mendeley":{"formattedCitation":"&lt;sup&gt;194&lt;/sup&gt;","plainTextFormattedCitation":"194","previouslyFormattedCitation":"&lt;sup&gt;194&lt;/sup&gt;"},"properties":{"noteIndex":0},"schema":"https://github.com/citation-style-language/schema/raw/master/csl-citation.json"}</w:instrText>
            </w:r>
            <w:r>
              <w:fldChar w:fldCharType="separate"/>
            </w:r>
            <w:r w:rsidR="00A313B9" w:rsidRPr="00A313B9">
              <w:rPr>
                <w:noProof/>
                <w:vertAlign w:val="superscript"/>
              </w:rPr>
              <w:t>194</w:t>
            </w:r>
            <w:r>
              <w:fldChar w:fldCharType="end"/>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80A805B" w14:textId="77777777" w:rsidR="00963A53" w:rsidRDefault="00963A53" w:rsidP="00340777">
            <w:pPr>
              <w:pStyle w:val="LO-normal"/>
              <w:widowControl w:val="0"/>
              <w:rPr>
                <w:sz w:val="20"/>
                <w:szCs w:val="20"/>
              </w:rPr>
            </w:pPr>
          </w:p>
        </w:tc>
      </w:tr>
      <w:tr w:rsidR="00963A53" w14:paraId="718FA07E" w14:textId="77777777" w:rsidTr="00D53A98">
        <w:trPr>
          <w:trHeight w:val="300"/>
        </w:trPr>
        <w:tc>
          <w:tcPr>
            <w:tcW w:w="148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35690D4" w14:textId="77777777" w:rsidR="00963A53" w:rsidRDefault="00963A53" w:rsidP="00340777">
            <w:pPr>
              <w:pStyle w:val="LO-normal"/>
              <w:widowControl w:val="0"/>
              <w:rPr>
                <w:sz w:val="20"/>
                <w:szCs w:val="20"/>
              </w:rPr>
            </w:pPr>
            <w:r>
              <w:rPr>
                <w:sz w:val="20"/>
                <w:szCs w:val="20"/>
              </w:rPr>
              <w:t>FoldAmyloid</w:t>
            </w:r>
          </w:p>
        </w:tc>
        <w:tc>
          <w:tcPr>
            <w:tcW w:w="53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AFEFBBD" w14:textId="77777777" w:rsidR="00963A53" w:rsidRDefault="00640BFA" w:rsidP="00340777">
            <w:pPr>
              <w:pStyle w:val="LO-normal"/>
              <w:widowControl w:val="0"/>
            </w:pPr>
            <w:hyperlink r:id="rId46">
              <w:r w:rsidR="00963A53">
                <w:rPr>
                  <w:rStyle w:val="ListLabel120"/>
                </w:rPr>
                <w:t>bioinfo.protres.ru/fold-amyloid/</w:t>
              </w:r>
            </w:hyperlink>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30C82FC" w14:textId="32E9B3ED" w:rsidR="00963A53" w:rsidRDefault="00963A53" w:rsidP="00A313B9">
            <w:pPr>
              <w:pStyle w:val="LO-normal"/>
              <w:widowControl w:val="0"/>
            </w:pPr>
            <w:r>
              <w:fldChar w:fldCharType="begin" w:fldLock="1"/>
            </w:r>
            <w:r w:rsidR="00576689">
              <w:instrText>ADDIN CSL_CITATION {"citationItems":[{"id":"ITEM-1","itemData":{"DOI":"10.1093/bioinformatics/btp691","ISSN":"1367-4803","abstract":"Motivation: Amyloidogenic regions in polypeptide chains are very important because such regions are responsible for amyloid formation and aggregation. It is useful to be able to predict positions of amyloidogenic regions in protein chains. Results: Two characteristics (expected probability of hydrogen bonds formation and expected packing density of residues) have been introduced by us to detect amyloidogenic regions in a protein sequence. We demonstrate that regions with high expected probability of the formation of backbone-backbone hydrogen bonds as well as regions with high expected packing density are mostly responsible for the formation of amyloid fibrils. Our method (FoldAmyloid) has been tested on a dataset of 407 peptides (144 amyloidogenic and 263 non-amyloidogenic peptides) and has shown good performance in predicting a peptide status: amyloidogenic or non-amyloidogenic. The prediction based on the expected packing density classified correctly 75% of amyloidogenic peptides and 74% of non-amyloidogenic ones. Two variants (averaging by donors and by acceptors) of prediction based on the probability of formation of backbone-backbone hydrogen bonds gave a comparable efficiency. With a hybrid-scale constructed by merging the above three scales, our method is correct for 80% of amyloidogenic peptides and for 72% of non-amyloidogenic ones. Prediction of amyloidogenic regions in proteins where positions of amyloidogenic regions are known from experimental data has also been done. In the proteins, our method correctly finds 10 out of 11 amyloidogenic regions. Availability: The FoldAmyloid server is available at http://antares.protres.ru/fold-amyloid/. Contact: ogalzit@vega.protres.ru © The Author 2009. Published by Oxford University Press.","author":[{"dropping-particle":"","family":"Garbuzynskiy","given":"S. O.","non-dropping-particle":"","parse-names":false,"suffix":""},{"dropping-particle":"","family":"Lobanov","given":"M. Yu.","non-dropping-particle":"","parse-names":false,"suffix":""},{"dropping-particle":"V.","family":"Galzitskaya","given":"O.","non-dropping-particle":"","parse-names":false,"suffix":""}],"container-title":"Bioinformatics","id":"ITEM-1","issue":"3","issued":{"date-parts":[["2010","2","1"]]},"page":"326-332","publisher":"Oxford University Press","title":"FoldAmyloid: a method of prediction of amyloidogenic regions from protein sequence","type":"article-journal","volume":"26"},"uris":["http://www.mendeley.com/documents/?uuid=e4e91848-2b31-3162-b655-d09292ac04a3"]}],"mendeley":{"formattedCitation":"&lt;sup&gt;195&lt;/sup&gt;","plainTextFormattedCitation":"195","previouslyFormattedCitation":"&lt;sup&gt;195&lt;/sup&gt;"},"properties":{"noteIndex":0},"schema":"https://github.com/citation-style-language/schema/raw/master/csl-citation.json"}</w:instrText>
            </w:r>
            <w:r>
              <w:fldChar w:fldCharType="separate"/>
            </w:r>
            <w:r w:rsidR="00A313B9" w:rsidRPr="00A313B9">
              <w:rPr>
                <w:noProof/>
                <w:vertAlign w:val="superscript"/>
              </w:rPr>
              <w:t>195</w:t>
            </w:r>
            <w:r>
              <w:fldChar w:fldCharType="end"/>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209EB2B" w14:textId="77777777" w:rsidR="00963A53" w:rsidRDefault="00963A53" w:rsidP="00340777">
            <w:pPr>
              <w:pStyle w:val="LO-normal"/>
              <w:widowControl w:val="0"/>
              <w:rPr>
                <w:sz w:val="20"/>
                <w:szCs w:val="20"/>
              </w:rPr>
            </w:pPr>
          </w:p>
        </w:tc>
      </w:tr>
      <w:tr w:rsidR="00963A53" w14:paraId="38EAF9E5" w14:textId="77777777" w:rsidTr="00D53A98">
        <w:trPr>
          <w:trHeight w:val="495"/>
        </w:trPr>
        <w:tc>
          <w:tcPr>
            <w:tcW w:w="148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E0CF3BE" w14:textId="77777777" w:rsidR="00963A53" w:rsidRDefault="00963A53" w:rsidP="00340777">
            <w:pPr>
              <w:pStyle w:val="LO-normal"/>
              <w:widowControl w:val="0"/>
              <w:rPr>
                <w:sz w:val="20"/>
                <w:szCs w:val="20"/>
              </w:rPr>
            </w:pPr>
            <w:r>
              <w:rPr>
                <w:sz w:val="20"/>
                <w:szCs w:val="20"/>
              </w:rPr>
              <w:t>MetAmyl</w:t>
            </w:r>
          </w:p>
        </w:tc>
        <w:tc>
          <w:tcPr>
            <w:tcW w:w="53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1EF7E24" w14:textId="77777777" w:rsidR="00963A53" w:rsidRDefault="00640BFA" w:rsidP="00340777">
            <w:pPr>
              <w:pStyle w:val="LO-normal"/>
              <w:widowControl w:val="0"/>
            </w:pPr>
            <w:hyperlink r:id="rId47">
              <w:r w:rsidR="00963A53">
                <w:rPr>
                  <w:rStyle w:val="ListLabel120"/>
                </w:rPr>
                <w:t>metamyl.genouest.org/e107_plugins/metamyl_aggregation/db_prediction_meta.php</w:t>
              </w:r>
            </w:hyperlink>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BC6F4CF" w14:textId="66124F7E" w:rsidR="00963A53" w:rsidRDefault="00963A53" w:rsidP="00A313B9">
            <w:pPr>
              <w:pStyle w:val="LO-normal"/>
              <w:widowControl w:val="0"/>
            </w:pPr>
            <w:r>
              <w:fldChar w:fldCharType="begin" w:fldLock="1"/>
            </w:r>
            <w:r w:rsidR="00522194">
              <w:instrText>ADDIN CSL_CITATION {"citationItems":[{"id":"ITEM-1","itemData":{"DOI":"10.1371/journal.pone.0079722","ISSN":"19326203","PMID":"24260292","abstract":"The aggregation of proteins or peptides in amyloid fibrils is associated with a number of clinical disorders, including Alzheimer's, Huntington's and prion diseases, medullary thyroid cancer, renal and cardiac amyloidosis. Despite extensive studies, the molecular mechanisms underlying the initiation of fibril formation remain largely unknown. Several lines of evidence revealed that short amino-acid segments (hot spots), located in amyloid precursor proteins act as seeds for fibril elongation. Therefore, hot spots are potential targets for diagnostic/therapeutic applications, and a current challenge in bioinformatics is the development of methods to accurately predict hot spots from protein sequences. In this paper, we combined existing methods into a meta-predictor for hot spots prediction, called MetAmyl for METapredictor for AMYLoid proteins. MetAmyl is based on a logistic regression model that aims at weighting predictions from a set of popular algorithms, statistically selected as being the most informative and complementary predictors. We evaluated the performances of MetAmyl through a large scale comparative study based on three independent datasets and thus demonstrated its ability to differentiate between amyloidogenic and non-amyloidogenic polypeptides. Compared to 9 other methods, MetAmyl provides significant improvement in prediction on studied datasets. We further show that MetAmyl is efficient to highlight the effect of point mutations involved in human amyloidosis, so we suggest this program should be a useful complementary tool for the diagnosis of these diseases. © 2013 Emily et al.","author":[{"dropping-particle":"","family":"Emily","given":"Mathieu","non-dropping-particle":"","parse-names":false,"suffix":""},{"dropping-particle":"","family":"Talvas","given":"Anthony","non-dropping-particle":"","parse-names":false,"suffix":""},{"dropping-particle":"","family":"Delamarche","given":"Christian","non-dropping-particle":"","parse-names":false,"suffix":""}],"container-title":"PLoS ONE","id":"ITEM-1","issue":"11","issued":{"date-parts":[["2013","11","19"]]},"page":"e79722","publisher":"Public Library of Science","title":"MetAmyl: A METa-predictor for AMYLoid proteins","type":"article-journal","volume":"8"},"uris":["http://www.mendeley.com/documents/?uuid=ea1969fb-d7a0-301f-b022-34ae68dff117"]}],"mendeley":{"formattedCitation":"&lt;sup&gt;196&lt;/sup&gt;","plainTextFormattedCitation":"196","previouslyFormattedCitation":"&lt;sup&gt;196&lt;/sup&gt;"},"properties":{"noteIndex":0},"schema":"https://github.com/citation-style-language/schema/raw/master/csl-citation.json"}</w:instrText>
            </w:r>
            <w:r>
              <w:fldChar w:fldCharType="separate"/>
            </w:r>
            <w:r w:rsidR="00A313B9" w:rsidRPr="00A313B9">
              <w:rPr>
                <w:noProof/>
                <w:vertAlign w:val="superscript"/>
              </w:rPr>
              <w:t>196</w:t>
            </w:r>
            <w:r>
              <w:fldChar w:fldCharType="end"/>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AAA78D9" w14:textId="77777777" w:rsidR="00963A53" w:rsidRDefault="00963A53" w:rsidP="00340777">
            <w:pPr>
              <w:pStyle w:val="LO-normal"/>
              <w:widowControl w:val="0"/>
              <w:rPr>
                <w:sz w:val="20"/>
                <w:szCs w:val="20"/>
              </w:rPr>
            </w:pPr>
          </w:p>
        </w:tc>
      </w:tr>
      <w:tr w:rsidR="00963A53" w14:paraId="1A1DDF5E" w14:textId="77777777" w:rsidTr="00D53A98">
        <w:trPr>
          <w:trHeight w:val="315"/>
        </w:trPr>
        <w:tc>
          <w:tcPr>
            <w:tcW w:w="148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9819099" w14:textId="77777777" w:rsidR="00963A53" w:rsidRDefault="00963A53" w:rsidP="00340777">
            <w:pPr>
              <w:pStyle w:val="LO-normal"/>
              <w:widowControl w:val="0"/>
              <w:rPr>
                <w:sz w:val="20"/>
                <w:szCs w:val="20"/>
              </w:rPr>
            </w:pPr>
            <w:r>
              <w:rPr>
                <w:sz w:val="20"/>
                <w:szCs w:val="20"/>
              </w:rPr>
              <w:t>Net-CSSP</w:t>
            </w:r>
          </w:p>
        </w:tc>
        <w:tc>
          <w:tcPr>
            <w:tcW w:w="53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A94FF38" w14:textId="77777777" w:rsidR="00963A53" w:rsidRDefault="00640BFA" w:rsidP="00340777">
            <w:pPr>
              <w:pStyle w:val="LO-normal"/>
              <w:widowControl w:val="0"/>
            </w:pPr>
            <w:hyperlink r:id="rId48">
              <w:r w:rsidR="00963A53">
                <w:rPr>
                  <w:rStyle w:val="ListLabel120"/>
                </w:rPr>
                <w:t>cssp2.sookmyung.ac.kr/</w:t>
              </w:r>
            </w:hyperlink>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10FE5AD" w14:textId="5D65297A" w:rsidR="00963A53" w:rsidRDefault="00963A53" w:rsidP="00A313B9">
            <w:pPr>
              <w:pStyle w:val="LO-normal"/>
              <w:widowControl w:val="0"/>
            </w:pPr>
            <w:r>
              <w:fldChar w:fldCharType="begin" w:fldLock="1"/>
            </w:r>
            <w:r w:rsidR="00576689">
              <w:instrText>ADDIN CSL_CITATION {"citationItems":[{"id":"ITEM-1","itemData":{"DOI":"10.1093/nar/gkp351","ISSN":"03051048","PMID":"19468045","abstract":"The calculation of contact-dependent secondary structure propensity (CSSP) is a unique and sensitive method that detects non-native secondary structure propensities in protein sequences. This method has applications in predicting local conformational change, which typically is observed in core sequences of protein aggregation and amyloid fibril formation. NetCSSP implements the latest version of the CSSP algorithm and provides a Flash chart-based graphic interface that enables an interactive calculation of CSSP values for any user-selected regions in a given protein sequence. This feature also can quantitatively estimate the mutational effect on changes in native or non-native secondary structural propensities in local sequences. In addition, this web tool provides precalculated non-native secondary structure propensities for over 1 400 000 fragments that are seven-residues long, collected from PDB structures. They are searchable for chameleon subsequences that can serve as the core of amyloid fibril formation. The NetCSSP web tool is available at http://cssp2.sookmyung.ac.kr.","author":[{"dropping-particle":"","family":"Kim","given":"Changsik","non-dropping-particle":"","parse-names":false,"suffix":""},{"dropping-particle":"","family":"Choi","given":"Jiwon","non-dropping-particle":"","parse-names":false,"suffix":""},{"dropping-particle":"","family":"Lee","given":"Seong Joon","non-dropping-particle":"","parse-names":false,"suffix":""},{"dropping-particle":"","family":"Welsh","given":"William J.","non-dropping-particle":"","parse-names":false,"suffix":""},{"dropping-particle":"","family":"Yoon","given":"Sukjoon","non-dropping-particle":"","parse-names":false,"suffix":""}],"container-title":"Nucleic Acids Research","id":"ITEM-1","issue":"SUPPL. 2","issued":{"date-parts":[["2009"]]},"page":"W469","publisher":"Oxford University Press","title":"NetCSSP: Web application for predicting chameleon sequences and amyloid fibril formation","type":"article-journal","volume":"37"},"uris":["http://www.mendeley.com/documents/?uuid=a660ee31-248c-36be-9b59-d635ed74d169"]}],"mendeley":{"formattedCitation":"&lt;sup&gt;197&lt;/sup&gt;","plainTextFormattedCitation":"197","previouslyFormattedCitation":"&lt;sup&gt;197&lt;/sup&gt;"},"properties":{"noteIndex":0},"schema":"https://github.com/citation-style-language/schema/raw/master/csl-citation.json"}</w:instrText>
            </w:r>
            <w:r>
              <w:fldChar w:fldCharType="separate"/>
            </w:r>
            <w:r w:rsidR="00A313B9" w:rsidRPr="00A313B9">
              <w:rPr>
                <w:noProof/>
                <w:vertAlign w:val="superscript"/>
              </w:rPr>
              <w:t>197</w:t>
            </w:r>
            <w:r>
              <w:fldChar w:fldCharType="end"/>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9EB11FD" w14:textId="77777777" w:rsidR="00963A53" w:rsidRDefault="00963A53" w:rsidP="00340777">
            <w:pPr>
              <w:pStyle w:val="LO-normal"/>
              <w:widowControl w:val="0"/>
              <w:rPr>
                <w:sz w:val="20"/>
                <w:szCs w:val="20"/>
              </w:rPr>
            </w:pPr>
          </w:p>
        </w:tc>
      </w:tr>
      <w:tr w:rsidR="00963A53" w14:paraId="4DB43476" w14:textId="77777777" w:rsidTr="00D53A98">
        <w:trPr>
          <w:trHeight w:val="585"/>
        </w:trPr>
        <w:tc>
          <w:tcPr>
            <w:tcW w:w="148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70EE56E" w14:textId="77777777" w:rsidR="00963A53" w:rsidRDefault="00963A53" w:rsidP="00340777">
            <w:pPr>
              <w:pStyle w:val="LO-normal"/>
              <w:widowControl w:val="0"/>
              <w:rPr>
                <w:sz w:val="20"/>
                <w:szCs w:val="20"/>
              </w:rPr>
            </w:pPr>
            <w:r>
              <w:rPr>
                <w:sz w:val="20"/>
                <w:szCs w:val="20"/>
              </w:rPr>
              <w:t>Pafig</w:t>
            </w:r>
          </w:p>
        </w:tc>
        <w:tc>
          <w:tcPr>
            <w:tcW w:w="53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1845CFD" w14:textId="77777777" w:rsidR="00963A53" w:rsidRDefault="00640BFA" w:rsidP="00340777">
            <w:pPr>
              <w:pStyle w:val="LO-normal"/>
              <w:widowControl w:val="0"/>
            </w:pPr>
            <w:hyperlink r:id="rId49">
              <w:r w:rsidR="00963A53">
                <w:rPr>
                  <w:rStyle w:val="ListLabel120"/>
                </w:rPr>
                <w:t>www.mobioinfor.cn/pafig/</w:t>
              </w:r>
            </w:hyperlink>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DF0404F" w14:textId="05094B65" w:rsidR="00963A53" w:rsidRDefault="00963A53" w:rsidP="00A313B9">
            <w:pPr>
              <w:pStyle w:val="LO-normal"/>
              <w:widowControl w:val="0"/>
            </w:pPr>
            <w:r>
              <w:fldChar w:fldCharType="begin" w:fldLock="1"/>
            </w:r>
            <w:r w:rsidR="00522194">
              <w:instrText>ADDIN CSL_CITATION {"citationItems":[{"id":"ITEM-1","itemData":{"DOI":"10.1186/1471-2105-10-S1-S45","ISSN":"14712105","PMID":"19208147","abstract":"Background: Amyloid fibrillar aggregates of proteins or polypeptides are known to be associated with many human diseases. Recent studies suggest that short protein regions trigger this aggregation. Thus, identifying these short peptides is critical for understanding diseases and finding potential therapeutic targets. Results: We propose a method, named Pafig (Prediction of amyloid fibril-forming segments) based on support vector machines, to identify the hexpeptides associated with amyloid fibrillar aggregates. The features of Pafig were obtained by a two-round selection from AAindex. Using a 10-fold cross validation test on Hexpepset dataset, Pafig performed well with regards to overall accuracy of 81% and Matthews correlation coefficient of 0.63. Pafig was used to predict the potential fibril-forming hexpeptides in all of the 64,000,000 hexpeptides. As a result, approximately 5.08% of hexpeptides showed a high aggregation propensity. In the predicted fibril-forming hexpeptides, the amino acids - alanine, phenylalanine, isoleucine, leucine and valine occurred at the higher frequencies and the amino acids - aspartic acid, glutamic acid, histidine, lysine, arginine and praline, appeared with lower frequencies. Conclusion: The performance of Pafig indicates that it is a powerful tool for identifying the hexpeptides associated with fibrillar aggregates and will be useful for large-scale analysis of proteomic data. © 2009 Tian et al; licensee BioMed Central Ltd.","author":[{"dropping-particle":"","family":"Tian","given":"Jian","non-dropping-particle":"","parse-names":false,"suffix":""},{"dropping-particle":"","family":"Wu","given":"Ningfeng","non-dropping-particle":"","parse-names":false,"suffix":""},{"dropping-particle":"","family":"Guo","given":"Jun","non-dropping-particle":"","parse-names":false,"suffix":""},{"dropping-particle":"","family":"Fan","given":"Yunliu","non-dropping-particle":"","parse-names":false,"suffix":""}],"container-title":"BMC Bioinformatics","id":"ITEM-1","issue":"Suppl. 1","issued":{"date-parts":[["2009","1","30"]]},"page":"S45","publisher":"BMC Bioinformatics","title":"Prediction of amyloid fibril-forming segments based on a support vector machine","type":"article-journal","volume":"10"},"uris":["http://www.mendeley.com/documents/?uuid=37c8e250-8bb1-3d45-9c3c-d3088f2e5b34"]}],"mendeley":{"formattedCitation":"&lt;sup&gt;198&lt;/sup&gt;","plainTextFormattedCitation":"198","previouslyFormattedCitation":"&lt;sup&gt;198&lt;/sup&gt;"},"properties":{"noteIndex":0},"schema":"https://github.com/citation-style-language/schema/raw/master/csl-citation.json"}</w:instrText>
            </w:r>
            <w:r>
              <w:fldChar w:fldCharType="separate"/>
            </w:r>
            <w:r w:rsidR="00A313B9" w:rsidRPr="00A313B9">
              <w:rPr>
                <w:noProof/>
                <w:vertAlign w:val="superscript"/>
              </w:rPr>
              <w:t>198</w:t>
            </w:r>
            <w:r>
              <w:fldChar w:fldCharType="end"/>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4DFEDD7" w14:textId="77777777" w:rsidR="00963A53" w:rsidRDefault="00963A53" w:rsidP="00340777">
            <w:pPr>
              <w:pStyle w:val="LO-normal"/>
              <w:widowControl w:val="0"/>
              <w:rPr>
                <w:sz w:val="20"/>
                <w:szCs w:val="20"/>
              </w:rPr>
            </w:pPr>
            <w:r>
              <w:rPr>
                <w:sz w:val="20"/>
                <w:szCs w:val="20"/>
              </w:rPr>
              <w:t>Downloadable executable</w:t>
            </w:r>
          </w:p>
        </w:tc>
      </w:tr>
      <w:tr w:rsidR="00963A53" w14:paraId="372A4EE7" w14:textId="77777777" w:rsidTr="00D53A98">
        <w:trPr>
          <w:trHeight w:val="60"/>
        </w:trPr>
        <w:tc>
          <w:tcPr>
            <w:tcW w:w="148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54D6750" w14:textId="77777777" w:rsidR="00963A53" w:rsidRDefault="00963A53" w:rsidP="00340777">
            <w:pPr>
              <w:pStyle w:val="LO-normal"/>
              <w:widowControl w:val="0"/>
              <w:rPr>
                <w:sz w:val="20"/>
                <w:szCs w:val="20"/>
              </w:rPr>
            </w:pPr>
            <w:r>
              <w:rPr>
                <w:sz w:val="20"/>
                <w:szCs w:val="20"/>
              </w:rPr>
              <w:t>Pasta 2.0</w:t>
            </w:r>
          </w:p>
        </w:tc>
        <w:tc>
          <w:tcPr>
            <w:tcW w:w="53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58136BC" w14:textId="77777777" w:rsidR="00963A53" w:rsidRDefault="00640BFA" w:rsidP="00340777">
            <w:pPr>
              <w:pStyle w:val="LO-normal"/>
              <w:widowControl w:val="0"/>
            </w:pPr>
            <w:hyperlink r:id="rId50">
              <w:r w:rsidR="00963A53">
                <w:rPr>
                  <w:rStyle w:val="ListLabel120"/>
                </w:rPr>
                <w:t>protein.bio.unipd.it/pasta2/</w:t>
              </w:r>
            </w:hyperlink>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91DBFDC" w14:textId="013A1215" w:rsidR="00963A53" w:rsidRDefault="00963A53" w:rsidP="00A313B9">
            <w:pPr>
              <w:pStyle w:val="LO-normal"/>
              <w:widowControl w:val="0"/>
            </w:pPr>
            <w:r>
              <w:fldChar w:fldCharType="begin" w:fldLock="1"/>
            </w:r>
            <w:r w:rsidR="00576689">
              <w:instrText>ADDIN CSL_CITATION {"citationItems":[{"id":"ITEM-1","itemData":{"DOI":"10.1093/nar/gku399","ISSN":"13624962","PMID":"24848016","abstract":"The formation of amyloid aggregates upon protein misfolding is related to several devastating degenerative diseases. The propensities of different protein sequences to aggregate into amyloids, how they are enhanced by pathogenic mutations, the presence of aggregation hot spots stabilizing pathological interactions, the establishing of cross-amyloid interactions between co-aggregating proteins, all rely at the molecular level on the stability of the amyloid cross-beta structure. Our redesigned server, PASTA 2.0, provides a versatile platform where all of these different features can be easily predicted on a genomic scale given input sequences. The server provides other pieces of information, such as intrinsic disorder and secondary structure predictions, that complement the aggregation data. The PASTA 2.0 energy function evaluates the stability of putative cross-beta pairings between different sequence stretches. It was re-derived on a larger dataset of globular protein domains. The resulting algorithm was benchmarked on comprehensive peptide and protein test sets, leading to improved, state-of-the-art results with more amyloid forming regions correctly detected at high specificity. The PASTA 2.0 server can be accessed at http://protein.bio.unipd.it/pasta2/. © 2014 The Author(s).","author":[{"dropping-particle":"","family":"Walsh","given":"Ian","non-dropping-particle":"","parse-names":false,"suffix":""},{"dropping-particle":"","family":"Seno","given":"Flavio","non-dropping-particle":"","parse-names":false,"suffix":""},{"dropping-particle":"","family":"Tosatto","given":"Silvio C.E.","non-dropping-particle":"","parse-names":false,"suffix":""},{"dropping-particle":"","family":"Trovato","given":"Antonio","non-dropping-particle":"","parse-names":false,"suffix":""}],"container-title":"Nucleic Acids Research","id":"ITEM-1","issue":"W1","issued":{"date-parts":[["2014","7","1"]]},"page":"W301","publisher":"Oxford University Press","title":"PASTA 2.0: An improved server for protein aggregation prediction","type":"article-journal","volume":"42"},"uris":["http://www.mendeley.com/documents/?uuid=1adffe69-e58e-36d0-85fc-a57325f57131"]}],"mendeley":{"formattedCitation":"&lt;sup&gt;199&lt;/sup&gt;","plainTextFormattedCitation":"199","previouslyFormattedCitation":"&lt;sup&gt;199&lt;/sup&gt;"},"properties":{"noteIndex":0},"schema":"https://github.com/citation-style-language/schema/raw/master/csl-citation.json"}</w:instrText>
            </w:r>
            <w:r>
              <w:fldChar w:fldCharType="separate"/>
            </w:r>
            <w:r w:rsidR="00A313B9" w:rsidRPr="00A313B9">
              <w:rPr>
                <w:noProof/>
                <w:vertAlign w:val="superscript"/>
              </w:rPr>
              <w:t>199</w:t>
            </w:r>
            <w:r>
              <w:fldChar w:fldCharType="end"/>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5563489" w14:textId="77777777" w:rsidR="00963A53" w:rsidRDefault="00963A53" w:rsidP="00340777">
            <w:pPr>
              <w:pStyle w:val="LO-normal"/>
              <w:widowControl w:val="0"/>
              <w:rPr>
                <w:sz w:val="20"/>
                <w:szCs w:val="20"/>
              </w:rPr>
            </w:pPr>
          </w:p>
        </w:tc>
      </w:tr>
      <w:tr w:rsidR="00963A53" w14:paraId="6673C8B7" w14:textId="77777777" w:rsidTr="00D53A98">
        <w:tc>
          <w:tcPr>
            <w:tcW w:w="148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D21B34E" w14:textId="77777777" w:rsidR="00963A53" w:rsidRDefault="00963A53" w:rsidP="00340777">
            <w:pPr>
              <w:pStyle w:val="LO-normal"/>
              <w:widowControl w:val="0"/>
              <w:rPr>
                <w:sz w:val="20"/>
                <w:szCs w:val="20"/>
              </w:rPr>
            </w:pPr>
            <w:r>
              <w:rPr>
                <w:sz w:val="20"/>
                <w:szCs w:val="20"/>
              </w:rPr>
              <w:t>SecStr</w:t>
            </w:r>
          </w:p>
        </w:tc>
        <w:tc>
          <w:tcPr>
            <w:tcW w:w="53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0E8AACD" w14:textId="77777777" w:rsidR="00963A53" w:rsidRDefault="00640BFA" w:rsidP="00340777">
            <w:pPr>
              <w:pStyle w:val="LO-normal"/>
              <w:widowControl w:val="0"/>
            </w:pPr>
            <w:hyperlink r:id="rId51">
              <w:r w:rsidR="00963A53">
                <w:rPr>
                  <w:rStyle w:val="ListLabel120"/>
                </w:rPr>
                <w:t>athina.biol.uoa.gr/SecStr/</w:t>
              </w:r>
            </w:hyperlink>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8ED50DE" w14:textId="63056834" w:rsidR="00963A53" w:rsidRDefault="00963A53" w:rsidP="00A313B9">
            <w:pPr>
              <w:pStyle w:val="LO-normal"/>
              <w:widowControl w:val="0"/>
            </w:pPr>
            <w:r>
              <w:fldChar w:fldCharType="begin" w:fldLock="1"/>
            </w:r>
            <w:r w:rsidR="00576689">
              <w:instrText>ADDIN CSL_CITATION {"citationItems":[{"id":"ITEM-1","itemData":{"DOI":"10.1093/bioinformatics/4.4.473","ISSN":"1367-4803","abstract":"A prediction scheme has been developed for the IBM PC and compatibles containing computer programs which make use of the protein secondary structure prediction algorithms of Nagano (1977a,b), Gamier et al. (1978), Burgess et al. (1974), Chou and Fasman (1974a,b), him (1974) and Dufton and Hider (1977). The results of the individual prediction methods are combined as described by Hamodrakas et al. (1982) by the program PLOTPROG to produce joint prediction histograms for a protein, for three types of secondary structure: α-helix, β-sheet and β-turns. The scheme requires uniform input for the prediction programs, produced by any word processor, spreadsheet, editor or database program and produces uniform output on a printer, a graphics screen or a file. The scheme is independent of any additional software and runs under DOS 2.0 or later releases. © 1988 IRL Press Limited.","author":[{"dropping-particle":"","family":"Hamodrakas","given":"Stavros J.","non-dropping-particle":"","parse-names":false,"suffix":""}],"container-title":"Bioinformatics","id":"ITEM-1","issue":"4","issued":{"date-parts":[["1988","11","1"]]},"page":"473-477","publisher":"Oxford Academic","title":"A protein secondary structure prediction scheme for the IBM PC and compatibles","type":"article-journal","volume":"4"},"uris":["http://www.mendeley.com/documents/?uuid=f8c03052-063e-3c05-8583-b8021ac2142d"]}],"mendeley":{"formattedCitation":"&lt;sup&gt;200&lt;/sup&gt;","plainTextFormattedCitation":"200","previouslyFormattedCitation":"&lt;sup&gt;200&lt;/sup&gt;"},"properties":{"noteIndex":0},"schema":"https://github.com/citation-style-language/schema/raw/master/csl-citation.json"}</w:instrText>
            </w:r>
            <w:r>
              <w:fldChar w:fldCharType="separate"/>
            </w:r>
            <w:r w:rsidR="00A313B9" w:rsidRPr="00A313B9">
              <w:rPr>
                <w:noProof/>
                <w:vertAlign w:val="superscript"/>
              </w:rPr>
              <w:t>200</w:t>
            </w:r>
            <w:r>
              <w:fldChar w:fldCharType="end"/>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34418B0" w14:textId="77777777" w:rsidR="00963A53" w:rsidRDefault="00963A53" w:rsidP="00340777">
            <w:pPr>
              <w:pStyle w:val="LO-normal"/>
              <w:widowControl w:val="0"/>
              <w:rPr>
                <w:sz w:val="20"/>
                <w:szCs w:val="20"/>
              </w:rPr>
            </w:pPr>
          </w:p>
        </w:tc>
      </w:tr>
      <w:tr w:rsidR="00963A53" w14:paraId="35925C21" w14:textId="77777777" w:rsidTr="00D53A98">
        <w:tc>
          <w:tcPr>
            <w:tcW w:w="148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2E7F7D7" w14:textId="77777777" w:rsidR="00963A53" w:rsidRDefault="00963A53" w:rsidP="00340777">
            <w:pPr>
              <w:pStyle w:val="LO-normal"/>
              <w:widowControl w:val="0"/>
              <w:rPr>
                <w:sz w:val="20"/>
                <w:szCs w:val="20"/>
              </w:rPr>
            </w:pPr>
            <w:r>
              <w:rPr>
                <w:sz w:val="20"/>
                <w:szCs w:val="20"/>
              </w:rPr>
              <w:t>TANGO</w:t>
            </w:r>
          </w:p>
        </w:tc>
        <w:tc>
          <w:tcPr>
            <w:tcW w:w="53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81BB80B" w14:textId="77777777" w:rsidR="00963A53" w:rsidRDefault="00640BFA" w:rsidP="00340777">
            <w:pPr>
              <w:pStyle w:val="LO-normal"/>
              <w:widowControl w:val="0"/>
            </w:pPr>
            <w:hyperlink r:id="rId52">
              <w:r w:rsidR="00963A53">
                <w:rPr>
                  <w:rStyle w:val="ListLabel120"/>
                </w:rPr>
                <w:t>tango.crg.es/</w:t>
              </w:r>
            </w:hyperlink>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A7035AB" w14:textId="7515053C" w:rsidR="00963A53" w:rsidRDefault="00963A53" w:rsidP="00A313B9">
            <w:pPr>
              <w:pStyle w:val="LO-normal"/>
              <w:widowControl w:val="0"/>
            </w:pPr>
            <w:r>
              <w:fldChar w:fldCharType="begin" w:fldLock="1"/>
            </w:r>
            <w:r w:rsidR="00576689">
              <w:instrText>ADDIN CSL_CITATION {"citationItems":[{"id":"ITEM-1","itemData":{"DOI":"10.1038/nbt1012","ISSN":"10870156","PMID":"15361882","abstract":"We have developed a statistical mechanics algorithm, TANGO, to predict protein aggregation. TANGO is based on the physico-chemical principles of β-sheet formation, extended by the assumption that the core regions of an aggregate are fully buried. Our algorithm accurately predicts the aggregation of a data set of 179 peptides compiled from the literature as well as of a new set of 71 peptides derived from human disease-related proteins, including prion protein, lysozyme and β2-microglobulin. TANGO also correctly predicts pathogenic as well as protective mutations of the Alzheimer β-peptide, human lysozyme and transthyretin, and discriminates between β-sheet propensity and aggregation. Our results confirm the model of intermolecular β-sheet formation as a widespread underlying mechanism of protein aggregation. Furthermore, the algorithm opens the door to a fully automated, sequence-based design strategy to improve the aggregation properties of proteins of scientific or industrial interest.","author":[{"dropping-particle":"","family":"Fernandez-Escamilla","given":"Ana Maria","non-dropping-particle":"","parse-names":false,"suffix":""},{"dropping-particle":"","family":"Rousseau","given":"Frederic","non-dropping-particle":"","parse-names":false,"suffix":""},{"dropping-particle":"","family":"Schymkowitz","given":"Joost","non-dropping-particle":"","parse-names":false,"suffix":""},{"dropping-particle":"","family":"Serrano","given":"Luis","non-dropping-particle":"","parse-names":false,"suffix":""}],"container-title":"Nature Biotechnology","id":"ITEM-1","issue":"10","issued":{"date-parts":[["2004","10","12"]]},"page":"1302-1306","publisher":"Nature Publishing Group","title":"Prediction of sequence-dependent and mutational effects on the aggregation of peptides and proteins","type":"article-journal","volume":"22"},"uris":["http://www.mendeley.com/documents/?uuid=07d78afe-da44-3ac8-b65d-f919f5410a46"]}],"mendeley":{"formattedCitation":"&lt;sup&gt;201&lt;/sup&gt;","plainTextFormattedCitation":"201","previouslyFormattedCitation":"&lt;sup&gt;201&lt;/sup&gt;"},"properties":{"noteIndex":0},"schema":"https://github.com/citation-style-language/schema/raw/master/csl-citation.json"}</w:instrText>
            </w:r>
            <w:r>
              <w:fldChar w:fldCharType="separate"/>
            </w:r>
            <w:r w:rsidR="00A313B9" w:rsidRPr="00A313B9">
              <w:rPr>
                <w:noProof/>
                <w:vertAlign w:val="superscript"/>
              </w:rPr>
              <w:t>201</w:t>
            </w:r>
            <w:r>
              <w:fldChar w:fldCharType="end"/>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DC7D064" w14:textId="77777777" w:rsidR="00963A53" w:rsidRDefault="00963A53" w:rsidP="00340777">
            <w:pPr>
              <w:pStyle w:val="LO-normal"/>
              <w:widowControl w:val="0"/>
              <w:rPr>
                <w:sz w:val="20"/>
                <w:szCs w:val="20"/>
              </w:rPr>
            </w:pPr>
          </w:p>
        </w:tc>
      </w:tr>
      <w:tr w:rsidR="00963A53" w14:paraId="6F9F1959" w14:textId="77777777" w:rsidTr="00D53A98">
        <w:tc>
          <w:tcPr>
            <w:tcW w:w="148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AE5229F" w14:textId="77777777" w:rsidR="00963A53" w:rsidRDefault="00963A53" w:rsidP="00340777">
            <w:pPr>
              <w:pStyle w:val="LO-normal"/>
              <w:widowControl w:val="0"/>
              <w:rPr>
                <w:sz w:val="20"/>
                <w:szCs w:val="20"/>
              </w:rPr>
            </w:pPr>
            <w:r>
              <w:rPr>
                <w:sz w:val="20"/>
                <w:szCs w:val="20"/>
              </w:rPr>
              <w:t>Waltz</w:t>
            </w:r>
          </w:p>
        </w:tc>
        <w:tc>
          <w:tcPr>
            <w:tcW w:w="53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36E1649" w14:textId="77777777" w:rsidR="00963A53" w:rsidRDefault="00640BFA" w:rsidP="00340777">
            <w:pPr>
              <w:pStyle w:val="LO-normal"/>
              <w:widowControl w:val="0"/>
            </w:pPr>
            <w:hyperlink r:id="rId53">
              <w:r w:rsidR="00963A53">
                <w:rPr>
                  <w:rStyle w:val="ListLabel120"/>
                </w:rPr>
                <w:t>waltz.switchlab.org/</w:t>
              </w:r>
            </w:hyperlink>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159D745" w14:textId="4FC232AB" w:rsidR="00963A53" w:rsidRDefault="00963A53" w:rsidP="00A313B9">
            <w:pPr>
              <w:pStyle w:val="LO-normal"/>
              <w:widowControl w:val="0"/>
            </w:pPr>
            <w:r>
              <w:fldChar w:fldCharType="begin" w:fldLock="1"/>
            </w:r>
            <w:r w:rsidR="00522194">
              <w:instrText>ADDIN CSL_CITATION {"citationItems":[{"id":"ITEM-1","itemData":{"DOI":"10.1038/nmeth0310-187","ISSN":"15487091","PMID":"20195250","abstract":"A new amyloid-prediction tool, Waltz, offers advantages over previous amyloid-prediction tools for distinguishing 'true' amyloids from amorphous aggregates.","author":[{"dropping-particle":"","family":"Oliveberg","given":"Mikael","non-dropping-particle":"","parse-names":false,"suffix":""}],"container-title":"Nature Methods","id":"ITEM-1","issue":"3","issued":{"date-parts":[["2010","3"]]},"page":"187-188","publisher":"Nature Publishing Group","title":"Waltz, an exciting new move in amyloid prediction","type":"article-journal","volume":"7"},"uris":["http://www.mendeley.com/documents/?uuid=394bd432-aa63-3e9c-aed3-013a933af59e"]}],"mendeley":{"formattedCitation":"&lt;sup&gt;202&lt;/sup&gt;","plainTextFormattedCitation":"202","previouslyFormattedCitation":"&lt;sup&gt;202&lt;/sup&gt;"},"properties":{"noteIndex":0},"schema":"https://github.com/citation-style-language/schema/raw/master/csl-citation.json"}</w:instrText>
            </w:r>
            <w:r>
              <w:fldChar w:fldCharType="separate"/>
            </w:r>
            <w:r w:rsidR="00A313B9" w:rsidRPr="00A313B9">
              <w:rPr>
                <w:noProof/>
                <w:vertAlign w:val="superscript"/>
              </w:rPr>
              <w:t>202</w:t>
            </w:r>
            <w:r>
              <w:fldChar w:fldCharType="end"/>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EA4495C" w14:textId="77777777" w:rsidR="00963A53" w:rsidRDefault="00963A53" w:rsidP="00340777">
            <w:pPr>
              <w:pStyle w:val="LO-normal"/>
              <w:widowControl w:val="0"/>
              <w:rPr>
                <w:sz w:val="20"/>
                <w:szCs w:val="20"/>
              </w:rPr>
            </w:pPr>
          </w:p>
        </w:tc>
      </w:tr>
      <w:tr w:rsidR="00963A53" w14:paraId="319DBCDB" w14:textId="77777777" w:rsidTr="00D53A98">
        <w:trPr>
          <w:trHeight w:val="195"/>
        </w:trPr>
        <w:tc>
          <w:tcPr>
            <w:tcW w:w="148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59C5DBF" w14:textId="77777777" w:rsidR="00963A53" w:rsidRDefault="00963A53" w:rsidP="00340777">
            <w:pPr>
              <w:pStyle w:val="LO-normal"/>
              <w:widowControl w:val="0"/>
              <w:rPr>
                <w:sz w:val="20"/>
                <w:szCs w:val="20"/>
              </w:rPr>
            </w:pPr>
            <w:r>
              <w:rPr>
                <w:sz w:val="20"/>
                <w:szCs w:val="20"/>
              </w:rPr>
              <w:t>ZipperDB</w:t>
            </w:r>
          </w:p>
        </w:tc>
        <w:tc>
          <w:tcPr>
            <w:tcW w:w="53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AC55051" w14:textId="77777777" w:rsidR="00963A53" w:rsidRDefault="00640BFA" w:rsidP="00340777">
            <w:pPr>
              <w:pStyle w:val="LO-normal"/>
              <w:widowControl w:val="0"/>
            </w:pPr>
            <w:hyperlink r:id="rId54">
              <w:r w:rsidR="00963A53">
                <w:rPr>
                  <w:rStyle w:val="ListLabel120"/>
                </w:rPr>
                <w:t>services.mbi.ucla.edu/zipperdb/</w:t>
              </w:r>
            </w:hyperlink>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EA6E46E" w14:textId="4F0C93B7" w:rsidR="00963A53" w:rsidRDefault="00963A53" w:rsidP="00A313B9">
            <w:pPr>
              <w:pStyle w:val="LO-normal"/>
              <w:widowControl w:val="0"/>
            </w:pPr>
            <w:r>
              <w:fldChar w:fldCharType="begin" w:fldLock="1"/>
            </w:r>
            <w:r w:rsidR="00576689">
              <w:instrText>ADDIN CSL_CITATION {"citationItems":[{"id":"ITEM-1","itemData":{"DOI":"10.1073/pnas.0915166107","ISSN":"00278424","PMID":"20133726","abstract":"The amylome is the universe of proteins that are capable of forming amyloid-like fibrils. Here we investigate the factors that enable a protein to belong to the amylome. A major factor is the presence in the protein of a segment that can form a tightly complementary interface with an identical segment, which permits the formation of a steric zipper - two self-complementary beta sheets that form the spine of an amyloid fibril. Another factor is sufficient conformational freedom of the self-complementary segment to interact with other molecules. Using RNase A as a model system, we validate our fibrillogenic predictions by the 3D profile method based on the crystal structure of NNQQNYand demonstrate that a specific residue order is required for fiber formation. Our genome-wide analysis revealed that self-complementary segments are found in almost all proteins, yet not all proteins form amyloids. The implication is that chaperoning effects have evolved to constrain selfcomplementary segments from interaction with each other.","author":[{"dropping-particle":"","family":"Goldschmidt","given":"Lukasz","non-dropping-particle":"","parse-names":false,"suffix":""},{"dropping-particle":"","family":"Teng","given":"Poh K.","non-dropping-particle":"","parse-names":false,"suffix":""},{"dropping-particle":"","family":"Riek","given":"Roland","non-dropping-particle":"","parse-names":false,"suffix":""},{"dropping-particle":"","family":"Eisenberg","given":"David","non-dropping-particle":"","parse-names":false,"suffix":""}],"container-title":"Proceedings of the National Academy of Sciences of the United States of America","id":"ITEM-1","issue":"8","issued":{"date-parts":[["2010","2","23"]]},"page":"3487-3492","publisher":"National Academy of Sciences","title":"Identifying the amylome, proteins capable of forming amyloid-like fibrils","type":"article-journal","volume":"107"},"uris":["http://www.mendeley.com/documents/?uuid=acf2471a-a026-3b1d-a4bf-ad454569159c"]}],"mendeley":{"formattedCitation":"&lt;sup&gt;203&lt;/sup&gt;","plainTextFormattedCitation":"203","previouslyFormattedCitation":"&lt;sup&gt;203&lt;/sup&gt;"},"properties":{"noteIndex":0},"schema":"https://github.com/citation-style-language/schema/raw/master/csl-citation.json"}</w:instrText>
            </w:r>
            <w:r>
              <w:fldChar w:fldCharType="separate"/>
            </w:r>
            <w:r w:rsidR="00A313B9" w:rsidRPr="00A313B9">
              <w:rPr>
                <w:noProof/>
                <w:vertAlign w:val="superscript"/>
              </w:rPr>
              <w:t>203</w:t>
            </w:r>
            <w:r>
              <w:fldChar w:fldCharType="end"/>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39621DD" w14:textId="77777777" w:rsidR="00963A53" w:rsidRDefault="00963A53" w:rsidP="00340777">
            <w:pPr>
              <w:pStyle w:val="LO-normal"/>
              <w:widowControl w:val="0"/>
              <w:rPr>
                <w:sz w:val="20"/>
                <w:szCs w:val="20"/>
              </w:rPr>
            </w:pPr>
          </w:p>
        </w:tc>
      </w:tr>
    </w:tbl>
    <w:p w14:paraId="223B6E19" w14:textId="77777777" w:rsidR="00963A53" w:rsidRDefault="00963A53" w:rsidP="00D53A98">
      <w:pPr>
        <w:pStyle w:val="Heading3"/>
      </w:pPr>
    </w:p>
    <w:p w14:paraId="2C5D3EED" w14:textId="77777777" w:rsidR="001529CF" w:rsidRDefault="00492337">
      <w:pPr>
        <w:pStyle w:val="Heading3"/>
        <w:jc w:val="both"/>
      </w:pPr>
      <w:bookmarkStart w:id="8" w:name="_1t3h5sf"/>
      <w:bookmarkEnd w:id="8"/>
      <w:r>
        <w:t>Summary</w:t>
      </w:r>
    </w:p>
    <w:p w14:paraId="1043CB71" w14:textId="2D0B2A14" w:rsidR="001529CF" w:rsidRDefault="00492337">
      <w:pPr>
        <w:pStyle w:val="LO-normal"/>
        <w:jc w:val="both"/>
      </w:pPr>
      <w:r>
        <w:t>A prospective study with the goal of identifying novel AMPs has many tools at its disposal. There are several available databases that collect and categorise known sequences for easy access, and some of them even come with validated prediction tools. If a more tailored approach is needed, a wealth of machine learning approaches can be applied easily thanks to open access packages, and there are many existing implementations of machine learning algorithms to draw inspiration from. Once a new sequence with potential AMP activity has been identified, prediction of its secondary and tertiary structures can further augment the predicted antimicrobial potential.</w:t>
      </w:r>
      <w:r w:rsidR="00734129">
        <w:t xml:space="preserve"> The aggregation propensity, an important property for some AMPs, can also be predicted.</w:t>
      </w:r>
    </w:p>
    <w:p w14:paraId="13E06128" w14:textId="77777777" w:rsidR="001529CF" w:rsidRDefault="00492337">
      <w:pPr>
        <w:pStyle w:val="LO-normal"/>
        <w:jc w:val="both"/>
      </w:pPr>
      <w:r>
        <w:t>Novel AMPs can then be validated via experiment, and/or be used in simulation studies to gain mechanistic understanding of their mode of action. The next section will outline various methods and studies reported in the literature that have been used to simulate the structural dynamics of AMPs in order to elucidate and develop models of their modes of action.</w:t>
      </w:r>
    </w:p>
    <w:p w14:paraId="21FBEA5D" w14:textId="690567F7" w:rsidR="001529CF" w:rsidRDefault="00492337">
      <w:pPr>
        <w:pStyle w:val="Heading1"/>
        <w:jc w:val="both"/>
      </w:pPr>
      <w:bookmarkStart w:id="9" w:name="_4d34og8"/>
      <w:bookmarkEnd w:id="9"/>
      <w:r>
        <w:lastRenderedPageBreak/>
        <w:t xml:space="preserve">Approaches to simulate AMP structures, modes of action and </w:t>
      </w:r>
      <w:r w:rsidR="00AC0043">
        <w:t>properties</w:t>
      </w:r>
    </w:p>
    <w:p w14:paraId="14E1B55C" w14:textId="677C6C39" w:rsidR="00266034" w:rsidRDefault="00492337">
      <w:pPr>
        <w:pStyle w:val="LO-normal"/>
        <w:jc w:val="both"/>
      </w:pPr>
      <w:r>
        <w:t>Most AMPs are thought to kill bacteria by selectively disrupting bacterial membranes, causing cell leakage and death</w:t>
      </w:r>
      <w:r w:rsidR="00266034">
        <w:t>,</w:t>
      </w:r>
      <w:r>
        <w:t xml:space="preserve"> </w:t>
      </w:r>
      <w:r w:rsidR="00266034">
        <w:t>although there are also reports of AMPs that act through other modes, such as several AMPs that can disrupt bacterial DNA inside the cell</w:t>
      </w:r>
      <w:r w:rsidR="00266034">
        <w:fldChar w:fldCharType="begin" w:fldLock="1"/>
      </w:r>
      <w:r w:rsidR="00576689">
        <w:instrText>ADDIN CSL_CITATION {"citationItems":[{"id":"ITEM-1","itemData":{"DOI":"10.1016/j.bbamem.2010.07.003","ISSN":"00052736","PMID":"20637722","abstract":"The interactions of cationic amphipathic antimicrobial peptides (AMPs) with anionic biological membranes have been the focus of much research aimed at improving the activity of such compounds in the search for therapeutic leads. However, many of these peptides are thought to have other polyanions, such as DNA or RNA, as their ultimate target. Here a combination of fluorescence and circular dichroism (CD) spectroscopies has been used to assess the structural properties of amidated versions of buforin II, pleurocidin and magainin 2 that support their varying abilities to translocate through bacterial membranes and bind to double stranded DNA. Unlike magainin 2 amide, a prototypical membrane disruptive AMP, buforin II amide adopts a poorly helical structure in membranes closely mimicking the composition of Gram negative bacteria, such as Escherichia coli, and binds to a short duplex DNA sequence with high affinity, ultimately forming peptide-DNA condensates. The binding affinities of the peptides to duplex DNA are shown to be related to the structural changes that they induce. Furthermore, CD also reveals the conformation of the bound peptide buforin II amide. In contrast with a synthetic peptide, designed to adopt a perfect amphipathic α-helix, buforin II amide adopts an extended or polyproline II conformation when bound to DNA. These results show that an α-helix structure is not required for the DNA binding and condensation activity of buforin II amide. © 2010 Elsevier B.V.","author":[{"dropping-particle":"","family":"Lan","given":"Yun","non-dropping-particle":"","parse-names":false,"suffix":""},{"dropping-particle":"","family":"Ye","given":"Yan","non-dropping-particle":"","parse-names":false,"suffix":""},{"dropping-particle":"","family":"Kozlowska","given":"Justyna","non-dropping-particle":"","parse-names":false,"suffix":""},{"dropping-particle":"","family":"Lam","given":"Jenny K.W.","non-dropping-particle":"","parse-names":false,"suffix":""},{"dropping-particle":"","family":"Drake","given":"Alex F.","non-dropping-particle":"","parse-names":false,"suffix":""},{"dropping-particle":"","family":"Mason","given":"A. James","non-dropping-particle":"","parse-names":false,"suffix":""}],"container-title":"Biochimica et Biophysica Acta - Biomembranes","id":"ITEM-1","issue":"10","issued":{"date-parts":[["2010","10","1"]]},"page":"1934-1943","publisher":"Elsevier","title":"Structural contributions to the intracellular targeting strategies of antimicrobial peptides","type":"article-journal","volume":"1798"},"uris":["http://www.mendeley.com/documents/?uuid=b43021cd-2da4-3e3f-a8dc-f783c5d96274"]}],"mendeley":{"formattedCitation":"&lt;sup&gt;204&lt;/sup&gt;","plainTextFormattedCitation":"204","previouslyFormattedCitation":"&lt;sup&gt;204&lt;/sup&gt;"},"properties":{"noteIndex":0},"schema":"https://github.com/citation-style-language/schema/raw/master/csl-citation.json"}</w:instrText>
      </w:r>
      <w:r w:rsidR="00266034">
        <w:fldChar w:fldCharType="separate"/>
      </w:r>
      <w:r w:rsidR="00A313B9" w:rsidRPr="00A313B9">
        <w:rPr>
          <w:noProof/>
          <w:vertAlign w:val="superscript"/>
        </w:rPr>
        <w:t>204</w:t>
      </w:r>
      <w:r w:rsidR="00266034">
        <w:fldChar w:fldCharType="end"/>
      </w:r>
      <w:r w:rsidR="00266034">
        <w:t xml:space="preserve"> and oncocin, that targets ribosomes intracellularly</w:t>
      </w:r>
      <w:r w:rsidR="00266034">
        <w:fldChar w:fldCharType="begin" w:fldLock="1"/>
      </w:r>
      <w:r w:rsidR="00522194">
        <w:instrText>ADDIN CSL_CITATION {"citationItems":[{"id":"ITEM-1","itemData":{"DOI":"10.1007/s13238-017-0495-2","ISSN":"16748018","PMID":"29256010","abstract":"Methods and Materials Ribosome preparation Unlabeled 70S and 70S with Cy5-labeled L11 (70S-L11 Cy5) ribosomes were prepared according to published procedures (Subramanian and Dabbs, 1980; Rodnina and Wintermeyer, 1995; Chen et al., 2011; Stevens et al., 2012). Initiation complexes (ICs) were formed by mixture of 70S or 70S-L11 Cy5 ribosomes with mRNA, initiation factors, and tRNA fMet in TAM 15 buffer (15 mM MgAc 2 , 50 mM Tris-HCl pH 7.5, 30 mM NH 4 Cl, 70 mM KCl, and 1 mM dithiothreitol) at 37 º C for 25 min. Charged and Labeled tRNA preparation Amino acid specific tRNAs, E. coli tRNA fMet (MP Biomedicals), E. coli tRNA Tyr (Sigma), yeast tRNA Phe (Sigma), E. coli tRNA Val (Sigma) were prepared using the reduction, charging and labeling protocol as described (Pan et al., 2009; Kaur et al., 2011). Stoichiometries of fluorophore/tRNA labeling varied from 0.7-1.2 probe per tRNA (Kaur et al., 2011). Ternary complexes were formed by incubating 8 µM EF-Tu, 1 µM charged tRNAs, 3 mM GTP, 1.3 mM phosphoenolpyruvate, and 5 µg/mL pyruvate kinase in TAM 15 buffer for 15 min at 37 ° C. Oncocins Onc112, whose sequence is VDKPPYLPRPRPPRrIYNr-NH2 (r stands for D-arginine), and its derivatives were chemically synthesized by GL Biochem (Shanghai) Ltd and their purities (&gt;95%) were verified by HPLC and mass spectrometry (Fig. S8). The other Onc112 derivatives and their sequences are: OncΔVD (KPPYLPRPRPPRrIYNr-NH2), OncΔNr (VDKPPYLPRPRPPRrI), Onc-N7 (VDKPPYL), Onc-C12 (PRPRPPRrIYNr), and Onc-rand (RNRYRIPLPYRKPDRVPPP). 50 μM of peptides were used in experiments unless otherwise noted.","author":[{"dropping-particle":"","family":"Peng","given":"Sijia","non-dropping-particle":"","parse-names":false,"suffix":""},{"dropping-particle":"","family":"Yang","given":"Mengyi","non-dropping-particle":"","parse-names":false,"suffix":""},{"dropping-particle":"","family":"Sun","given":"Rui Ning","non-dropping-particle":"","parse-names":false,"suffix":""},{"dropping-particle":"","family":"Liu","given":"Yang","non-dropping-particle":"","parse-names":false,"suffix":""},{"dropping-particle":"","family":"Wang","given":"Wenjuan","non-dropping-particle":"","parse-names":false,"suffix":""},{"dropping-particle":"","family":"Xi","given":"Qiaoran","non-dropping-particle":"","parse-names":false,"suffix":""},{"dropping-particle":"","family":"Gong","given":"Haipeng","non-dropping-particle":"","parse-names":false,"suffix":""},{"dropping-particle":"","family":"Chen","given":"Chunlai","non-dropping-particle":"","parse-names":false,"suffix":""}],"container-title":"Protein and Cell","id":"ITEM-1","issue":"10","issued":{"date-parts":[["2018","10","1"]]},"page":"890-895","publisher":"Higher Education Press","title":"Mechanism of actions of Oncocin, a proline-rich antimicrobial peptide, in early elongation revealed by single-molecule FRET","type":"article-journal","volume":"9"},"uris":["http://www.mendeley.com/documents/?uuid=fb962d86-6757-381d-9b7b-657ce7c31f5b"]}],"mendeley":{"formattedCitation":"&lt;sup&gt;205&lt;/sup&gt;","plainTextFormattedCitation":"205","previouslyFormattedCitation":"&lt;sup&gt;205&lt;/sup&gt;"},"properties":{"noteIndex":0},"schema":"https://github.com/citation-style-language/schema/raw/master/csl-citation.json"}</w:instrText>
      </w:r>
      <w:r w:rsidR="00266034">
        <w:fldChar w:fldCharType="separate"/>
      </w:r>
      <w:r w:rsidR="00A313B9" w:rsidRPr="00A313B9">
        <w:rPr>
          <w:noProof/>
          <w:vertAlign w:val="superscript"/>
        </w:rPr>
        <w:t>205</w:t>
      </w:r>
      <w:r w:rsidR="00266034">
        <w:fldChar w:fldCharType="end"/>
      </w:r>
      <w:r w:rsidR="00266034">
        <w:t>. We have chosen to focus on membrane activity for this review</w:t>
      </w:r>
      <w:r w:rsidR="006B0DF4">
        <w:t>,</w:t>
      </w:r>
      <w:r w:rsidR="00266034">
        <w:t xml:space="preserve"> </w:t>
      </w:r>
      <w:r w:rsidR="007312FB">
        <w:t>as the current consensus regards it as the prevalent mechanism</w:t>
      </w:r>
      <w:r w:rsidR="00ED6C5C">
        <w:fldChar w:fldCharType="begin" w:fldLock="1"/>
      </w:r>
      <w:r w:rsidR="00576689">
        <w:instrText>ADDIN CSL_CITATION {"citationItems":[{"id":"ITEM-1","itemData":{"DOI":"10.1002/bip.10260","ISSN":"0006-3525","abstract":"Water-membrane soluble protein and peptide toxins are used in the defense and offense systems of all organisms, including plants and humans. A major group includes antimicrobial peptides, which serve as a nonspecific defense system that complements the highly specific cell-mediated immune response. The increasing resistance of bacteria to conventional antibiotics stimulated the isolation and characterization of many antimicrobial peptides for potential use as new target antibiotics. The finding of thousands of antimicrobial peptides with variable lengths and sequences, all of which are active at similar concentrations, suggests a general mechanism for killing bacteria rather than a specific mechanism that requires preferred active structures. Such a mechanism is in agreement with the \"carpet model\" that does not require any specific structure or sequence. It seems that when there is an appropriate balance between hydrophobicity and a net positive charge the peptides are active on bacteria. However, selective activity depends also on other parameters, such as the volume of the molecule, its structure, and its oligomeric state in solution and membranes. Further, although many studies support that bacterial membrane damage is a lethal event for bacteria, other studies point to a multihit mechanism in which the peptide binds to several targets in the cytoplasmic region of the bacteria. © 2002 Wiley Periodicals, Inc.","author":[{"dropping-particle":"","family":"Shai","given":"Yechiel","non-dropping-particle":"","parse-names":false,"suffix":""}],"container-title":"Biopolymers","id":"ITEM-1","issue":"4","issued":{"date-parts":[["2002","1","1"]]},"page":"236-248","publisher":"John Wiley &amp; Sons, Ltd","title":"Mode of action of membrane active antimicrobial peptides","type":"article-journal","volume":"66"},"uris":["http://www.mendeley.com/documents/?uuid=e08b792c-5b28-3dfb-9327-6c00127bfda9"]}],"mendeley":{"formattedCitation":"&lt;sup&gt;206&lt;/sup&gt;","plainTextFormattedCitation":"206","previouslyFormattedCitation":"&lt;sup&gt;206&lt;/sup&gt;"},"properties":{"noteIndex":0},"schema":"https://github.com/citation-style-language/schema/raw/master/csl-citation.json"}</w:instrText>
      </w:r>
      <w:r w:rsidR="00ED6C5C">
        <w:fldChar w:fldCharType="separate"/>
      </w:r>
      <w:r w:rsidR="00A313B9" w:rsidRPr="00A313B9">
        <w:rPr>
          <w:noProof/>
          <w:vertAlign w:val="superscript"/>
        </w:rPr>
        <w:t>206</w:t>
      </w:r>
      <w:r w:rsidR="00ED6C5C">
        <w:fldChar w:fldCharType="end"/>
      </w:r>
      <w:r w:rsidR="00ED6C5C">
        <w:t>, and</w:t>
      </w:r>
      <w:r w:rsidR="00266034">
        <w:t xml:space="preserve"> </w:t>
      </w:r>
      <w:r w:rsidR="006B0DF4">
        <w:t>the computational approaches used to study it tend to be more complex due to the difficulty of incorporating lipid bilayers.</w:t>
      </w:r>
    </w:p>
    <w:p w14:paraId="585AB96A" w14:textId="6726290B" w:rsidR="001529CF" w:rsidRDefault="00492337">
      <w:pPr>
        <w:pStyle w:val="LO-normal"/>
        <w:jc w:val="both"/>
      </w:pPr>
      <w:r>
        <w:t>There is a number of underlying mechanisms speculated to be responsible for AMP activity on bacterial membranes, including the barrel-stave, toroidal and carpet mechanisms</w:t>
      </w:r>
      <w:r w:rsidR="00B806B2">
        <w:fldChar w:fldCharType="begin" w:fldLock="1"/>
      </w:r>
      <w:r w:rsidR="00576689">
        <w:instrText>ADDIN CSL_CITATION {"citationItems":[{"id":"ITEM-1","itemData":{"DOI":"10.2174/1568026615666150703121700","ISSN":"15680266","PMID":"26139112","abstract":"Antimicrobial peptides (AMPs) are showing increasing promise as potential candidate antibacterial drugs in the face of the rapidly emerging bacterial resistance to conventional antibiotics in recent years. The target of these peptides is the microbial membrane and there are numerous models to explain their mechanism of action ranging from pore formation to general membrane disruption. The interaction between the AMP and the target membrane is critical to the specificity and activity of these peptides. However, a precise understanding of the relationship between antimicrobial peptide structure and their cytolytic function in a range of organisms is still lacking. This is a result of the complex nature of the interactions of AMPs with the cell membrane, the mechanism of which can vary considerably between different classes of antimicrobia peptides. A wide range of biophysical techniques have been used to study the influence of a number of peptide and membrane properties on the cytolytic activity of these peptides in model membrane systems. Central to characterisation of this interaction is a quantitative analysis of the binding of peptide to the membrane and the coherent dynamic changes in membrane structure. Recently, dual polarization interferometry has been used to perform an in depth analysis of antimicrobial peptide induced membrane perturbation and with new mass-structure co-fitting kinetic analysis have allowed a real-time label free analysis of binding affinity and kinetics. We review these studies which describe multi-step mechanisms which are adopted by various AMPs in nature and may advance our approach to the development of a new generation of effective antimicrobial therapeutics.","author":[{"dropping-particle":"","family":"Lee","given":"Tzong Hsien","non-dropping-particle":"","parse-names":false,"suffix":""},{"dropping-particle":"","family":"N. Hall","given":"Kristopher","non-dropping-particle":"","parse-names":false,"suffix":""},{"dropping-particle":"","family":"Aguilar","given":"Marie Isabel","non-dropping-particle":"","parse-names":false,"suffix":""}],"container-title":"Current Topics in Medicinal Chemistry","id":"ITEM-1","issue":"1","issued":{"date-parts":[["2015","9","18"]]},"page":"25-39","publisher":"Bentham Science Publishers Ltd.","title":"Antimicrobial Peptide Structure and Mechanism of Action: A Focus on the Role of Membrane Structure","type":"article-journal","volume":"16"},"uris":["http://www.mendeley.com/documents/?uuid=e7e5a0c7-ec8c-331d-a0fd-2befa79e62d0"]}],"mendeley":{"formattedCitation":"&lt;sup&gt;22&lt;/sup&gt;","plainTextFormattedCitation":"22","previouslyFormattedCitation":"&lt;sup&gt;22&lt;/sup&gt;"},"properties":{"noteIndex":0},"schema":"https://github.com/citation-style-language/schema/raw/master/csl-citation.json"}</w:instrText>
      </w:r>
      <w:r w:rsidR="00B806B2">
        <w:fldChar w:fldCharType="separate"/>
      </w:r>
      <w:r w:rsidR="001403A4" w:rsidRPr="001403A4">
        <w:rPr>
          <w:noProof/>
          <w:vertAlign w:val="superscript"/>
        </w:rPr>
        <w:t>22</w:t>
      </w:r>
      <w:r w:rsidR="00B806B2">
        <w:fldChar w:fldCharType="end"/>
      </w:r>
      <w:r>
        <w:t xml:space="preserve"> (Figure 1). Most mechanisms involve an initial step of the peptide being attracted to the membrane surface, driven by electrostatic interactions between the cationic amino acids of the peptide and the anionic phospholipid head groups, leading to an accumulation of the peptide on the outside of the membrane</w:t>
      </w:r>
      <w:r w:rsidR="00B806B2">
        <w:fldChar w:fldCharType="begin" w:fldLock="1"/>
      </w:r>
      <w:r w:rsidR="00CD66A0">
        <w:instrText>ADDIN CSL_CITATION {"citationItems":[{"id":"ITEM-1","itemData":{"DOI":"10.1016/j.tibtech.2011.05.001","ISSN":"01677799","PMID":"21680034","abstract":"Antimicrobial peptides (AMPs) are an integral part of the innate immune system that protect a host from invading pathogenic bacteria. To help overcome the problem of antimicrobial resistance, cationic AMPs are currently being considered as potential alternatives for antibiotics. Although extremely variable in length, amino acid composition and secondary structure, all peptides can adopt a distinct membrane-bound amphipathic conformation. Recent studies demonstrate that they achieve their antimicrobial activity by disrupting various key cellular processes. Some peptides can even use multiple mechanisms. Moreover, several intact proteins or protein fragments are now being shown to have inherent antimicrobial activity. A better understanding of the structure-activity relationships of AMPs is required to facilitate the rational design of novel antimicrobial agents. © 2011 Elsevier Ltd.","author":[{"dropping-particle":"","family":"Nguyen","given":"Leonard T.","non-dropping-particle":"","parse-names":false,"suffix":""},{"dropping-particle":"","family":"Haney","given":"Evan F.","non-dropping-particle":"","parse-names":false,"suffix":""},{"dropping-particle":"","family":"Vogel","given":"Hans J.","non-dropping-particle":"","parse-names":false,"suffix":""}],"container-title":"Trends in Biotechnology","id":"ITEM-1","issue":"9","issued":{"date-parts":[["2011","9","1"]]},"page":"464-472","publisher":"Elsevier Current Trends","title":"The expanding scope of antimicrobial peptide structures and their modes of action","type":"article-journal","volume":"29"},"uris":["http://www.mendeley.com/documents/?uuid=3a60d740-8c45-3678-b5e7-2090e9cc4594"]},{"id":"ITEM-2","itemData":{"DOI":"10.1155/2013/675391","ISSN":"16879767","abstract":"Antimicrobial peptides are diverse group of biologically active molecules with multidimensional properties. In recent past, a wide variety of AMPs with diverse structures have been reported from different sources such as plants, animals, mammals, and microorganisms. The presence of unusual amino acids and structural motifs in AMPs confers unique structural properties to the peptide that attribute for their specific mode of action. The ability of these active AMPs to act as multifunctional effector molecules such as signalling molecule, immune modulators, mitogen, antitumor, and contraceptive agent makes it an interesting candidate to study every aspect of their structural and biological properties for prophylactic and therapeutic applications. In addition, easy cloning and recombinant expression of AMPs in heterologous plant host systems provided a pipeline for production of disease resistant transgenic plants. Besides these properties, AMPs were also used as drug delivery vectors to deliver cell impermeable drugs to cell interior. The present review focuses on the diversity and broad spectrum antimicrobial activity of AMPs along with its multidimensional properties that could be exploited for the application of these bioactive peptides as a potential and promising drug candidate in pharmaceutical industries. © 2013 Muthuirulan Pushpanathan et al.","author":[{"dropping-particle":"","family":"Pushpanathan","given":"Muthuirulan","non-dropping-particle":"","parse-names":false,"suffix":""},{"dropping-particle":"","family":"Gunasekaran","given":"Paramasamy","non-dropping-particle":"","parse-names":false,"suffix":""},{"dropping-particle":"","family":"Rajendhran","given":"Jeyaprakash","non-dropping-particle":"","parse-names":false,"suffix":""}],"container-title":"International Journal of Peptides","id":"ITEM-2","issued":{"date-parts":[["2013"]]},"page":"675391","title":"Antimicrobial peptides: Versatile biological properties","type":"article-journal","volume":"2013"},"uris":["http://www.mendeley.com/documents/?uuid=42d63f47-aefa-3c47-850c-26b35165b6cf"]},{"id":"ITEM-3","itemData":{"DOI":"10.2174/1568026615666150703121700","ISSN":"15680266","PMID":"26139112","abstract":"Antimicrobial peptides (AMPs) are showing increasing promise as potential candidate antibacterial drugs in the face of the rapidly emerging bacterial resistance to conventional antibiotics in recent years. The target of these peptides is the microbial membrane and there are numerous models to explain their mechanism of action ranging from pore formation to general membrane disruption. The interaction between the AMP and the target membrane is critical to the specificity and activity of these peptides. However, a precise understanding of the relationship between antimicrobial peptide structure and their cytolytic function in a range of organisms is still lacking. This is a result of the complex nature of the interactions of AMPs with the cell membrane, the mechanism of which can vary considerably between different classes of antimicrobia peptides. A wide range of biophysical techniques have been used to study the influence of a number of peptide and membrane properties on the cytolytic activity of these peptides in model membrane systems. Central to characterisation of this interaction is a quantitative analysis of the binding of peptide to the membrane and the coherent dynamic changes in membrane structure. Recently, dual polarization interferometry has been used to perform an in depth analysis of antimicrobial peptide induced membrane perturbation and with new mass-structure co-fitting kinetic analysis have allowed a real-time label free analysis of binding affinity and kinetics. We review these studies which describe multi-step mechanisms which are adopted by various AMPs in nature and may advance our approach to the development of a new generation of effective antimicrobial therapeutics.","author":[{"dropping-particle":"","family":"Lee","given":"Tzong Hsien","non-dropping-particle":"","parse-names":false,"suffix":""},{"dropping-particle":"","family":"N. Hall","given":"Kristopher","non-dropping-particle":"","parse-names":false,"suffix":""},{"dropping-particle":"","family":"Aguilar","given":"Marie Isabel","non-dropping-particle":"","parse-names":false,"suffix":""}],"container-title":"Current Topics in Medicinal Chemistry","id":"ITEM-3","issue":"1","issued":{"date-parts":[["2015","9","18"]]},"page":"25-39","publisher":"Bentham Science Publishers Ltd.","title":"Antimicrobial Peptide Structure and Mechanism of Action: A Focus on the Role of Membrane Structure","type":"article-journal","volume":"16"},"uris":["http://www.mendeley.com/documents/?uuid=e7e5a0c7-ec8c-331d-a0fd-2befa79e62d0"]}],"mendeley":{"formattedCitation":"&lt;sup&gt;16,17,22&lt;/sup&gt;","plainTextFormattedCitation":"16,17,22","previouslyFormattedCitation":"&lt;sup&gt;16,17,22&lt;/sup&gt;"},"properties":{"noteIndex":0},"schema":"https://github.com/citation-style-language/schema/raw/master/csl-citation.json"}</w:instrText>
      </w:r>
      <w:r w:rsidR="00B806B2">
        <w:fldChar w:fldCharType="separate"/>
      </w:r>
      <w:r w:rsidR="001403A4" w:rsidRPr="001403A4">
        <w:rPr>
          <w:noProof/>
          <w:vertAlign w:val="superscript"/>
        </w:rPr>
        <w:t>16,17,22</w:t>
      </w:r>
      <w:r w:rsidR="00B806B2">
        <w:fldChar w:fldCharType="end"/>
      </w:r>
      <w:r>
        <w:t>. Once a critical concentration is reached, the peptides start to insert into and disrupt the membrane (Figure 1). It is clear that the presence of charged amino acids dictate which membranes the peptide is attracted to, while the hydrophobicity of the peptide likely determines its ability to penetrate into the hydrophobic membrane interior; the secondary structure and aggregation properties of the peptide may play a role</w:t>
      </w:r>
      <w:r w:rsidR="00B806B2">
        <w:t xml:space="preserve"> in how it disrupts the membrane</w:t>
      </w:r>
      <w:r w:rsidR="00B806B2">
        <w:fldChar w:fldCharType="begin" w:fldLock="1"/>
      </w:r>
      <w:r w:rsidR="00CD66A0">
        <w:instrText>ADDIN CSL_CITATION {"citationItems":[{"id":"ITEM-1","itemData":{"DOI":"10.1016/j.tibtech.2011.05.001","ISSN":"01677799","PMID":"21680034","abstract":"Antimicrobial peptides (AMPs) are an integral part of the innate immune system that protect a host from invading pathogenic bacteria. To help overcome the problem of antimicrobial resistance, cationic AMPs are currently being considered as potential alternatives for antibiotics. Although extremely variable in length, amino acid composition and secondary structure, all peptides can adopt a distinct membrane-bound amphipathic conformation. Recent studies demonstrate that they achieve their antimicrobial activity by disrupting various key cellular processes. Some peptides can even use multiple mechanisms. Moreover, several intact proteins or protein fragments are now being shown to have inherent antimicrobial activity. A better understanding of the structure-activity relationships of AMPs is required to facilitate the rational design of novel antimicrobial agents. © 2011 Elsevier Ltd.","author":[{"dropping-particle":"","family":"Nguyen","given":"Leonard T.","non-dropping-particle":"","parse-names":false,"suffix":""},{"dropping-particle":"","family":"Haney","given":"Evan F.","non-dropping-particle":"","parse-names":false,"suffix":""},{"dropping-particle":"","family":"Vogel","given":"Hans J.","non-dropping-particle":"","parse-names":false,"suffix":""}],"container-title":"Trends in Biotechnology","id":"ITEM-1","issue":"9","issued":{"date-parts":[["2011","9","1"]]},"page":"464-472","publisher":"Elsevier Current Trends","title":"The expanding scope of antimicrobial peptide structures and their modes of action","type":"article-journal","volume":"29"},"uris":["http://www.mendeley.com/documents/?uuid=3a60d740-8c45-3678-b5e7-2090e9cc4594"]},{"id":"ITEM-2","itemData":{"DOI":"10.1155/2013/675391","ISSN":"16879767","abstract":"Antimicrobial peptides are diverse group of biologically active molecules with multidimensional properties. In recent past, a wide variety of AMPs with diverse structures have been reported from different sources such as plants, animals, mammals, and microorganisms. The presence of unusual amino acids and structural motifs in AMPs confers unique structural properties to the peptide that attribute for their specific mode of action. The ability of these active AMPs to act as multifunctional effector molecules such as signalling molecule, immune modulators, mitogen, antitumor, and contraceptive agent makes it an interesting candidate to study every aspect of their structural and biological properties for prophylactic and therapeutic applications. In addition, easy cloning and recombinant expression of AMPs in heterologous plant host systems provided a pipeline for production of disease resistant transgenic plants. Besides these properties, AMPs were also used as drug delivery vectors to deliver cell impermeable drugs to cell interior. The present review focuses on the diversity and broad spectrum antimicrobial activity of AMPs along with its multidimensional properties that could be exploited for the application of these bioactive peptides as a potential and promising drug candidate in pharmaceutical industries. © 2013 Muthuirulan Pushpanathan et al.","author":[{"dropping-particle":"","family":"Pushpanathan","given":"Muthuirulan","non-dropping-particle":"","parse-names":false,"suffix":""},{"dropping-particle":"","family":"Gunasekaran","given":"Paramasamy","non-dropping-particle":"","parse-names":false,"suffix":""},{"dropping-particle":"","family":"Rajendhran","given":"Jeyaprakash","non-dropping-particle":"","parse-names":false,"suffix":""}],"container-title":"International Journal of Peptides","id":"ITEM-2","issued":{"date-parts":[["2013"]]},"page":"675391","title":"Antimicrobial peptides: Versatile biological properties","type":"article-journal","volume":"2013"},"uris":["http://www.mendeley.com/documents/?uuid=42d63f47-aefa-3c47-850c-26b35165b6cf"]},{"id":"ITEM-3","itemData":{"DOI":"10.2174/1568026615666150703121700","ISSN":"15680266","PMID":"26139112","abstract":"Antimicrobial peptides (AMPs) are showing increasing promise as potential candidate antibacterial drugs in the face of the rapidly emerging bacterial resistance to conventional antibiotics in recent years. The target of these peptides is the microbial membrane and there are numerous models to explain their mechanism of action ranging from pore formation to general membrane disruption. The interaction between the AMP and the target membrane is critical to the specificity and activity of these peptides. However, a precise understanding of the relationship between antimicrobial peptide structure and their cytolytic function in a range of organisms is still lacking. This is a result of the complex nature of the interactions of AMPs with the cell membrane, the mechanism of which can vary considerably between different classes of antimicrobia peptides. A wide range of biophysical techniques have been used to study the influence of a number of peptide and membrane properties on the cytolytic activity of these peptides in model membrane systems. Central to characterisation of this interaction is a quantitative analysis of the binding of peptide to the membrane and the coherent dynamic changes in membrane structure. Recently, dual polarization interferometry has been used to perform an in depth analysis of antimicrobial peptide induced membrane perturbation and with new mass-structure co-fitting kinetic analysis have allowed a real-time label free analysis of binding affinity and kinetics. We review these studies which describe multi-step mechanisms which are adopted by various AMPs in nature and may advance our approach to the development of a new generation of effective antimicrobial therapeutics.","author":[{"dropping-particle":"","family":"Lee","given":"Tzong Hsien","non-dropping-particle":"","parse-names":false,"suffix":""},{"dropping-particle":"","family":"N. Hall","given":"Kristopher","non-dropping-particle":"","parse-names":false,"suffix":""},{"dropping-particle":"","family":"Aguilar","given":"Marie Isabel","non-dropping-particle":"","parse-names":false,"suffix":""}],"container-title":"Current Topics in Medicinal Chemistry","id":"ITEM-3","issue":"1","issued":{"date-parts":[["2015","9","18"]]},"page":"25-39","publisher":"Bentham Science Publishers Ltd.","title":"Antimicrobial Peptide Structure and Mechanism of Action: A Focus on the Role of Membrane Structure","type":"article-journal","volume":"16"},"uris":["http://www.mendeley.com/documents/?uuid=e7e5a0c7-ec8c-331d-a0fd-2befa79e62d0"]}],"mendeley":{"formattedCitation":"&lt;sup&gt;16,17,22&lt;/sup&gt;","plainTextFormattedCitation":"16,17,22","previouslyFormattedCitation":"&lt;sup&gt;16,17,22&lt;/sup&gt;"},"properties":{"noteIndex":0},"schema":"https://github.com/citation-style-language/schema/raw/master/csl-citation.json"}</w:instrText>
      </w:r>
      <w:r w:rsidR="00B806B2">
        <w:fldChar w:fldCharType="separate"/>
      </w:r>
      <w:r w:rsidR="001403A4" w:rsidRPr="001403A4">
        <w:rPr>
          <w:noProof/>
          <w:vertAlign w:val="superscript"/>
        </w:rPr>
        <w:t>16,17,22</w:t>
      </w:r>
      <w:r w:rsidR="00B806B2">
        <w:fldChar w:fldCharType="end"/>
      </w:r>
      <w:r>
        <w:t>. Understanding the mechanisms that underpin AMP behaviour may provide crucial guidance for the design of new, more-effective antimicrobials. In this section, we review the role of molecular dynamics (MD) simulations</w:t>
      </w:r>
      <w:r w:rsidR="00B806B2">
        <w:fldChar w:fldCharType="begin" w:fldLock="1"/>
      </w:r>
      <w:r w:rsidR="00522194">
        <w:instrText>ADDIN CSL_CITATION {"citationItems":[{"id":"ITEM-1","itemData":{"DOI":"10.2174/0929866511009011313","ISSN":"09298665","abstract":"Antimicrobial peptides (AMPs) are short, cationic, membrane-interacting proteins that exhibit broad-spectrum antimicrobial activity, and are hence of significant biomedical interest. They exert their activity by selectively binding to and lysing target cell membranes, but the precise molecular details of their mechanism are not known. This is further complicated by the fact that their structural characteristics are dependent upon the local lipid environment. As a result, molecular dynamics (MD) simulations have been applied to understand the conformation and mechanism of AMPs, as well as related viral and cell-penetrating peptides. In particular, atomically detailed MD simulation studies on the times-cale of tens to hundreds of nanoseconds have successfully helped to: (i) model or refine the conformation of AMPs and their aggregates in the presence of membrane-mimicking solvent mixtures, detergent micelles, and lipid bilayers; (ii) fol-low the process of adsorption of individual AMPs to membrane surfaces; and (iii) observe the spontaneous assembly of multiple peptides and subsequent cooperative membrane lysis. More recently, coarse-grained (CG) models have been de-veloped to extend the time and length scales accessible to simulations of membrane/peptide systems. CG simulations on the order of microseconds have provided insight into AMP lytic mechanisms, and how they depend upon such factors as peptide concentration, lipid composition, and bilayer curvature. These studies have been supplemented by combined ato-mistic/CG and integrated multiscale models. Together, simulations have deepened our understanding of the interactions between AMPs and biological membranes, and will help to design new synthetic peptides with enhanced biomedical po-tential.","author":[{"dropping-particle":"","family":"Bond","given":"Peter J.","non-dropping-particle":"","parse-names":false,"suffix":""},{"dropping-particle":"","family":"Khalid","given":"Syma","non-dropping-particle":"","parse-names":false,"suffix":""}],"container-title":"Protein &amp; Peptide Letters","id":"ITEM-1","issue":"11","issued":{"date-parts":[["2012","11","11"]]},"page":"1313-1327","publisher":"Bentham Science Publishers Ltd.","title":"Antimicrobial and Cell-Penetrating Peptides: Structure, Assembly and Mechanisms of Membrane Lysis via Atomistic and Coarse-Grained Molecular Dynamic Simulations","type":"article-journal","volume":"17"},"uris":["http://www.mendeley.com/documents/?uuid=6387a44d-c8cc-39a6-a857-62dd8b667595"]},{"id":"ITEM-2","itemData":{"DOI":"10.1016/j.drudis.2019.06.013","ISSN":"18785832","PMID":"31229665","abstract":"Cell-penetrating peptides (CPPs) offer an exciting approach to tackle the pharmacokinetic challenges associated with the delivery of large, polar molecules to intracellular targets. Since the discovery of the first CPPs in the early 1990s, vast amounts of research have been undertaken to characterise their cellular uptake mechanisms. Despite this, the precise mechanisms of cellular internalisation of many CPPs remain elusive owing to inconsistent experimental results. Molecular dynamics (MD) simulations provide an approach to probe specific aspects of the internalisation process and many published CPP studies have incorporated simulation data. This review provides a critical evaluation of the current approaches that are being used to simulate CPPs interacting with artificial lipid bilayers.","author":[{"dropping-particle":"","family":"Reid","given":"Lauren M.","non-dropping-particle":"","parse-names":false,"suffix":""},{"dropping-particle":"","family":"Verma","given":"Chandra S.","non-dropping-particle":"","parse-names":false,"suffix":""},{"dropping-particle":"","family":"Essex","given":"Jonathan W.","non-dropping-particle":"","parse-names":false,"suffix":""}],"container-title":"Drug Discovery Today","id":"ITEM-2","issue":"9","issued":{"date-parts":[["2019","9","1"]]},"page":"1821-1835","publisher":"Elsevier Ltd","title":"The role of molecular simulations in understanding the mechanisms of cell-penetrating peptides","type":"article-journal","volume":"24"},"uris":["http://www.mendeley.com/documents/?uuid=940953cb-0c39-359c-a211-6126d9063571"]}],"mendeley":{"formattedCitation":"&lt;sup&gt;207,208&lt;/sup&gt;","plainTextFormattedCitation":"207,208","previouslyFormattedCitation":"&lt;sup&gt;207,208&lt;/sup&gt;"},"properties":{"noteIndex":0},"schema":"https://github.com/citation-style-language/schema/raw/master/csl-citation.json"}</w:instrText>
      </w:r>
      <w:r w:rsidR="00B806B2">
        <w:fldChar w:fldCharType="separate"/>
      </w:r>
      <w:r w:rsidR="00A313B9" w:rsidRPr="00A313B9">
        <w:rPr>
          <w:noProof/>
          <w:vertAlign w:val="superscript"/>
        </w:rPr>
        <w:t>207,208</w:t>
      </w:r>
      <w:r w:rsidR="00B806B2">
        <w:fldChar w:fldCharType="end"/>
      </w:r>
      <w:r>
        <w:t xml:space="preserve"> in the development of this understanding, including methods for studying peptide conformation, aggregation and interactions with the membrane. </w:t>
      </w:r>
    </w:p>
    <w:p w14:paraId="2B880A39" w14:textId="77777777" w:rsidR="001529CF" w:rsidRDefault="001529CF">
      <w:pPr>
        <w:pStyle w:val="LO-normal"/>
        <w:jc w:val="both"/>
      </w:pPr>
    </w:p>
    <w:p w14:paraId="1CFD0A12" w14:textId="1C4EF136" w:rsidR="001529CF" w:rsidRDefault="00B806B2">
      <w:pPr>
        <w:pStyle w:val="LO-normal"/>
        <w:jc w:val="both"/>
      </w:pPr>
      <w:r>
        <w:t>MD is used to</w:t>
      </w:r>
      <w:r w:rsidR="00492337">
        <w:t xml:space="preserve"> study the temporal evolution of the structural dynamics of the AMP in different environments using Newton’s laws of motion, based on the forces felt through bonded and non-bonded interactions, which are described by a force field potential</w:t>
      </w:r>
      <w:r>
        <w:fldChar w:fldCharType="begin" w:fldLock="1"/>
      </w:r>
      <w:r w:rsidR="00576689">
        <w:instrText>ADDIN CSL_CITATION {"citationItems":[{"id":"ITEM-1","itemData":{"author":[{"dropping-particle":"","family":"Leach","given":"Andrew R.","non-dropping-particle":"","parse-names":false,"suffix":""}],"edition":"2nd Ed.","id":"ITEM-1","issued":{"date-parts":[["2001"]]},"publisher":"Prentice Hall","publisher-place":"Upper Saddle River, NJ","title":"Molecular modelling: principles and applications","type":"book"},"uris":["http://www.mendeley.com/documents/?uuid=af7b1364-a1c4-385d-a1ba-e1c16e144d2c"]}],"mendeley":{"formattedCitation":"&lt;sup&gt;209&lt;/sup&gt;","plainTextFormattedCitation":"209","previouslyFormattedCitation":"&lt;sup&gt;209&lt;/sup&gt;"},"properties":{"noteIndex":0},"schema":"https://github.com/citation-style-language/schema/raw/master/csl-citation.json"}</w:instrText>
      </w:r>
      <w:r>
        <w:fldChar w:fldCharType="separate"/>
      </w:r>
      <w:r w:rsidR="00A313B9" w:rsidRPr="00A313B9">
        <w:rPr>
          <w:noProof/>
          <w:vertAlign w:val="superscript"/>
        </w:rPr>
        <w:t>209</w:t>
      </w:r>
      <w:r>
        <w:fldChar w:fldCharType="end"/>
      </w:r>
      <w:r w:rsidR="00492337">
        <w:t>. Depending on the scale of the problem, explicit representations of all atoms (AA) can provide atomistic resolution</w:t>
      </w:r>
      <w:r>
        <w:fldChar w:fldCharType="begin" w:fldLock="1"/>
      </w:r>
      <w:r w:rsidR="00522194">
        <w:instrText>ADDIN CSL_CITATION {"citationItems":[{"id":"ITEM-1","itemData":{"DOI":"10.1016/j.sbi.2009.03.004","ISSN":"0959440X","PMID":"19361980","abstract":"Molecular dynamics simulations allow for atomic-level characterization of biomolecular processes such as the conformational transitions associated with protein function. The computational demands of such simulations, however, have historically prevented them from reaching the microsecond and greater timescales on which these events often occur. Recent advances in algorithms, software, and computer hardware have made microsecond-timescale simulations with tens of thousands of atoms practical, with millisecond-timescale simulations on the horizon. This review outlines these advances in high-performance molecular dynamics simulation and discusses recent applications to studies of protein dynamics and function as well as experimental validation of the underlying computational models. © 2009 Elsevier Ltd. All rights reserved.","author":[{"dropping-particle":"","family":"Klepeis","given":"John L.","non-dropping-particle":"","parse-names":false,"suffix":""},{"dropping-particle":"","family":"Lindorff-Larsen","given":"Kresten","non-dropping-particle":"","parse-names":false,"suffix":""},{"dropping-particle":"","family":"Dror","given":"Ron O.","non-dropping-particle":"","parse-names":false,"suffix":""},{"dropping-particle":"","family":"Shaw","given":"David E.","non-dropping-particle":"","parse-names":false,"suffix":""}],"container-title":"Current Opinion in Structural Biology","id":"ITEM-1","issue":"2","issued":{"date-parts":[["2009","4","1"]]},"page":"120-127","publisher":"Elsevier Current Trends","title":"Long-timescale molecular dynamics simulations of protein structure and function","type":"article-journal","volume":"19"},"uris":["http://www.mendeley.com/documents/?uuid=dcbc04ad-40b0-3da9-8350-294237c0d637"]}],"mendeley":{"formattedCitation":"&lt;sup&gt;210&lt;/sup&gt;","plainTextFormattedCitation":"210","previouslyFormattedCitation":"&lt;sup&gt;210&lt;/sup&gt;"},"properties":{"noteIndex":0},"schema":"https://github.com/citation-style-language/schema/raw/master/csl-citation.json"}</w:instrText>
      </w:r>
      <w:r>
        <w:fldChar w:fldCharType="separate"/>
      </w:r>
      <w:r w:rsidR="00A313B9" w:rsidRPr="00A313B9">
        <w:rPr>
          <w:noProof/>
          <w:vertAlign w:val="superscript"/>
        </w:rPr>
        <w:t>210</w:t>
      </w:r>
      <w:r>
        <w:fldChar w:fldCharType="end"/>
      </w:r>
      <w:r w:rsidR="00492337">
        <w:t>, while coarse-grained (CG) representations reduce the computational expense by grouping atoms into beads</w:t>
      </w:r>
      <w:r>
        <w:fldChar w:fldCharType="begin" w:fldLock="1"/>
      </w:r>
      <w:r w:rsidR="00522194">
        <w:instrText>ADDIN CSL_CITATION {"citationItems":[{"id":"ITEM-1","itemData":{"DOI":"10.1021/acs.chemrev.6b00163","ISSN":"15206890","PMID":"27333362","abstract":"The traditional computational modeling of protein structure, dynamics, and interactions remains difficult for many protein systems. It is mostly due to the size of protein conformational spaces and required simulation time scales that are still too large to be studied in atomistic detail. Lowering the level of protein representation from all-atom to coarse-grained opens up new possibilities for studying protein systems. In this review we provide an overview of coarse-grained models focusing on their design, including choices of representation, models of energy functions, sampling of conformational space, and applications in the modeling of protein structure, dynamics, and interactions. A more detailed description is given for applications of coarse-grained models suitable for efficient combinations with all-atom simulations in multiscale modeling strategies.","author":[{"dropping-particle":"","family":"Kmiecik","given":"Sebastian","non-dropping-particle":"","parse-names":false,"suffix":""},{"dropping-particle":"","family":"Gront","given":"Dominik","non-dropping-particle":"","parse-names":false,"suffix":""},{"dropping-particle":"","family":"Kolinski","given":"Michal","non-dropping-particle":"","parse-names":false,"suffix":""},{"dropping-particle":"","family":"Wieteska","given":"Lukasz","non-dropping-particle":"","parse-names":false,"suffix":""},{"dropping-particle":"","family":"Dawid","given":"Aleksandra Elzbieta","non-dropping-particle":"","parse-names":false,"suffix":""},{"dropping-particle":"","family":"Kolinski","given":"Andrzej","non-dropping-particle":"","parse-names":false,"suffix":""}],"container-title":"Chemical Reviews","id":"ITEM-1","issue":"14","issued":{"date-parts":[["2016","7","27"]]},"page":"7898-7936","publisher":"American Chemical Society","title":"Coarse-Grained Protein Models and Their Applications","type":"article-journal","volume":"116"},"uris":["http://www.mendeley.com/documents/?uuid=78e8deb0-804e-313f-87be-a5fd5235928e"]}],"mendeley":{"formattedCitation":"&lt;sup&gt;211&lt;/sup&gt;","plainTextFormattedCitation":"211","previouslyFormattedCitation":"&lt;sup&gt;211&lt;/sup&gt;"},"properties":{"noteIndex":0},"schema":"https://github.com/citation-style-language/schema/raw/master/csl-citation.json"}</w:instrText>
      </w:r>
      <w:r>
        <w:fldChar w:fldCharType="separate"/>
      </w:r>
      <w:r w:rsidR="00A313B9" w:rsidRPr="00A313B9">
        <w:rPr>
          <w:noProof/>
          <w:vertAlign w:val="superscript"/>
        </w:rPr>
        <w:t>211</w:t>
      </w:r>
      <w:r>
        <w:fldChar w:fldCharType="end"/>
      </w:r>
      <w:r w:rsidR="00492337">
        <w:t>. Understandably, AA simulations provide a more realistic interpretation of the underlying energy landscape, while CG simulations are less accurate but allow larger systems and longer simulation times to be reached</w:t>
      </w:r>
      <w:r>
        <w:fldChar w:fldCharType="begin" w:fldLock="1"/>
      </w:r>
      <w:r w:rsidR="00576689">
        <w:instrText>ADDIN CSL_CITATION {"citationItems":[{"id":"ITEM-1","itemData":{"DOI":"10.1039/c3cs60093a","ISSN":"14604744","PMID":"23708257","abstract":"The Martini model, a coarse-grained force field for biomolecular simulations, has found a broad range of applications since its release a decade ago. Based on a building block principle, the model combines speed and versatility while maintaining chemical specificity. Here we review the current state of the model. We describe recent highlights as well as shortcomings, and our ideas on the further development of the model. © 2013 The Royal Society of Chemistry.","author":[{"dropping-particle":"","family":"Marrink","given":"Siewert J.","non-dropping-particle":"","parse-names":false,"suffix":""},{"dropping-particle":"","family":"Tieleman","given":"D. Peter","non-dropping-particle":"","parse-names":false,"suffix":""}],"container-title":"Chemical Society Reviews","id":"ITEM-1","issue":"16","issued":{"date-parts":[["2013","7","22"]]},"page":"6801-6822","publisher":"The Royal Society of Chemistry","title":"Perspective on the martini model","type":"article-journal","volume":"42"},"uris":["http://www.mendeley.com/documents/?uuid=aa96993f-99d7-3cc2-8a97-b33daa4b68b2"]}],"mendeley":{"formattedCitation":"&lt;sup&gt;212&lt;/sup&gt;","plainTextFormattedCitation":"212","previouslyFormattedCitation":"&lt;sup&gt;212&lt;/sup&gt;"},"properties":{"noteIndex":0},"schema":"https://github.com/citation-style-language/schema/raw/master/csl-citation.json"}</w:instrText>
      </w:r>
      <w:r>
        <w:fldChar w:fldCharType="separate"/>
      </w:r>
      <w:r w:rsidR="00A313B9" w:rsidRPr="00A313B9">
        <w:rPr>
          <w:noProof/>
          <w:vertAlign w:val="superscript"/>
        </w:rPr>
        <w:t>212</w:t>
      </w:r>
      <w:r>
        <w:fldChar w:fldCharType="end"/>
      </w:r>
      <w:r w:rsidR="00492337">
        <w:t>.</w:t>
      </w:r>
      <w:r w:rsidR="00D6767C">
        <w:t xml:space="preserve"> </w:t>
      </w:r>
      <w:r w:rsidR="00686AFA">
        <w:t>In addition, there are several enhanced sampling techniques and advanced methods suited for more specific studies; we have tabulated relevant methods in table 7.</w:t>
      </w:r>
    </w:p>
    <w:p w14:paraId="66CECB8F" w14:textId="3F325B49" w:rsidR="00686AFA" w:rsidRDefault="00686AFA" w:rsidP="00686AFA">
      <w:pPr>
        <w:pStyle w:val="LO-normal"/>
      </w:pPr>
      <w:r>
        <w:t>Table 7: Simulation techniques that are used to study AMP processes and properties discussed throughout this review.</w:t>
      </w:r>
    </w:p>
    <w:p w14:paraId="26641002" w14:textId="77777777" w:rsidR="00686AFA" w:rsidRDefault="00686AFA" w:rsidP="00686AFA">
      <w:pPr>
        <w:pStyle w:val="LO-normal"/>
        <w:rPr>
          <w:b/>
        </w:rPr>
      </w:pPr>
    </w:p>
    <w:tbl>
      <w:tblPr>
        <w:tblW w:w="10290" w:type="dxa"/>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80" w:type="dxa"/>
          <w:bottom w:w="100" w:type="dxa"/>
          <w:right w:w="100" w:type="dxa"/>
        </w:tblCellMar>
        <w:tblLook w:val="04A0" w:firstRow="1" w:lastRow="0" w:firstColumn="1" w:lastColumn="0" w:noHBand="0" w:noVBand="1"/>
      </w:tblPr>
      <w:tblGrid>
        <w:gridCol w:w="1277"/>
        <w:gridCol w:w="1526"/>
        <w:gridCol w:w="2648"/>
        <w:gridCol w:w="3607"/>
        <w:gridCol w:w="1232"/>
      </w:tblGrid>
      <w:tr w:rsidR="00686AFA" w14:paraId="530624F8" w14:textId="77777777" w:rsidTr="00016F6B">
        <w:tc>
          <w:tcPr>
            <w:tcW w:w="1287" w:type="dxa"/>
            <w:tcBorders>
              <w:top w:val="single" w:sz="8" w:space="0" w:color="000000"/>
              <w:left w:val="single" w:sz="8" w:space="0" w:color="000000"/>
              <w:bottom w:val="single" w:sz="8" w:space="0" w:color="000000"/>
              <w:right w:val="single" w:sz="8" w:space="0" w:color="000000"/>
            </w:tcBorders>
            <w:shd w:val="clear" w:color="auto" w:fill="auto"/>
          </w:tcPr>
          <w:p w14:paraId="67C6D525" w14:textId="77777777" w:rsidR="00686AFA" w:rsidRDefault="00686AFA" w:rsidP="00016F6B">
            <w:pPr>
              <w:pStyle w:val="LO-normal"/>
              <w:widowControl w:val="0"/>
              <w:spacing w:line="240" w:lineRule="auto"/>
              <w:rPr>
                <w:b/>
                <w:sz w:val="20"/>
                <w:szCs w:val="20"/>
              </w:rPr>
            </w:pPr>
            <w:r>
              <w:rPr>
                <w:b/>
                <w:sz w:val="20"/>
                <w:szCs w:val="20"/>
              </w:rPr>
              <w:t>Process/ property of interest</w:t>
            </w:r>
          </w:p>
        </w:tc>
        <w:tc>
          <w:tcPr>
            <w:tcW w:w="1392" w:type="dxa"/>
            <w:tcBorders>
              <w:top w:val="single" w:sz="8" w:space="0" w:color="000000"/>
              <w:left w:val="single" w:sz="8" w:space="0" w:color="000000"/>
              <w:bottom w:val="single" w:sz="8" w:space="0" w:color="000000"/>
              <w:right w:val="single" w:sz="8" w:space="0" w:color="000000"/>
            </w:tcBorders>
            <w:shd w:val="clear" w:color="auto" w:fill="auto"/>
          </w:tcPr>
          <w:p w14:paraId="51EBE407" w14:textId="77777777" w:rsidR="00686AFA" w:rsidRDefault="00686AFA" w:rsidP="00016F6B">
            <w:pPr>
              <w:pStyle w:val="LO-normal"/>
              <w:widowControl w:val="0"/>
              <w:spacing w:line="240" w:lineRule="auto"/>
              <w:rPr>
                <w:b/>
                <w:sz w:val="20"/>
                <w:szCs w:val="20"/>
              </w:rPr>
            </w:pPr>
            <w:r>
              <w:rPr>
                <w:b/>
                <w:sz w:val="20"/>
                <w:szCs w:val="20"/>
              </w:rPr>
              <w:t>Simulation technique</w:t>
            </w:r>
          </w:p>
        </w:tc>
        <w:tc>
          <w:tcPr>
            <w:tcW w:w="2908" w:type="dxa"/>
            <w:tcBorders>
              <w:top w:val="single" w:sz="8" w:space="0" w:color="000000"/>
              <w:left w:val="single" w:sz="8" w:space="0" w:color="000000"/>
              <w:bottom w:val="single" w:sz="8" w:space="0" w:color="000000"/>
              <w:right w:val="single" w:sz="8" w:space="0" w:color="000000"/>
            </w:tcBorders>
            <w:shd w:val="clear" w:color="auto" w:fill="auto"/>
          </w:tcPr>
          <w:p w14:paraId="6197B67C" w14:textId="77777777" w:rsidR="00686AFA" w:rsidRDefault="00686AFA" w:rsidP="00016F6B">
            <w:pPr>
              <w:pStyle w:val="LO-normal"/>
              <w:widowControl w:val="0"/>
              <w:spacing w:line="240" w:lineRule="auto"/>
              <w:rPr>
                <w:b/>
                <w:sz w:val="20"/>
                <w:szCs w:val="20"/>
              </w:rPr>
            </w:pPr>
            <w:r>
              <w:rPr>
                <w:b/>
                <w:sz w:val="20"/>
                <w:szCs w:val="20"/>
              </w:rPr>
              <w:t>Description</w:t>
            </w:r>
          </w:p>
        </w:tc>
        <w:tc>
          <w:tcPr>
            <w:tcW w:w="4004" w:type="dxa"/>
            <w:tcBorders>
              <w:top w:val="single" w:sz="8" w:space="0" w:color="000000"/>
              <w:left w:val="single" w:sz="8" w:space="0" w:color="000000"/>
              <w:bottom w:val="single" w:sz="8" w:space="0" w:color="000000"/>
              <w:right w:val="single" w:sz="8" w:space="0" w:color="000000"/>
            </w:tcBorders>
            <w:shd w:val="clear" w:color="auto" w:fill="auto"/>
          </w:tcPr>
          <w:p w14:paraId="14409A00" w14:textId="77777777" w:rsidR="00686AFA" w:rsidRDefault="00686AFA" w:rsidP="00016F6B">
            <w:pPr>
              <w:pStyle w:val="LO-normal"/>
              <w:widowControl w:val="0"/>
              <w:spacing w:line="240" w:lineRule="auto"/>
              <w:rPr>
                <w:b/>
                <w:sz w:val="20"/>
                <w:szCs w:val="20"/>
              </w:rPr>
            </w:pPr>
            <w:r>
              <w:rPr>
                <w:b/>
                <w:sz w:val="20"/>
                <w:szCs w:val="20"/>
              </w:rPr>
              <w:t>Considerations for AMPs</w:t>
            </w:r>
          </w:p>
        </w:tc>
        <w:tc>
          <w:tcPr>
            <w:tcW w:w="699" w:type="dxa"/>
            <w:tcBorders>
              <w:top w:val="single" w:sz="8" w:space="0" w:color="000000"/>
              <w:left w:val="single" w:sz="8" w:space="0" w:color="000000"/>
              <w:bottom w:val="single" w:sz="8" w:space="0" w:color="000000"/>
              <w:right w:val="single" w:sz="8" w:space="0" w:color="000000"/>
            </w:tcBorders>
            <w:shd w:val="clear" w:color="auto" w:fill="auto"/>
          </w:tcPr>
          <w:p w14:paraId="0D60BB82" w14:textId="77777777" w:rsidR="00686AFA" w:rsidRDefault="00686AFA" w:rsidP="00016F6B">
            <w:pPr>
              <w:pStyle w:val="LO-normal"/>
              <w:widowControl w:val="0"/>
              <w:spacing w:line="240" w:lineRule="auto"/>
              <w:rPr>
                <w:b/>
                <w:sz w:val="20"/>
                <w:szCs w:val="20"/>
              </w:rPr>
            </w:pPr>
            <w:r>
              <w:rPr>
                <w:b/>
                <w:sz w:val="20"/>
                <w:szCs w:val="20"/>
              </w:rPr>
              <w:t>Refs.</w:t>
            </w:r>
          </w:p>
        </w:tc>
      </w:tr>
      <w:tr w:rsidR="00686AFA" w14:paraId="2F5B3C63" w14:textId="77777777" w:rsidTr="00016F6B">
        <w:trPr>
          <w:trHeight w:val="420"/>
        </w:trPr>
        <w:tc>
          <w:tcPr>
            <w:tcW w:w="1287"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2DC52785" w14:textId="77777777" w:rsidR="00686AFA" w:rsidRDefault="00686AFA" w:rsidP="00016F6B">
            <w:pPr>
              <w:pStyle w:val="LO-normal"/>
              <w:widowControl w:val="0"/>
              <w:spacing w:line="240" w:lineRule="auto"/>
              <w:rPr>
                <w:sz w:val="20"/>
                <w:szCs w:val="20"/>
              </w:rPr>
            </w:pPr>
            <w:r>
              <w:rPr>
                <w:sz w:val="20"/>
                <w:szCs w:val="20"/>
              </w:rPr>
              <w:t>Peptide secondary structure</w:t>
            </w:r>
          </w:p>
        </w:tc>
        <w:tc>
          <w:tcPr>
            <w:tcW w:w="1392" w:type="dxa"/>
            <w:tcBorders>
              <w:top w:val="single" w:sz="8" w:space="0" w:color="000000"/>
              <w:left w:val="single" w:sz="8" w:space="0" w:color="000000"/>
              <w:bottom w:val="single" w:sz="8" w:space="0" w:color="000000"/>
              <w:right w:val="single" w:sz="8" w:space="0" w:color="000000"/>
            </w:tcBorders>
            <w:shd w:val="clear" w:color="auto" w:fill="auto"/>
          </w:tcPr>
          <w:p w14:paraId="7F89E298" w14:textId="77777777" w:rsidR="00686AFA" w:rsidRDefault="00686AFA" w:rsidP="00016F6B">
            <w:pPr>
              <w:pStyle w:val="LO-normal"/>
              <w:widowControl w:val="0"/>
              <w:spacing w:line="240" w:lineRule="auto"/>
              <w:rPr>
                <w:sz w:val="20"/>
                <w:szCs w:val="20"/>
              </w:rPr>
            </w:pPr>
            <w:r>
              <w:rPr>
                <w:sz w:val="20"/>
                <w:szCs w:val="20"/>
              </w:rPr>
              <w:t xml:space="preserve">Conventional atomistic molecular </w:t>
            </w:r>
            <w:r>
              <w:rPr>
                <w:sz w:val="20"/>
                <w:szCs w:val="20"/>
              </w:rPr>
              <w:lastRenderedPageBreak/>
              <w:t>dynamics (MD)</w:t>
            </w:r>
          </w:p>
        </w:tc>
        <w:tc>
          <w:tcPr>
            <w:tcW w:w="2908" w:type="dxa"/>
            <w:tcBorders>
              <w:top w:val="single" w:sz="8" w:space="0" w:color="000000"/>
              <w:left w:val="single" w:sz="8" w:space="0" w:color="000000"/>
              <w:bottom w:val="single" w:sz="8" w:space="0" w:color="000000"/>
              <w:right w:val="single" w:sz="8" w:space="0" w:color="000000"/>
            </w:tcBorders>
            <w:shd w:val="clear" w:color="auto" w:fill="auto"/>
          </w:tcPr>
          <w:p w14:paraId="67C6D3C8" w14:textId="77777777" w:rsidR="00686AFA" w:rsidRDefault="00686AFA" w:rsidP="00016F6B">
            <w:pPr>
              <w:pStyle w:val="LO-normal"/>
              <w:widowControl w:val="0"/>
              <w:spacing w:line="240" w:lineRule="auto"/>
              <w:rPr>
                <w:sz w:val="20"/>
                <w:szCs w:val="20"/>
              </w:rPr>
            </w:pPr>
            <w:r>
              <w:rPr>
                <w:sz w:val="20"/>
                <w:szCs w:val="20"/>
              </w:rPr>
              <w:lastRenderedPageBreak/>
              <w:t xml:space="preserve">Calculation of the dynamic evolution of atoms based on a force field potential </w:t>
            </w:r>
            <w:r>
              <w:rPr>
                <w:sz w:val="20"/>
                <w:szCs w:val="20"/>
              </w:rPr>
              <w:lastRenderedPageBreak/>
              <w:t>and Newton’s 2nd law of motion.</w:t>
            </w:r>
          </w:p>
        </w:tc>
        <w:tc>
          <w:tcPr>
            <w:tcW w:w="4004" w:type="dxa"/>
            <w:tcBorders>
              <w:top w:val="single" w:sz="8" w:space="0" w:color="000000"/>
              <w:left w:val="single" w:sz="8" w:space="0" w:color="000000"/>
              <w:bottom w:val="single" w:sz="8" w:space="0" w:color="000000"/>
              <w:right w:val="single" w:sz="8" w:space="0" w:color="000000"/>
            </w:tcBorders>
            <w:shd w:val="clear" w:color="auto" w:fill="auto"/>
          </w:tcPr>
          <w:p w14:paraId="51B79585" w14:textId="77777777" w:rsidR="00686AFA" w:rsidRDefault="00686AFA" w:rsidP="00016F6B">
            <w:pPr>
              <w:pStyle w:val="LO-normal"/>
              <w:widowControl w:val="0"/>
              <w:numPr>
                <w:ilvl w:val="0"/>
                <w:numId w:val="12"/>
              </w:numPr>
              <w:spacing w:line="240" w:lineRule="auto"/>
              <w:ind w:left="432"/>
              <w:rPr>
                <w:sz w:val="20"/>
                <w:szCs w:val="20"/>
              </w:rPr>
            </w:pPr>
            <w:r>
              <w:rPr>
                <w:sz w:val="20"/>
                <w:szCs w:val="20"/>
              </w:rPr>
              <w:lastRenderedPageBreak/>
              <w:t xml:space="preserve">Can be used to monitor conformational stability of experimental peptide structures </w:t>
            </w:r>
            <w:r>
              <w:rPr>
                <w:sz w:val="20"/>
                <w:szCs w:val="20"/>
              </w:rPr>
              <w:lastRenderedPageBreak/>
              <w:t>in solution or interacting with membrane models</w:t>
            </w:r>
          </w:p>
          <w:p w14:paraId="0AEFDE72" w14:textId="77777777" w:rsidR="00686AFA" w:rsidRDefault="00686AFA" w:rsidP="00016F6B">
            <w:pPr>
              <w:pStyle w:val="LO-normal"/>
              <w:widowControl w:val="0"/>
              <w:numPr>
                <w:ilvl w:val="0"/>
                <w:numId w:val="12"/>
              </w:numPr>
              <w:spacing w:line="240" w:lineRule="auto"/>
              <w:ind w:left="432"/>
              <w:rPr>
                <w:sz w:val="20"/>
                <w:szCs w:val="20"/>
              </w:rPr>
            </w:pPr>
            <w:r>
              <w:rPr>
                <w:sz w:val="20"/>
                <w:szCs w:val="20"/>
              </w:rPr>
              <w:t>May not be able to capture slow folding events due to the long simulation times required to overcome the associated energy barriers</w:t>
            </w:r>
          </w:p>
          <w:p w14:paraId="2F3567B3" w14:textId="77777777" w:rsidR="00686AFA" w:rsidRDefault="00686AFA" w:rsidP="00016F6B">
            <w:pPr>
              <w:pStyle w:val="LO-normal"/>
              <w:widowControl w:val="0"/>
              <w:numPr>
                <w:ilvl w:val="0"/>
                <w:numId w:val="12"/>
              </w:numPr>
              <w:spacing w:line="240" w:lineRule="auto"/>
              <w:ind w:left="432"/>
              <w:rPr>
                <w:sz w:val="20"/>
                <w:szCs w:val="20"/>
              </w:rPr>
            </w:pPr>
            <w:r>
              <w:rPr>
                <w:sz w:val="20"/>
                <w:szCs w:val="20"/>
              </w:rPr>
              <w:t>Multiple simulation repeats may be required to increase statistical significance</w:t>
            </w:r>
          </w:p>
        </w:tc>
        <w:tc>
          <w:tcPr>
            <w:tcW w:w="699" w:type="dxa"/>
            <w:tcBorders>
              <w:top w:val="single" w:sz="8" w:space="0" w:color="000000"/>
              <w:left w:val="single" w:sz="8" w:space="0" w:color="000000"/>
              <w:bottom w:val="single" w:sz="8" w:space="0" w:color="000000"/>
              <w:right w:val="single" w:sz="8" w:space="0" w:color="000000"/>
            </w:tcBorders>
            <w:shd w:val="clear" w:color="auto" w:fill="auto"/>
          </w:tcPr>
          <w:p w14:paraId="2ED7FEEB" w14:textId="74FB9AA2" w:rsidR="00686AFA" w:rsidRDefault="00686AFA" w:rsidP="00A313B9">
            <w:pPr>
              <w:pStyle w:val="LO-normal"/>
              <w:widowControl w:val="0"/>
              <w:spacing w:line="240" w:lineRule="auto"/>
            </w:pPr>
            <w:r>
              <w:lastRenderedPageBreak/>
              <w:fldChar w:fldCharType="begin" w:fldLock="1"/>
            </w:r>
            <w:r w:rsidR="00576689">
              <w:instrText>ADDIN CSL_CITATION {"citationItems":[{"id":"ITEM-1","itemData":{"author":[{"dropping-particle":"","family":"Leach","given":"Andrew R.","non-dropping-particle":"","parse-names":false,"suffix":""}],"edition":"2nd Ed.","id":"ITEM-1","issued":{"date-parts":[["2001"]]},"publisher":"Prentice Hall","publisher-place":"Upper Saddle River, NJ","title":"Molecular modelling: principles and applications","type":"book"},"uris":["http://www.mendeley.com/documents/?uuid=af7b1364-a1c4-385d-a1ba-e1c16e144d2c"]},{"id":"ITEM-2","itemData":{"DOI":"10.1021/acschembio.9b00047","ISSN":"15548937","PMID":"30830745","abstract":"Herein, we report X-ray crystal structures of 11-13 residue antimicrobial peptides (AMPs) active against Pseudomonas aeruginosa as complexes of fucosylated d-enantiomeric sequences with the P. aeruginosa lectin LecB. These represent the first crystal structures of short AMPs. In 24 individual structures of eight different peptides, we found mostly α-helices assembled as two-helix or four-helix bundles with a hydrophobic core and cationic residues pointing outside. Two of the analogs formed an extended structure engaging in multiple contacts with the lectin. Molecular dynamics (MD) simulations showed that α-helices are stabilized by bundle formation and suggested that the N-terminal acyl group present in the linker to the fucosyl group can extend the helix by one additional H-bond and increase α-helix amphiphilicity. Investigating N-terminal acylation led to AMPs with equivalent and partly stronger antibacterial effects compared to the free peptide.","author":[{"dropping-particle":"","family":"Baeriswyl","given":"Stéphane","non-dropping-particle":"","parse-names":false,"suffix":""},{"dropping-particle":"","family":"Gan","given":"Bee Ha","non-dropping-particle":"","parse-names":false,"suffix":""},{"dropping-particle":"","family":"Siriwardena","given":"Thissa N.","non-dropping-particle":"","parse-names":false,"suffix":""},{"dropping-particle":"","family":"Visini","given":"Ricardo","non-dropping-particle":"","parse-names":false,"suffix":""},{"dropping-particle":"","family":"Robadey","given":"Maurane","non-dropping-particle":"","parse-names":false,"suffix":""},{"dropping-particle":"","family":"Javor","given":"Sacha","non-dropping-particle":"","parse-names":false,"suffix":""},{"dropping-particle":"","family":"Stocker","given":"Achim","non-dropping-particle":"","parse-names":false,"suffix":""},{"dropping-particle":"","family":"Darbre","given":"Tamis","non-dropping-particle":"","parse-names":false,"suffix":""},{"dropping-particle":"","family":"Reymond","given":"Jean Louis","non-dropping-particle":"","parse-names":false,"suffix":""}],"container-title":"ACS Chemical Biology","id":"ITEM-2","issue":"4","issued":{"date-parts":[["2019","4","19"]]},"page":"758-766","publisher":"American Chemical Society","title":"X-ray Crystal Structures of Short Antimicrobial Peptides as Pseudomonas aeruginosa Lectin B Complexes","type":"article-journal","volume":"14"},"uris":["http://www.mendeley.com/documents/?uuid=f66d8b86-f0c9-3269-87d8-ccbc63354fad"]},{"id":"ITEM-3","itemData":{"DOI":"10.1007/s00249-019-01346-7","ISSN":"14321017","PMID":"30734844","abstract":"Maximin 3 is a 27-residue-long cationic antimicrobial peptide found in the skin secretion and brain of the Chinese red-belly toad Bombina maxima. The peptide is of biological interest as it possesses anti-HIV activity, not found in the other maximin peptides, in addition to antimicrobial, antitumor and spermicidal activities. The three-dimensional structure of maximin 3 was obtained in a 50/50% water/2,2,2-trifluoroethanol-d 3 mixture using two-dimensional NMR spectroscopy. Maximin 3 was found to adopt an α-helical structure from residue G1 to A22, and a coil structure with a helical propensity in the C-terminal tail. The peptide is amphipathic, showing a clear separation between polar and hydrophobic residues. Interactions with sodium dodecyl sulfate micelles, a widely used bacterial membrane-mimicking environment, were modeled using molecular dynamics simulations. The peptide maintained an α-helical conformation, occasionally displaying a flexibility around residues G9 and G16, which is likely responsible for the peptide’s low haemolytic activity. It is found to preferentially adopt a position parallel to the micellar surface, establishing a number of hydrophobic and electrostatic interactions with it.","author":[{"dropping-particle":"","family":"Benetti","given":"Silvia","non-dropping-particle":"","parse-names":false,"suffix":""},{"dropping-particle":"","family":"Timmons","given":"Patrick Brendan","non-dropping-particle":"","parse-names":false,"suffix":""},{"dropping-particle":"","family":"Hewage","given":"Chandralal M.","non-dropping-particle":"","parse-names":false,"suffix":""}],"container-title":"European Biophysics Journal","id":"ITEM-3","issue":"2","issued":{"date-parts":[["2019","3","4"]]},"page":"203-212","publisher":"Springer Verlag","title":"NMR model structure of the antimicrobial peptide maximin 3","type":"article-journal","volume":"48"},"uris":["http://www.mendeley.com/documents/?uuid=e484f10f-5a1e-3649-8e53-8b03c0ccd452"]},{"id":"ITEM-4","itemData":{"DOI":"10.3390/ijms19041186","ISSN":"14220067","PMID":"29652823","abstract":"Cathelicidins are a large family of cationic antimicrobial peptides (AMPs) found in mammals with broad spectrum antimicrobial activity. LL-37 is the sole amphipathic α-helical AMP from human Cathelicidins family. In addition to its bactericidal capability, LL-37 has antiviral, anti-tumor, and immunoregulatory activity. Despite many experimental studies, its molecular mechanism of action is not yet fully understood. Here, we performed three independent molecular dynamics simulations (600 ns or more) of a LL-37 peptide in the presence of 256 lipid bilayers with 1-palmitoyl-2-oleoyl-sn-glycero-3-phosphoglycerol (POPG) mimicking bacterial and 1-palmitoyl-2-oleoyl-sn-glycero-3-phosphocholine (POPC) mimicking mammalian membranes. We found that LL-37 can be quickly absorbed onto the POPG bilayer without loss of its helical conformation in the core region and with the helix lying in parallel to the bilayer. The POPG bilayer was deformed. In contrast, LL-37 is slower in reaching the POPC surface and loss much of its helical conformation during the interaction with the bilayer. LL-37 only partially entered the POPC bilayer without significant deformation of the membrane. The observed difference for different bilayers is largely due to the fact that LL-37 is positively charged, POPG is negatively charged, and POPC is neutral. Our simulation results demonstrated the initial stage of disruption of the bacterial membrane by LL-37 in atomic details. Comparison to experimental results on LL-37 and simulation studies in other systems was made.","author":[{"dropping-particle":"","family":"Zhao","given":"Liling","non-dropping-particle":"","parse-names":false,"suffix":""},{"dropping-particle":"","family":"Cao","given":"Zanxia","non-dropping-particle":"","parse-names":false,"suffix":""},{"dropping-particle":"","family":"Bian","given":"Yunqiang","non-dropping-particle":"","parse-names":false,"suffix":""},{"dropping-particle":"","family":"Hu","given":"Guodong","non-dropping-particle":"","parse-names":false,"suffix":""},{"dropping-particle":"","family":"Wang","given":"Jihua","non-dropping-particle":"","parse-names":false,"suffix":""},{"dropping-particle":"","family":"Zhou","given":"Yaoqi","non-dropping-particle":"","parse-names":false,"suffix":""}],"container-title":"International Journal of Molecular Sciences","id":"ITEM-4","issue":"4","issued":{"date-parts":[["2018","4","13"]]},"publisher":"MDPI AG","title":"Molecular dynamics simulations of human antimicrobial peptide LL-37 in model POPC and POPG lipid bilayers","type":"article-journal","volume":"19"},"uris":["http://www.mendeley.com/documents/?uuid=74f716af-c869-3a93-bf70-b5ebc186adcb"]},{"id":"ITEM-5","itemData":{"DOI":"10.1038/s41598-018-37630-3","ISSN":"20452322","PMID":"30718667","abstract":"Antimicrobial peptides (AMPs) are a potential source of new molecules to counter the increase in antimicrobial resistant infections but a better understanding of their properties is required to understand their native function and for effective translation as therapeutics. Details of the mechanism of their interaction with the bacterial plasma membrane are desired since damage or penetration of this structure is considered essential for AMPs activity. Relatively modest modifications to AMPs primary sequence can induce substantial changes in potency and/or spectrum of activity but, hitherto, have not been predicted to substantially alter the mechanism of interaction with the bacterial plasma membrane. Here we use a combination of molecular dynamics simulations, circular dichroism, solid-state NMR and patch clamp to investigate the extent to which temporin B and its analogues can be distinguished both in vitro and in silico on the basis of their interactions with model membranes. Enhancing the hydrophobicity of the N-terminus and cationicity of the C-terminus in temporin B improves its membrane activity and potency against both Gram-negative and Gram-positive bacteria. In contrast, enhancing the cationicity of the N-terminus abrogates its ability to trigger channel conductance and renders it ineffective against Gram-positive bacteria while nevertheless enhancing its potency against Escherichia coli. Our findings suggest even closely related AMPs may target the same bacterium with fundamentally differing mechanisms of action.","author":[{"dropping-particle":"","family":"Manzo","given":"Giorgia","non-dropping-particle":"","parse-names":false,"suffix":""},{"dropping-particle":"","family":"Ferguson","given":"Philip M.","non-dropping-particle":"","parse-names":false,"suffix":""},{"dropping-particle":"","family":"Gustilo","given":"V. Benjamin","non-dropping-particle":"","parse-names":false,"suffix":""},{"dropping-particle":"","family":"Hind","given":"Charlotte K.","non-dropping-particle":"","parse-names":false,"suffix":""},{"dropping-particle":"","family":"Clifford","given":"Melanie","non-dropping-particle":"","parse-names":false,"suffix":""},{"dropping-particle":"","family":"Bui","given":"Tam T.","non-dropping-particle":"","parse-names":false,"suffix":""},{"dropping-particle":"","family":"Drake","given":"Alex F.","non-dropping-particle":"","parse-names":false,"suffix":""},{"dropping-particle":"","family":"Atkinson","given":"R. Andrew","non-dropping-particle":"","parse-names":false,"suffix":""},{"dropping-particle":"","family":"Sutton","given":"J. Mark","non-dropping-particle":"","parse-names":false,"suffix":""},{"dropping-particle":"","family":"Batoni","given":"Giovanna","non-dropping-particle":"","parse-names":false,"suffix":""},{"dropping-particle":"","family":"Lorenz","given":"Christian D.","non-dropping-particle":"","parse-names":false,"suffix":""},{"dropping-particle":"","family":"Phoenix","given":"David A.","non-dropping-particle":"","parse-names":false,"suffix":""},{"dropping-particle":"","family":"James Mason","given":"A.","non-dropping-particle":"","parse-names":false,"suffix":""}],"container-title":"Scientific Reports","id":"ITEM-5","issue":"1","issued":{"date-parts":[["2019","2","4"]]},"page":"1-16","publisher":"Nature Publishing Group","title":"Minor sequence modifications in temporin B cause drastic changes in antibacterial potency and selectivity by fundamentally altering membrane activity","type":"article-journal","volume":"9"},"uris":["http://www.mendeley.com/documents/?uuid=ba0a81d8-aedd-38f7-9c54-37544b375d23"]},{"id":"ITEM-6","itemData":{"DOI":"10.1016/j.bpc.2019.02.005","ISSN":"18734200","PMID":"30836162","abstract":"New ideas and methods are being developed to generate highly designable small functional protein folds beyond the confines of natural structures, from secondary to quaternary level. Highly designable folds can have multiple sequence solutions, which are thermodynamically and kinetically stable. We have previously described how short syndiotactic helices can be exceptionally stable energetically, and how they can be used as a template for designing antibacterial agents. In this work, we have designed four syndiotactic, single turn, amphipathic; cationic 7-mer peptides which are the sequence and structural subset of earlier published 12-mer sequences. We examined the stability of the designed structures and its effects on the biological activity of such short peptide sequences. This was achieved by making objective comparisons between 12-mer and 7-mer sequences in terms of their antibacterial activity. Further, we investigated the mechanistic origins of clearly different bactericidal potency of single (7-mer) and double (12-mer) turn syndiotactic helices using molecular dynamics simulations. Our results suggest that conformationally constrained stable short double turn peptide scaffolds are highly designable, whereas single turn structures are more likely to be disordered. The stability of the designed peptide structure provides a platform for inclusion of multiple sequence variables and defined electrostatic fingerprints. Therefore, a stable peptide scaffold along with pre-defined electrostatic signatures can together be utilized for the design of novel antimicrobial peptides.","author":[{"dropping-particle":"","family":"Hazam","given":"Prakash Kishore","non-dropping-particle":"","parse-names":false,"suffix":""},{"dropping-particle":"","family":"Akhil","given":"R.","non-dropping-particle":"","parse-names":false,"suffix":""},{"dropping-particle":"","family":"Jerath","given":"Gaurav","non-dropping-particle":"","parse-names":false,"suffix":""},{"dropping-particle":"","family":"Saikia","given":"Jahnu","non-dropping-particle":"","parse-names":false,"suffix":""},{"dropping-particle":"","family":"Ramakrishnan","given":"Vibin","non-dropping-particle":"","parse-names":false,"suffix":""}],"container-title":"Biophysical Chemistry","id":"ITEM-6","issued":{"date-parts":[["2019","5","1"]]},"page":"1-8","publisher":"Elsevier B.V.","title":"Topological effects on the designability and bactericidal potency of antimicrobial peptides","type":"article-journal","volume":"248"},"uris":["http://www.mendeley.com/documents/?uuid=9290c746-ddb7-36bf-8631-ff7fde20b2c1"]},{"id":"ITEM-7","itemData":{"DOI":"10.1016/j.jsb.2018.10.003","ISSN":"10958657","PMID":"30336202","abstract":"Structural characterization of BMAP-28(1–18), a potent bovine myeloid antimicrobial peptide can aid in understanding its mechanism of action at molecular level. We report NMR structure of the BMAP-28(1–18) and its mutated analogue mutBMAP18 in SDS micelles. Structural comparison of the peptides bound to SDS micelles and POPE-POPG vesicles using circular dichroism, suggest that structures in the two lipid preparations are similar. Antimicrobial assays show that even though both these peptides adopt helical conformation, BMAP-28(1–18) is more potent than mutBMAP18 in killing bacterial cells. Our EM images clearly indicate that the peptides target the bacterial cell membrane resulting in leakage of its contents. The structural basis for difference in activity between these peptides was investigated by molecular dynamics simulations. Inability of the mutBMAP18 to retain its helical structure in presence of POPE:POPG membrane as opposed to the BMAP-28(1–18) at identical peptide/lipid ratios could be responsible for its decreased activity. Residues Ser5, Arg8 and Arg12 of the BMAP-28(1–18) are crucial for its initial anchoring to the bilayer. We conclude that along with amphipathicity, a stable secondary structure that can promote/initiate membrane anchoring is key in determining membrane destabilization potential of these AMPs. Our findings are a step towards understanding the role of specific residues in antimicrobial activity of BMAP-28(1–18), which will facilitate design of smaller, cost-effective therapeutics and would also help prediction algorithms to expedite screening out variants of the parent peptide with greater accuracy.","author":[{"dropping-particle":"","family":"Agadi","given":"Nutan","non-dropping-particle":"","parse-names":false,"suffix":""},{"dropping-particle":"","family":"Vasudevan","given":"Sheeja","non-dropping-particle":"","parse-names":false,"suffix":""},{"dropping-particle":"","family":"Kumar","given":"Ashutosh","non-dropping-particle":"","parse-names":false,"suffix":""}],"container-title":"Journal of Structural Biology","id":"ITEM-7","issue":"3","issued":{"date-parts":[["2018","12","1"]]},"page":"435-448","publisher":"Academic Press Inc.","title":"Structural insight into the mechanism of action of antimicrobial peptide BMAP-28(1–18) and its analogue mutBMAP18","type":"article-journal","volume":"204"},"uris":["http://www.mendeley.com/documents/?uuid=15f17575-a33f-3cb2-bf67-415ea65747fd"]}],"mendeley":{"formattedCitation":"&lt;sup&gt;49,53,209,213–216&lt;/sup&gt;","plainTextFormattedCitation":"49,53,209,213–216","previouslyFormattedCitation":"&lt;sup&gt;49,53,209,213–216&lt;/sup&gt;"},"properties":{"noteIndex":0},"schema":"https://github.com/citation-style-language/schema/raw/master/csl-citation.json"}</w:instrText>
            </w:r>
            <w:r>
              <w:fldChar w:fldCharType="separate"/>
            </w:r>
            <w:r w:rsidR="00A313B9" w:rsidRPr="00A313B9">
              <w:rPr>
                <w:noProof/>
                <w:vertAlign w:val="superscript"/>
              </w:rPr>
              <w:t>49,53,209,213–216</w:t>
            </w:r>
            <w:r>
              <w:fldChar w:fldCharType="end"/>
            </w:r>
          </w:p>
        </w:tc>
      </w:tr>
      <w:tr w:rsidR="00686AFA" w14:paraId="153B21F8" w14:textId="77777777" w:rsidTr="00016F6B">
        <w:trPr>
          <w:trHeight w:val="420"/>
        </w:trPr>
        <w:tc>
          <w:tcPr>
            <w:tcW w:w="1287" w:type="dxa"/>
            <w:vMerge/>
            <w:tcBorders>
              <w:top w:val="single" w:sz="8" w:space="0" w:color="000000"/>
              <w:left w:val="single" w:sz="8" w:space="0" w:color="000000"/>
              <w:bottom w:val="single" w:sz="8" w:space="0" w:color="000000"/>
              <w:right w:val="single" w:sz="8" w:space="0" w:color="000000"/>
            </w:tcBorders>
            <w:shd w:val="clear" w:color="auto" w:fill="auto"/>
          </w:tcPr>
          <w:p w14:paraId="5A287296" w14:textId="77777777" w:rsidR="00686AFA" w:rsidRDefault="00686AFA" w:rsidP="00016F6B"/>
        </w:tc>
        <w:tc>
          <w:tcPr>
            <w:tcW w:w="1392" w:type="dxa"/>
            <w:tcBorders>
              <w:top w:val="single" w:sz="8" w:space="0" w:color="000000"/>
              <w:left w:val="single" w:sz="8" w:space="0" w:color="000000"/>
              <w:bottom w:val="single" w:sz="8" w:space="0" w:color="000000"/>
              <w:right w:val="single" w:sz="8" w:space="0" w:color="000000"/>
            </w:tcBorders>
            <w:shd w:val="clear" w:color="auto" w:fill="auto"/>
          </w:tcPr>
          <w:p w14:paraId="5CC0CF6A" w14:textId="77777777" w:rsidR="00686AFA" w:rsidRDefault="00686AFA" w:rsidP="00016F6B">
            <w:pPr>
              <w:pStyle w:val="LO-normal"/>
              <w:widowControl w:val="0"/>
              <w:spacing w:line="240" w:lineRule="auto"/>
              <w:rPr>
                <w:sz w:val="20"/>
                <w:szCs w:val="20"/>
              </w:rPr>
            </w:pPr>
            <w:r>
              <w:rPr>
                <w:sz w:val="20"/>
                <w:szCs w:val="20"/>
              </w:rPr>
              <w:t>Replica exchange approaches</w:t>
            </w:r>
          </w:p>
        </w:tc>
        <w:tc>
          <w:tcPr>
            <w:tcW w:w="2908" w:type="dxa"/>
            <w:tcBorders>
              <w:top w:val="single" w:sz="8" w:space="0" w:color="000000"/>
              <w:left w:val="single" w:sz="8" w:space="0" w:color="000000"/>
              <w:bottom w:val="single" w:sz="8" w:space="0" w:color="000000"/>
              <w:right w:val="single" w:sz="8" w:space="0" w:color="000000"/>
            </w:tcBorders>
            <w:shd w:val="clear" w:color="auto" w:fill="auto"/>
          </w:tcPr>
          <w:p w14:paraId="6BE1F710" w14:textId="77777777" w:rsidR="00686AFA" w:rsidRDefault="00686AFA" w:rsidP="00016F6B">
            <w:pPr>
              <w:pStyle w:val="LO-normal"/>
              <w:widowControl w:val="0"/>
              <w:spacing w:line="240" w:lineRule="auto"/>
            </w:pPr>
            <w:r>
              <w:rPr>
                <w:sz w:val="20"/>
                <w:szCs w:val="20"/>
              </w:rPr>
              <w:t>A range of enhanced sampling techniques used to increase the conformational sampling achieved by MD. Multiple replicas of the system are simulated in parallel, with increasingly scaled temperatures or interaction parameters. Higher order replicas can access more areas of the energy landscape, while the base replica samples from an unbiased canonical ensemble. Coordinates are exchanged between replicas based on an acceptance test, meaning that the base replica is able to “jump” over energy barriers into new minima.</w:t>
            </w:r>
          </w:p>
        </w:tc>
        <w:tc>
          <w:tcPr>
            <w:tcW w:w="4004" w:type="dxa"/>
            <w:tcBorders>
              <w:top w:val="single" w:sz="8" w:space="0" w:color="000000"/>
              <w:left w:val="single" w:sz="8" w:space="0" w:color="000000"/>
              <w:bottom w:val="single" w:sz="8" w:space="0" w:color="000000"/>
              <w:right w:val="single" w:sz="8" w:space="0" w:color="000000"/>
            </w:tcBorders>
            <w:shd w:val="clear" w:color="auto" w:fill="auto"/>
          </w:tcPr>
          <w:p w14:paraId="56D00DAF" w14:textId="77777777" w:rsidR="00686AFA" w:rsidRDefault="00686AFA" w:rsidP="00016F6B">
            <w:pPr>
              <w:pStyle w:val="LO-normal"/>
              <w:widowControl w:val="0"/>
              <w:numPr>
                <w:ilvl w:val="0"/>
                <w:numId w:val="3"/>
              </w:numPr>
              <w:spacing w:line="240" w:lineRule="auto"/>
              <w:ind w:left="432"/>
              <w:rPr>
                <w:sz w:val="20"/>
                <w:szCs w:val="20"/>
              </w:rPr>
            </w:pPr>
            <w:r>
              <w:rPr>
                <w:sz w:val="20"/>
                <w:szCs w:val="20"/>
              </w:rPr>
              <w:t>Can capture slower peptide conformational changes than conventional MD</w:t>
            </w:r>
          </w:p>
          <w:p w14:paraId="06A9C992" w14:textId="77777777" w:rsidR="00686AFA" w:rsidRDefault="00686AFA" w:rsidP="00016F6B">
            <w:pPr>
              <w:pStyle w:val="LO-normal"/>
              <w:widowControl w:val="0"/>
              <w:numPr>
                <w:ilvl w:val="0"/>
                <w:numId w:val="3"/>
              </w:numPr>
              <w:spacing w:line="240" w:lineRule="auto"/>
              <w:ind w:left="432"/>
            </w:pPr>
            <w:r>
              <w:rPr>
                <w:sz w:val="20"/>
                <w:szCs w:val="20"/>
              </w:rPr>
              <w:t xml:space="preserve">Can be used to perform </w:t>
            </w:r>
            <w:r>
              <w:rPr>
                <w:i/>
                <w:sz w:val="20"/>
                <w:szCs w:val="20"/>
              </w:rPr>
              <w:t xml:space="preserve">ab initio </w:t>
            </w:r>
            <w:r>
              <w:rPr>
                <w:sz w:val="20"/>
                <w:szCs w:val="20"/>
              </w:rPr>
              <w:t>folding of peptides, meaning the choice of starting structure is less significant</w:t>
            </w:r>
          </w:p>
          <w:p w14:paraId="3AA69518" w14:textId="77777777" w:rsidR="00686AFA" w:rsidRDefault="00686AFA" w:rsidP="00016F6B">
            <w:pPr>
              <w:pStyle w:val="LO-normal"/>
              <w:widowControl w:val="0"/>
              <w:numPr>
                <w:ilvl w:val="0"/>
                <w:numId w:val="3"/>
              </w:numPr>
              <w:spacing w:line="240" w:lineRule="auto"/>
              <w:ind w:left="432"/>
            </w:pPr>
            <w:r>
              <w:rPr>
                <w:sz w:val="20"/>
                <w:szCs w:val="20"/>
              </w:rPr>
              <w:t>Fewer simulation repeats are needed but it is still advisable to check that simulations starting from different conformations converge to the same point</w:t>
            </w:r>
          </w:p>
        </w:tc>
        <w:tc>
          <w:tcPr>
            <w:tcW w:w="699" w:type="dxa"/>
            <w:tcBorders>
              <w:top w:val="single" w:sz="8" w:space="0" w:color="000000"/>
              <w:left w:val="single" w:sz="8" w:space="0" w:color="000000"/>
              <w:bottom w:val="single" w:sz="8" w:space="0" w:color="000000"/>
              <w:right w:val="single" w:sz="8" w:space="0" w:color="000000"/>
            </w:tcBorders>
            <w:shd w:val="clear" w:color="auto" w:fill="auto"/>
          </w:tcPr>
          <w:p w14:paraId="23B29642" w14:textId="52D14399" w:rsidR="00686AFA" w:rsidRDefault="00686AFA" w:rsidP="00A313B9">
            <w:pPr>
              <w:pStyle w:val="LO-normal"/>
            </w:pPr>
            <w:r>
              <w:fldChar w:fldCharType="begin" w:fldLock="1"/>
            </w:r>
            <w:r w:rsidR="00576689">
              <w:instrText>ADDIN CSL_CITATION {"citationItems":[{"id":"ITEM-1","itemData":{"DOI":"10.1021/acs.jpcb.7b00083","ISSN":"15205207","PMID":"28294607","abstract":"Human β-defensin 2 is a cysteine-rich antimicrobial peptide. In the crystal state, the N-terminal segment (residues 1-11) exhibits a helical conformation. However, a truncated form, with four amino acids removed from the N-terminus, adopts nonhelical conformations in solution, as shown by NMR. To explore the molecular origins of these different conformations, we performed Hamiltonian replica exchange molecular dynamics simulations of the peptide in solution and in the crystal state. It is found that backbone hydration and specific protein-protein interactions are key parameters that determine the peptide conformation. The helical conformation in the crystal state mainly arises from reduced hydration as well as a salt bridge between the peptide and a symmetry-related neighboring monomer in the crystal. When the extent of hydration is reduced and the salt bridge is reintroduced artificially, the peptide is successfully folded back to the helical conformation in solution. The findings not only shed light on the development of accurate force field parameters for protein molecules but also provide practical guidance in the design of functional proteins and peptides.","author":[{"dropping-particle":"","family":"Li","given":"Jianguo","non-dropping-particle":"","parse-names":false,"suffix":""},{"dropping-particle":"","family":"Hu","given":"Zhongqiao","non-dropping-particle":"","parse-names":false,"suffix":""},{"dropping-particle":"","family":"Beuerman","given":"Roger","non-dropping-particle":"","parse-names":false,"suffix":""},{"dropping-particle":"","family":"Verma","given":"Chandra","non-dropping-particle":"","parse-names":false,"suffix":""}],"container-title":"Journal of Physical Chemistry B","id":"ITEM-1","issue":"13","issued":{"date-parts":[["2017","4","6"]]},"page":"2739-2747","publisher":"American Chemical Society","title":"Molecular Environment Modulates Conformational Differences between Crystal and Solution States of Human β-Defensin 2","type":"article-journal","volume":"121"},"uris":["http://www.mendeley.com/documents/?uuid=7d8a85db-2855-38f7-9eb6-4ac19bb22bd5"]},{"id":"ITEM-2","itemData":{"DOI":"10.1021/acs.jpcb.8b06781","ISSN":"15205207","PMID":"30114909","abstract":"Peptides are promising drug candidates with advantageous therapeutic properties. However, their inherent flexibility makes the development of structure-activity relationships difficult. Molecular dynamics simulations have been widely used to study peptide conformations, but they are limited by force field parameters. We explore the ability of nine combinations of commonly used protein, lipid, and water force field models (ff99/tip3p, ff14SB/tip3p, c22/tip3p, c22/tips3p, c36/tip3p, c36/tips3p, c36m/tip3p, c36m/tips3p, and g53a6/spc) in capturing the conformational dynamics of the antimicrobial peptide melittin between the aqueous and model membrane environments. Circular dichroism experiments of melittin displayed a structural transition from a random coil in an aqueous solution to a helix in the presence of a model membrane. Of the protein/lipid/water models that we examined, c22 with the tips3p water model correctly recapitulated the experimentally observed disordered conformations in an aqueous solution and helical conformations in the presence of the model membrane, followed by c36/tips3p. Hydration analysis revealed that the tips3p water model leads to stronger peptide-water interactions, which, in turn, better describe the solvation and its effects on conformational distributions in aqueous and membrane environments. The results of this study reveal the secondary structure preferences of various force fields and emphasize the role of hydration and microenvironment in modulating peptide conformations.","author":[{"dropping-particle":"","family":"Fox","given":"Stephen J.","non-dropping-particle":"","parse-names":false,"suffix":""},{"dropping-particle":"","family":"Lakshminarayanan","given":"Rajamani","non-dropping-particle":"","parse-names":false,"suffix":""},{"dropping-particle":"","family":"Beuerman","given":"Roger W.","non-dropping-particle":"","parse-names":false,"suffix":""},{"dropping-particle":"","family":"Li","given":"Jianguo","non-dropping-particle":"","parse-names":false,"suffix":""},{"dropping-particle":"","family":"Verma","given":"Chandra S.","non-dropping-particle":"","parse-names":false,"suffix":""}],"container-title":"Journal of Physical Chemistry B","id":"ITEM-2","issue":"37","issued":{"date-parts":[["2018","9","20"]]},"page":"8698-8705","publisher":"American Chemical Society","title":"Conformational Transitions of Melittin between Aqueous and Lipid Phases: Comparison of Simulations with Experiments","type":"article-journal","volume":"122"},"uris":["http://www.mendeley.com/documents/?uuid=60024d8e-2a24-37df-982a-d08f0aeaaf54"]},{"id":"ITEM-3","itemData":{"DOI":"10.1016/j.bbamem.2014.04.012","ISSN":"18792642","PMID":"24769159","abstract":"Unbiased molecular simulation is a powerful tool to study the atomic details driving functional structural changes or folding pathways of highly fluid systems, which present great challenges experimentally. Here we apply unbiased long-timescale molecular dynamics simulation to study the ab initio folding and partitioning of melittin, a template amphiphilic membrane active peptide. The simulations reveal that the peptide binds strongly to the lipid bilayer in an unstructured configuration. Interfacial folding results in a localized bilayer deformation. Akin to purely hydrophobic transmembrane segments the surface bound native helical conformer is highly resistant against thermal denaturation. Circular dichroism spectroscopy experiments confirm the strong binding and thermostability of the peptide. The study highlights the utility of molecular dynamics simulations for studying transient mechanisms in fluid lipid bilayer systems. This article is part of a Special Issue entitled: Interfacially Active Peptides and Proteins. Guest Editors: William C. Wimley and Kalina Hristova. © 2014 Published by Elsevier B.V.","author":[{"dropping-particle":"","family":"Chen","given":"Charles H.","non-dropping-particle":"","parse-names":false,"suffix":""},{"dropping-particle":"","family":"Wiedman","given":"Gregory","non-dropping-particle":"","parse-names":false,"suffix":""},{"dropping-particle":"","family":"Khan","given":"Ayesha","non-dropping-particle":"","parse-names":false,"suffix":""},{"dropping-particle":"","family":"Ulmschneider","given":"Martin B.","non-dropping-particle":"","parse-names":false,"suffix":""}],"container-title":"Biochimica et Biophysica Acta - Biomembranes","id":"ITEM-3","issue":"9","issued":{"date-parts":[["2014"]]},"page":"2243-2249","publisher":"Elsevier","title":"Absorption and folding of melittin onto lipid bilayer membranes via unbiased atomic detail microsecond molecular dynamics simulation","type":"article-journal","volume":"1838"},"uris":["http://www.mendeley.com/documents/?uuid=d63d9fed-df14-31a0-938f-e507e7da2459"]},{"id":"ITEM-4","itemData":{"DOI":"10.1080/00268976.2013.824126","ISSN":"0026-8976","abstract":"A simple and general implementation of Hamiltonian replica exchange for the popular molecular dynamics software GROMACS is presented. In this implementation, arbitrarily different Hamiltonians can be used for the different replicas without incurring in any significant performance penalty. The implementation was validated on a simple toy model - alanine dipeptide in water - and applied to study the rearrangement of an RNA tetraloop, where it was used to compare recently proposed force-field corrections. © 2013 Taylor &amp; Francis.","author":[{"dropping-particle":"","family":"Bussi","given":"Giovanni","non-dropping-particle":"","parse-names":false,"suffix":""}],"container-title":"Molecular Physics","id":"ITEM-4","issue":"3-4","issued":{"date-parts":[["2014","2","16"]]},"page":"379-384","publisher":"Taylor &amp; Francis","title":"Hamiltonian replica exchange in GROMACS: a flexible implementation","type":"article-journal","volume":"112"},"uris":["http://www.mendeley.com/documents/?uuid=3371409d-78fd-35d2-8b1e-c01ed3fe25f7"]},{"id":"ITEM-5","itemData":{"DOI":"10.1016/S0009-2614(99)01123-9","ISSN":"00092614","abstract":"We have developed a formulation for molecular dynamics algorithm for the replica-exchange method. The effectiveness of the method for the protein-folding problem is tested with the penta-peptide Met-enkephalin. The method can overcome the multiple-minima problem by exchanging non-interacting replicas of the system at several temperatures. From only one simulation run, one can obtain probability distributions in canonical ensemble for a wide temperature range using multiple-histogram reweighting techniques, which allows the calculation of any thermodynamic quantity as a function of temperature in that range.","author":[{"dropping-particle":"","family":"Sugita","given":"Yuji","non-dropping-particle":"","parse-names":false,"suffix":""},{"dropping-particle":"","family":"Okamoto","given":"Yuko","non-dropping-particle":"","parse-names":false,"suffix":""}],"container-title":"Chemical Physics Letters","id":"ITEM-5","issue":"1-2","issued":{"date-parts":[["1999","11","26"]]},"page":"141-151","publisher":"Elsevier","title":"Replica-exchange molecular dynamics method for protein folding","type":"article-journal","volume":"314"},"uris":["http://www.mendeley.com/documents/?uuid=32229ce2-8e2f-3bf7-b0c3-b7f61de265bd"]}],"mendeley":{"formattedCitation":"&lt;sup&gt;217–221&lt;/sup&gt;","plainTextFormattedCitation":"217–221","previouslyFormattedCitation":"&lt;sup&gt;217–221&lt;/sup&gt;"},"properties":{"noteIndex":0},"schema":"https://github.com/citation-style-language/schema/raw/master/csl-citation.json"}</w:instrText>
            </w:r>
            <w:r>
              <w:fldChar w:fldCharType="separate"/>
            </w:r>
            <w:r w:rsidR="00A313B9" w:rsidRPr="00A313B9">
              <w:rPr>
                <w:noProof/>
                <w:vertAlign w:val="superscript"/>
              </w:rPr>
              <w:t>217–221</w:t>
            </w:r>
            <w:r>
              <w:fldChar w:fldCharType="end"/>
            </w:r>
          </w:p>
        </w:tc>
      </w:tr>
      <w:tr w:rsidR="00686AFA" w14:paraId="083B0A9E" w14:textId="77777777" w:rsidTr="00016F6B">
        <w:trPr>
          <w:trHeight w:val="420"/>
        </w:trPr>
        <w:tc>
          <w:tcPr>
            <w:tcW w:w="1287" w:type="dxa"/>
            <w:vMerge/>
            <w:tcBorders>
              <w:top w:val="single" w:sz="8" w:space="0" w:color="000000"/>
              <w:left w:val="single" w:sz="8" w:space="0" w:color="000000"/>
              <w:bottom w:val="single" w:sz="8" w:space="0" w:color="000000"/>
              <w:right w:val="single" w:sz="8" w:space="0" w:color="000000"/>
            </w:tcBorders>
            <w:shd w:val="clear" w:color="auto" w:fill="auto"/>
          </w:tcPr>
          <w:p w14:paraId="1892DF38" w14:textId="77777777" w:rsidR="00686AFA" w:rsidRDefault="00686AFA" w:rsidP="00016F6B"/>
        </w:tc>
        <w:tc>
          <w:tcPr>
            <w:tcW w:w="1392" w:type="dxa"/>
            <w:tcBorders>
              <w:top w:val="single" w:sz="8" w:space="0" w:color="000000"/>
              <w:left w:val="single" w:sz="8" w:space="0" w:color="000000"/>
              <w:bottom w:val="single" w:sz="8" w:space="0" w:color="000000"/>
              <w:right w:val="single" w:sz="8" w:space="0" w:color="000000"/>
            </w:tcBorders>
            <w:shd w:val="clear" w:color="auto" w:fill="auto"/>
          </w:tcPr>
          <w:p w14:paraId="558A1CB1" w14:textId="77777777" w:rsidR="00686AFA" w:rsidRDefault="00686AFA" w:rsidP="00016F6B">
            <w:pPr>
              <w:pStyle w:val="LO-normal"/>
              <w:widowControl w:val="0"/>
              <w:spacing w:line="240" w:lineRule="auto"/>
              <w:rPr>
                <w:sz w:val="20"/>
                <w:szCs w:val="20"/>
              </w:rPr>
            </w:pPr>
            <w:r>
              <w:rPr>
                <w:sz w:val="20"/>
                <w:szCs w:val="20"/>
              </w:rPr>
              <w:t>Accelerated (a)MD</w:t>
            </w:r>
          </w:p>
        </w:tc>
        <w:tc>
          <w:tcPr>
            <w:tcW w:w="2908" w:type="dxa"/>
            <w:tcBorders>
              <w:top w:val="single" w:sz="8" w:space="0" w:color="000000"/>
              <w:left w:val="single" w:sz="8" w:space="0" w:color="000000"/>
              <w:bottom w:val="single" w:sz="8" w:space="0" w:color="000000"/>
              <w:right w:val="single" w:sz="8" w:space="0" w:color="000000"/>
            </w:tcBorders>
            <w:shd w:val="clear" w:color="auto" w:fill="auto"/>
          </w:tcPr>
          <w:p w14:paraId="2E7B98BB" w14:textId="77777777" w:rsidR="00686AFA" w:rsidRDefault="00686AFA" w:rsidP="00016F6B">
            <w:pPr>
              <w:pStyle w:val="LO-normal"/>
              <w:widowControl w:val="0"/>
              <w:spacing w:line="240" w:lineRule="auto"/>
              <w:rPr>
                <w:sz w:val="20"/>
                <w:szCs w:val="20"/>
              </w:rPr>
            </w:pPr>
            <w:r>
              <w:rPr>
                <w:sz w:val="20"/>
                <w:szCs w:val="20"/>
              </w:rPr>
              <w:t>An enhanced sampling technique that involves applying a bias potential to modify the true potential every time the system drops below a given “boost energy” value. This increases the rate at which the system can escape from energy minima.</w:t>
            </w:r>
          </w:p>
        </w:tc>
        <w:tc>
          <w:tcPr>
            <w:tcW w:w="4004" w:type="dxa"/>
            <w:tcBorders>
              <w:top w:val="single" w:sz="8" w:space="0" w:color="000000"/>
              <w:left w:val="single" w:sz="8" w:space="0" w:color="000000"/>
              <w:bottom w:val="single" w:sz="8" w:space="0" w:color="000000"/>
              <w:right w:val="single" w:sz="8" w:space="0" w:color="000000"/>
            </w:tcBorders>
            <w:shd w:val="clear" w:color="auto" w:fill="auto"/>
          </w:tcPr>
          <w:p w14:paraId="569EFD06" w14:textId="77777777" w:rsidR="00686AFA" w:rsidRDefault="00686AFA" w:rsidP="00016F6B">
            <w:pPr>
              <w:pStyle w:val="LO-normal"/>
              <w:widowControl w:val="0"/>
              <w:numPr>
                <w:ilvl w:val="0"/>
                <w:numId w:val="9"/>
              </w:numPr>
              <w:spacing w:line="240" w:lineRule="auto"/>
              <w:ind w:left="432"/>
              <w:rPr>
                <w:sz w:val="20"/>
                <w:szCs w:val="20"/>
              </w:rPr>
            </w:pPr>
            <w:r>
              <w:rPr>
                <w:sz w:val="20"/>
                <w:szCs w:val="20"/>
              </w:rPr>
              <w:t>Can capture slower peptide conformational changes than conventional MD</w:t>
            </w:r>
          </w:p>
          <w:p w14:paraId="2C5DA6C6" w14:textId="77777777" w:rsidR="00686AFA" w:rsidRDefault="00686AFA" w:rsidP="00016F6B">
            <w:pPr>
              <w:pStyle w:val="LO-normal"/>
              <w:widowControl w:val="0"/>
              <w:numPr>
                <w:ilvl w:val="0"/>
                <w:numId w:val="9"/>
              </w:numPr>
              <w:spacing w:line="240" w:lineRule="auto"/>
              <w:ind w:left="432"/>
            </w:pPr>
            <w:r>
              <w:rPr>
                <w:sz w:val="20"/>
                <w:szCs w:val="20"/>
              </w:rPr>
              <w:t xml:space="preserve">Can be used to perform </w:t>
            </w:r>
            <w:r>
              <w:rPr>
                <w:i/>
                <w:sz w:val="20"/>
                <w:szCs w:val="20"/>
              </w:rPr>
              <w:t xml:space="preserve">ab initio </w:t>
            </w:r>
            <w:r>
              <w:rPr>
                <w:sz w:val="20"/>
                <w:szCs w:val="20"/>
              </w:rPr>
              <w:t>folding of peptides, meaning the choice of starting structure is less significant</w:t>
            </w:r>
          </w:p>
          <w:p w14:paraId="1FD3BA5F" w14:textId="77777777" w:rsidR="00686AFA" w:rsidRDefault="00686AFA" w:rsidP="00016F6B">
            <w:pPr>
              <w:pStyle w:val="LO-normal"/>
              <w:widowControl w:val="0"/>
              <w:numPr>
                <w:ilvl w:val="0"/>
                <w:numId w:val="9"/>
              </w:numPr>
              <w:spacing w:line="240" w:lineRule="auto"/>
              <w:ind w:left="432"/>
              <w:rPr>
                <w:sz w:val="20"/>
                <w:szCs w:val="20"/>
              </w:rPr>
            </w:pPr>
            <w:r>
              <w:rPr>
                <w:sz w:val="20"/>
                <w:szCs w:val="20"/>
              </w:rPr>
              <w:t>Fewer simulation repeats are needed but it is still advisable to check that simulations starting from different conformations converge to the same point</w:t>
            </w:r>
          </w:p>
        </w:tc>
        <w:tc>
          <w:tcPr>
            <w:tcW w:w="699" w:type="dxa"/>
            <w:tcBorders>
              <w:top w:val="single" w:sz="8" w:space="0" w:color="000000"/>
              <w:left w:val="single" w:sz="8" w:space="0" w:color="000000"/>
              <w:bottom w:val="single" w:sz="8" w:space="0" w:color="000000"/>
              <w:right w:val="single" w:sz="8" w:space="0" w:color="000000"/>
            </w:tcBorders>
            <w:shd w:val="clear" w:color="auto" w:fill="auto"/>
          </w:tcPr>
          <w:p w14:paraId="18A18A15" w14:textId="5BF426B6" w:rsidR="00686AFA" w:rsidRDefault="00686AFA" w:rsidP="00A313B9">
            <w:pPr>
              <w:pStyle w:val="LO-normal"/>
            </w:pPr>
            <w:r>
              <w:fldChar w:fldCharType="begin" w:fldLock="1"/>
            </w:r>
            <w:r w:rsidR="00576689">
              <w:instrText>ADDIN CSL_CITATION {"citationItems":[{"id":"ITEM-1","itemData":{"DOI":"10.1039/c7cp01941f","ISSN":"14639076","PMID":"28702543","abstract":"Multidrug resistance against the existing antibiotics is one of the most challenging threats across the globe. Antimicrobial peptides (AMPs), in this regard, are considered to be one of the effective alternatives that can overcome bacterial resistance. MSI-594, a 24-residue linear alpha-helical cationic AMP, has been shown to function via the carpet mechanism to disrupt bacterial membrane systems. To better understand the role of lipid composition in the function of MSI-594, in the present study, eight different model membrane systems have been studied using accelerated molecular dynamics (aMD) simulations. The simulated results are helpful in discriminating the particular effects of cationic MSI-594 against zwitterionic POPC, anionic POPG and POPS, and neutral POPE lipid moieties. Additionally, the effects of various heterogeneous POPC/POPG (7:3), POPC/POPS (7:3), and POPG/POPE (1:3 and 3:1) bilayer systems on the dynamic interaction of MSI-594 have also been investigated. The effect on the lipid bilayer due to the interaction with the peptide is characterized by lipid acyl-chain order, membrane thickness, and acyl-chain dynamics. Our simulation results show that the lipid composition affects the membrane interaction of MSI-594, suggesting that membrane selectivity is crucial to its mechanism of action. The results reported in this study are helpful to obtain accurate atomistic-level information governing MSI-594 and its membrane disruptive antimicrobial mechanism of action, and to design next generation potent antimicrobial peptides.","author":[{"dropping-particle":"","family":"Mukherjee","given":"Shruti","non-dropping-particle":"","parse-names":false,"suffix":""},{"dropping-particle":"","family":"Kar","given":"Rajiv K.","non-dropping-particle":"","parse-names":false,"suffix":""},{"dropping-particle":"","family":"Nanga","given":"Ravi Prakash Reddy","non-dropping-particle":"","parse-names":false,"suffix":""},{"dropping-particle":"","family":"Mroue","given":"Kamal H.","non-dropping-particle":"","parse-names":false,"suffix":""},{"dropping-particle":"","family":"Ramamoorthy","given":"Ayyalusamy","non-dropping-particle":"","parse-names":false,"suffix":""},{"dropping-particle":"","family":"Bhunia","given":"Anirban","non-dropping-particle":"","parse-names":false,"suffix":""}],"container-title":"Physical Chemistry Chemical Physics","id":"ITEM-1","issue":"29","issued":{"date-parts":[["2017","7","26"]]},"page":"19289-19299","publisher":"Royal Society of Chemistry","title":"Accelerated molecular dynamics simulation analysis of MSI-594 in a lipid bilayer","type":"article-journal","volume":"19"},"uris":["http://www.mendeley.com/documents/?uuid=917b28e6-2689-363c-9c5f-44e76bab0072"]},{"id":"ITEM-2","itemData":{"DOI":"10.1063/1.1755656","ISSN":"00219606","PMID":"15268227","abstract":"Many interesting dynamic properties of biological molecules cannot be simulated directly using molecular dynamics because of nanosecond time scale limitations. These systems are trapped in potentia...","author":[{"dropping-particle":"","family":"Hamelberg","given":"Donald","non-dropping-particle":"","parse-names":false,"suffix":""},{"dropping-particle":"","family":"Mongan","given":"John","non-dropping-particle":"","parse-names":false,"suffix":""},{"dropping-particle":"","family":"McCammon","given":"J. Andrew","non-dropping-particle":"","parse-names":false,"suffix":""}],"container-title":"Journal of Chemical Physics","id":"ITEM-2","issue":"24","issued":{"date-parts":[["2004","6","22"]]},"page":"11919-11929","publisher":"American Institute of PhysicsAIP","title":"Accelerated molecular dynamics: A promising and efficient simulation method for biomolecules","type":"article-journal","volume":"120"},"uris":["http://www.mendeley.com/documents/?uuid=e25dc90c-213e-36e7-9bb4-f496b3bf7f91"]}],"mendeley":{"formattedCitation":"&lt;sup&gt;222,223&lt;/sup&gt;","plainTextFormattedCitation":"222,223","previouslyFormattedCitation":"&lt;sup&gt;222,223&lt;/sup&gt;"},"properties":{"noteIndex":0},"schema":"https://github.com/citation-style-language/schema/raw/master/csl-citation.json"}</w:instrText>
            </w:r>
            <w:r>
              <w:fldChar w:fldCharType="separate"/>
            </w:r>
            <w:r w:rsidR="00A313B9" w:rsidRPr="00A313B9">
              <w:rPr>
                <w:noProof/>
                <w:vertAlign w:val="superscript"/>
              </w:rPr>
              <w:t>222,223</w:t>
            </w:r>
            <w:r>
              <w:fldChar w:fldCharType="end"/>
            </w:r>
          </w:p>
        </w:tc>
      </w:tr>
      <w:tr w:rsidR="00686AFA" w14:paraId="6567FE01" w14:textId="77777777" w:rsidTr="00016F6B">
        <w:trPr>
          <w:trHeight w:val="420"/>
        </w:trPr>
        <w:tc>
          <w:tcPr>
            <w:tcW w:w="1287" w:type="dxa"/>
            <w:vMerge/>
            <w:tcBorders>
              <w:top w:val="single" w:sz="8" w:space="0" w:color="000000"/>
              <w:left w:val="single" w:sz="8" w:space="0" w:color="000000"/>
              <w:bottom w:val="single" w:sz="8" w:space="0" w:color="000000"/>
              <w:right w:val="single" w:sz="8" w:space="0" w:color="000000"/>
            </w:tcBorders>
            <w:shd w:val="clear" w:color="auto" w:fill="auto"/>
          </w:tcPr>
          <w:p w14:paraId="5C1311B5" w14:textId="77777777" w:rsidR="00686AFA" w:rsidRDefault="00686AFA" w:rsidP="00016F6B"/>
        </w:tc>
        <w:tc>
          <w:tcPr>
            <w:tcW w:w="1392" w:type="dxa"/>
            <w:tcBorders>
              <w:top w:val="single" w:sz="8" w:space="0" w:color="000000"/>
              <w:left w:val="single" w:sz="8" w:space="0" w:color="000000"/>
              <w:bottom w:val="single" w:sz="8" w:space="0" w:color="000000"/>
              <w:right w:val="single" w:sz="8" w:space="0" w:color="000000"/>
            </w:tcBorders>
            <w:shd w:val="clear" w:color="auto" w:fill="auto"/>
          </w:tcPr>
          <w:p w14:paraId="629B4370" w14:textId="77777777" w:rsidR="00686AFA" w:rsidRDefault="00686AFA" w:rsidP="00016F6B">
            <w:pPr>
              <w:pStyle w:val="LO-normal"/>
              <w:widowControl w:val="0"/>
              <w:spacing w:line="240" w:lineRule="auto"/>
              <w:rPr>
                <w:sz w:val="20"/>
                <w:szCs w:val="20"/>
              </w:rPr>
            </w:pPr>
            <w:r>
              <w:rPr>
                <w:sz w:val="20"/>
                <w:szCs w:val="20"/>
              </w:rPr>
              <w:t>High-temperature (HT) MD</w:t>
            </w:r>
          </w:p>
        </w:tc>
        <w:tc>
          <w:tcPr>
            <w:tcW w:w="2908" w:type="dxa"/>
            <w:tcBorders>
              <w:top w:val="single" w:sz="8" w:space="0" w:color="000000"/>
              <w:left w:val="single" w:sz="8" w:space="0" w:color="000000"/>
              <w:bottom w:val="single" w:sz="8" w:space="0" w:color="000000"/>
              <w:right w:val="single" w:sz="8" w:space="0" w:color="000000"/>
            </w:tcBorders>
            <w:shd w:val="clear" w:color="auto" w:fill="auto"/>
          </w:tcPr>
          <w:p w14:paraId="79771519" w14:textId="77777777" w:rsidR="00686AFA" w:rsidRDefault="00686AFA" w:rsidP="00016F6B">
            <w:pPr>
              <w:pStyle w:val="LO-normal"/>
              <w:widowControl w:val="0"/>
              <w:spacing w:line="240" w:lineRule="auto"/>
              <w:rPr>
                <w:sz w:val="20"/>
                <w:szCs w:val="20"/>
              </w:rPr>
            </w:pPr>
            <w:r>
              <w:rPr>
                <w:sz w:val="20"/>
                <w:szCs w:val="20"/>
              </w:rPr>
              <w:t xml:space="preserve">Conventional atomistic MD of peptide-bilayer systems at artificially high temperatures. </w:t>
            </w:r>
          </w:p>
        </w:tc>
        <w:tc>
          <w:tcPr>
            <w:tcW w:w="4004" w:type="dxa"/>
            <w:tcBorders>
              <w:top w:val="single" w:sz="8" w:space="0" w:color="000000"/>
              <w:left w:val="single" w:sz="8" w:space="0" w:color="000000"/>
              <w:bottom w:val="single" w:sz="8" w:space="0" w:color="000000"/>
              <w:right w:val="single" w:sz="8" w:space="0" w:color="000000"/>
            </w:tcBorders>
            <w:shd w:val="clear" w:color="auto" w:fill="auto"/>
          </w:tcPr>
          <w:p w14:paraId="6871521F" w14:textId="77777777" w:rsidR="00686AFA" w:rsidRDefault="00686AFA" w:rsidP="00016F6B">
            <w:pPr>
              <w:pStyle w:val="LO-normal"/>
              <w:widowControl w:val="0"/>
              <w:numPr>
                <w:ilvl w:val="0"/>
                <w:numId w:val="14"/>
              </w:numPr>
              <w:spacing w:line="240" w:lineRule="auto"/>
              <w:rPr>
                <w:sz w:val="20"/>
                <w:szCs w:val="20"/>
              </w:rPr>
            </w:pPr>
            <w:r>
              <w:rPr>
                <w:sz w:val="20"/>
                <w:szCs w:val="20"/>
              </w:rPr>
              <w:t>Elevated temperatures can speed up the kinetics associated with peptide insertion and folding in the membrane</w:t>
            </w:r>
          </w:p>
          <w:p w14:paraId="5E685AC8" w14:textId="77777777" w:rsidR="00686AFA" w:rsidRDefault="00686AFA" w:rsidP="00016F6B">
            <w:pPr>
              <w:pStyle w:val="LO-normal"/>
              <w:widowControl w:val="0"/>
              <w:numPr>
                <w:ilvl w:val="0"/>
                <w:numId w:val="14"/>
              </w:numPr>
              <w:spacing w:line="240" w:lineRule="auto"/>
              <w:rPr>
                <w:sz w:val="20"/>
                <w:szCs w:val="20"/>
              </w:rPr>
            </w:pPr>
            <w:r>
              <w:rPr>
                <w:sz w:val="20"/>
                <w:szCs w:val="20"/>
              </w:rPr>
              <w:t xml:space="preserve">The thermodynamic minima of many membrane-associated helices have been shown to be </w:t>
            </w:r>
            <w:r>
              <w:rPr>
                <w:sz w:val="20"/>
                <w:szCs w:val="20"/>
              </w:rPr>
              <w:lastRenderedPageBreak/>
              <w:t xml:space="preserve">unaffected due to the increased thermostability of peptides in the membrane </w:t>
            </w:r>
          </w:p>
          <w:p w14:paraId="646F9D98" w14:textId="77777777" w:rsidR="00686AFA" w:rsidRDefault="00686AFA" w:rsidP="00016F6B">
            <w:pPr>
              <w:pStyle w:val="LO-normal"/>
              <w:widowControl w:val="0"/>
              <w:numPr>
                <w:ilvl w:val="0"/>
                <w:numId w:val="14"/>
              </w:numPr>
              <w:spacing w:line="240" w:lineRule="auto"/>
              <w:rPr>
                <w:sz w:val="20"/>
                <w:szCs w:val="20"/>
              </w:rPr>
            </w:pPr>
            <w:r>
              <w:rPr>
                <w:sz w:val="20"/>
                <w:szCs w:val="20"/>
              </w:rPr>
              <w:t>It may be necessary to check the thermostability of an AMP experimentally to validate results</w:t>
            </w:r>
          </w:p>
          <w:p w14:paraId="28FDC27C" w14:textId="77777777" w:rsidR="00686AFA" w:rsidRDefault="00686AFA" w:rsidP="00016F6B">
            <w:pPr>
              <w:pStyle w:val="LO-normal"/>
              <w:widowControl w:val="0"/>
              <w:numPr>
                <w:ilvl w:val="0"/>
                <w:numId w:val="14"/>
              </w:numPr>
              <w:spacing w:line="240" w:lineRule="auto"/>
              <w:rPr>
                <w:sz w:val="20"/>
                <w:szCs w:val="20"/>
              </w:rPr>
            </w:pPr>
            <w:r>
              <w:rPr>
                <w:sz w:val="20"/>
                <w:szCs w:val="20"/>
              </w:rPr>
              <w:t xml:space="preserve">It may also be necessary to check the ability of the chosen force field to function correctly at nonstandard temperatures </w:t>
            </w:r>
          </w:p>
        </w:tc>
        <w:tc>
          <w:tcPr>
            <w:tcW w:w="699" w:type="dxa"/>
            <w:tcBorders>
              <w:top w:val="single" w:sz="8" w:space="0" w:color="000000"/>
              <w:left w:val="single" w:sz="8" w:space="0" w:color="000000"/>
              <w:bottom w:val="single" w:sz="8" w:space="0" w:color="000000"/>
              <w:right w:val="single" w:sz="8" w:space="0" w:color="000000"/>
            </w:tcBorders>
            <w:shd w:val="clear" w:color="auto" w:fill="auto"/>
          </w:tcPr>
          <w:p w14:paraId="2A1AE8F6" w14:textId="72FAE2AF" w:rsidR="00686AFA" w:rsidRDefault="00686AFA" w:rsidP="00A313B9">
            <w:pPr>
              <w:pStyle w:val="LO-normal"/>
              <w:jc w:val="both"/>
            </w:pPr>
            <w:r>
              <w:lastRenderedPageBreak/>
              <w:fldChar w:fldCharType="begin" w:fldLock="1"/>
            </w:r>
            <w:r w:rsidR="00576689">
              <w:instrText>ADDIN CSL_CITATION {"citationItems":[{"id":"ITEM-1","itemData":{"DOI":"10.1021/acs.accounts.7b00613","ISSN":"15204898","PMID":"29667836","abstract":"ConspectusEver since the first molecular mechanics computer simulations of biological molecules became possible, there has been the dream to study all complex biological phenomena in silico, simply bypassing the enormous experimental challenges and their associated costs. For this, two inherent requirements need to be met: First, the time scales achievable in simulations must reach up to the millisecond range and even longer. Second, the computational model must accurately reproduce what is measured experimentally. Despite some recent successes, the general consensus in the field to date has been that neither of these conditions have yet been met and that the dream will be realized, if at all, only in the distant future.In this Account, we show that this view is wrong; instead, we are actually in the middle of the in silico molecular dynamics (MD) revolution, which is reshaping how we think about protein function. The example explored in this Account is a recent advance in the field of membrane-active peptides (MAPs). MD simulations have succeeded in accurately capturing the process of peptide binding, folding, and partitioning into lipid bilayers as well as revealing how channels form spontaneously from polypeptide fragments and conduct ionic and other cargo across membranes, all at atomic resolution. These game-changing advances have been made possible by a combination of steadily advancing computational power, more efficient algorithms and techniques, clever accelerated sampling schemes, and thorough experimental verifications. The great advantage of MD is the spatial and temporal resolution, directly providing a molecular movie of a protein undergoing folding and cycling through a functional process. This is especially important for proteins with transitory functional states, such as pore-forming MAPs.Recent successes are demonstrated here for the large class of antimicrobial peptides (AMPs). These short peptides are an essential part of the nonadaptive immune system for many organisms, ubiquitous in nature, and of particular interest to the pharmaceutical industry in the age of rising bacterial resistance to conventional antibiotic treatments. Unlike integral membrane proteins, AMPs are sufficiently small to allow converged sampling with the unbiased high-temperature sampling methodology outlined here and are relatively easy to handle experimentally. At the same time, AMPs exhibit a wealth of complex and poorly understood interactions with lipid bi…","author":[{"dropping-particle":"","family":"Ulmschneider","given":"Jakob P.","non-dropping-particle":"","parse-names":false,"suffix":""},{"dropping-particle":"","family":"Ulmschneider","given":"Martin B.","non-dropping-particle":"","parse-names":false,"suffix":""}],"container-title":"Accounts of Chemical Research","id":"ITEM-1","issue":"5","issued":{"date-parts":[["2018","5","15"]]},"page":"1106-1116","publisher":"American Chemical Society","title":"Molecular Dynamics Simulations Are Redefining Our View of Peptides Interacting with Biological Membranes","type":"article-journal","volume":"51"},"uris":["http://www.mendeley.com/documents/?uuid=5a518950-2398-36f5-8912-157c24089590"]},{"id":"ITEM-2","itemData":{"DOI":"10.1016/j.bbamem.2014.04.012","ISSN":"18792642","PMID":"24769159","abstract":"Unbiased molecular simulation is a powerful tool to study the atomic details driving functional structural changes or folding pathways of highly fluid systems, which present great challenges experimentally. Here we apply unbiased long-timescale molecular dynamics simulation to study the ab initio folding and partitioning of melittin, a template amphiphilic membrane active peptide. The simulations reveal that the peptide binds strongly to the lipid bilayer in an unstructured configuration. Interfacial folding results in a localized bilayer deformation. Akin to purely hydrophobic transmembrane segments the surface bound native helical conformer is highly resistant against thermal denaturation. Circular dichroism spectroscopy experiments confirm the strong binding and thermostability of the peptide. The study highlights the utility of molecular dynamics simulations for studying transient mechanisms in fluid lipid bilayer systems. This article is part of a Special Issue entitled: Interfacially Active Peptides and Proteins. Guest Editors: William C. Wimley and Kalina Hristova. © 2014 Published by Elsevier B.V.","author":[{"dropping-particle":"","family":"Chen","given":"Charles H.","non-dropping-particle":"","parse-names":false,"suffix":""},{"dropping-particle":"","family":"Wiedman","given":"Gregory","non-dropping-particle":"","parse-names":false,"suffix":""},{"dropping-particle":"","family":"Khan","given":"Ayesha","non-dropping-particle":"","parse-names":false,"suffix":""},{"dropping-particle":"","family":"Ulmschneider","given":"Martin B.","non-dropping-particle":"","parse-names":false,"suffix":""}],"container-title":"Biochimica et Biophysica Acta - Biomembranes","id":"ITEM-2","issue":"9","issued":{"date-parts":[["2014"]]},"page":"2243-2249","publisher":"Elsevier","title":"Absorption and folding of melittin onto lipid bilayer membranes via unbiased atomic detail microsecond molecular dynamics simulation","type":"article-journal","volume":"1838"},"uris":["http://www.mendeley.com/documents/?uuid=d63d9fed-df14-31a0-938f-e507e7da2459"]}],"mendeley":{"formattedCitation":"&lt;sup&gt;219,224&lt;/sup&gt;","plainTextFormattedCitation":"219,224","previouslyFormattedCitation":"&lt;sup&gt;219,224&lt;/sup&gt;"},"properties":{"noteIndex":0},"schema":"https://github.com/citation-style-language/schema/raw/master/csl-citation.json"}</w:instrText>
            </w:r>
            <w:r>
              <w:fldChar w:fldCharType="separate"/>
            </w:r>
            <w:r w:rsidR="00A313B9" w:rsidRPr="00A313B9">
              <w:rPr>
                <w:noProof/>
                <w:vertAlign w:val="superscript"/>
              </w:rPr>
              <w:t>219,224</w:t>
            </w:r>
            <w:r>
              <w:fldChar w:fldCharType="end"/>
            </w:r>
          </w:p>
        </w:tc>
      </w:tr>
      <w:tr w:rsidR="00686AFA" w14:paraId="1265B6FF" w14:textId="77777777" w:rsidTr="00016F6B">
        <w:trPr>
          <w:trHeight w:val="420"/>
        </w:trPr>
        <w:tc>
          <w:tcPr>
            <w:tcW w:w="1287"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618867FE" w14:textId="77777777" w:rsidR="00686AFA" w:rsidRDefault="00686AFA" w:rsidP="00016F6B">
            <w:pPr>
              <w:pStyle w:val="LO-normal"/>
              <w:widowControl w:val="0"/>
              <w:spacing w:line="240" w:lineRule="auto"/>
              <w:rPr>
                <w:sz w:val="20"/>
                <w:szCs w:val="20"/>
              </w:rPr>
            </w:pPr>
            <w:r>
              <w:rPr>
                <w:sz w:val="20"/>
                <w:szCs w:val="20"/>
              </w:rPr>
              <w:t>Peptide aggregation</w:t>
            </w:r>
          </w:p>
        </w:tc>
        <w:tc>
          <w:tcPr>
            <w:tcW w:w="1392" w:type="dxa"/>
            <w:tcBorders>
              <w:top w:val="single" w:sz="8" w:space="0" w:color="000000"/>
              <w:left w:val="single" w:sz="8" w:space="0" w:color="000000"/>
              <w:bottom w:val="single" w:sz="8" w:space="0" w:color="000000"/>
              <w:right w:val="single" w:sz="8" w:space="0" w:color="000000"/>
            </w:tcBorders>
            <w:shd w:val="clear" w:color="auto" w:fill="auto"/>
          </w:tcPr>
          <w:p w14:paraId="490A703C" w14:textId="77777777" w:rsidR="00686AFA" w:rsidRDefault="00686AFA" w:rsidP="00016F6B">
            <w:pPr>
              <w:pStyle w:val="LO-normal"/>
              <w:widowControl w:val="0"/>
              <w:spacing w:line="240" w:lineRule="auto"/>
              <w:rPr>
                <w:sz w:val="20"/>
                <w:szCs w:val="20"/>
              </w:rPr>
            </w:pPr>
            <w:r>
              <w:rPr>
                <w:sz w:val="20"/>
                <w:szCs w:val="20"/>
              </w:rPr>
              <w:t>Conventional atomistic MD</w:t>
            </w:r>
          </w:p>
        </w:tc>
        <w:tc>
          <w:tcPr>
            <w:tcW w:w="2908" w:type="dxa"/>
            <w:tcBorders>
              <w:top w:val="single" w:sz="8" w:space="0" w:color="000000"/>
              <w:left w:val="single" w:sz="8" w:space="0" w:color="000000"/>
              <w:bottom w:val="single" w:sz="8" w:space="0" w:color="000000"/>
              <w:right w:val="single" w:sz="8" w:space="0" w:color="000000"/>
            </w:tcBorders>
            <w:shd w:val="clear" w:color="auto" w:fill="auto"/>
          </w:tcPr>
          <w:p w14:paraId="30809C64" w14:textId="77777777" w:rsidR="00686AFA" w:rsidRDefault="00686AFA" w:rsidP="00016F6B">
            <w:pPr>
              <w:pStyle w:val="LO-normal"/>
              <w:widowControl w:val="0"/>
              <w:spacing w:line="240" w:lineRule="auto"/>
              <w:rPr>
                <w:sz w:val="20"/>
                <w:szCs w:val="20"/>
              </w:rPr>
            </w:pPr>
            <w:r>
              <w:rPr>
                <w:sz w:val="20"/>
                <w:szCs w:val="20"/>
              </w:rPr>
              <w:t>As described above</w:t>
            </w:r>
          </w:p>
        </w:tc>
        <w:tc>
          <w:tcPr>
            <w:tcW w:w="4004" w:type="dxa"/>
            <w:tcBorders>
              <w:top w:val="single" w:sz="8" w:space="0" w:color="000000"/>
              <w:left w:val="single" w:sz="8" w:space="0" w:color="000000"/>
              <w:bottom w:val="single" w:sz="8" w:space="0" w:color="000000"/>
              <w:right w:val="single" w:sz="8" w:space="0" w:color="000000"/>
            </w:tcBorders>
            <w:shd w:val="clear" w:color="auto" w:fill="auto"/>
          </w:tcPr>
          <w:p w14:paraId="50FC8610" w14:textId="77777777" w:rsidR="00686AFA" w:rsidRDefault="00686AFA" w:rsidP="00016F6B">
            <w:pPr>
              <w:pStyle w:val="LO-normal"/>
              <w:widowControl w:val="0"/>
              <w:numPr>
                <w:ilvl w:val="0"/>
                <w:numId w:val="10"/>
              </w:numPr>
              <w:spacing w:line="240" w:lineRule="auto"/>
              <w:rPr>
                <w:sz w:val="20"/>
                <w:szCs w:val="20"/>
              </w:rPr>
            </w:pPr>
            <w:r>
              <w:rPr>
                <w:sz w:val="20"/>
                <w:szCs w:val="20"/>
              </w:rPr>
              <w:t>Can be used to monitor the stability of experimentally-determined peptide aggregate structures</w:t>
            </w:r>
          </w:p>
          <w:p w14:paraId="02AFF692" w14:textId="77777777" w:rsidR="00686AFA" w:rsidRDefault="00686AFA" w:rsidP="00016F6B">
            <w:pPr>
              <w:pStyle w:val="LO-normal"/>
              <w:widowControl w:val="0"/>
              <w:numPr>
                <w:ilvl w:val="0"/>
                <w:numId w:val="10"/>
              </w:numPr>
              <w:spacing w:line="240" w:lineRule="auto"/>
              <w:rPr>
                <w:sz w:val="20"/>
                <w:szCs w:val="20"/>
              </w:rPr>
            </w:pPr>
            <w:r>
              <w:rPr>
                <w:sz w:val="20"/>
                <w:szCs w:val="20"/>
              </w:rPr>
              <w:t>May not be able to capture slow aggregation events due to the complex energetic landscape</w:t>
            </w:r>
          </w:p>
          <w:p w14:paraId="339301F3" w14:textId="77777777" w:rsidR="00686AFA" w:rsidRDefault="00686AFA" w:rsidP="00016F6B">
            <w:pPr>
              <w:pStyle w:val="LO-normal"/>
              <w:widowControl w:val="0"/>
              <w:numPr>
                <w:ilvl w:val="0"/>
                <w:numId w:val="10"/>
              </w:numPr>
              <w:spacing w:line="240" w:lineRule="auto"/>
              <w:rPr>
                <w:sz w:val="20"/>
                <w:szCs w:val="20"/>
              </w:rPr>
            </w:pPr>
            <w:r>
              <w:rPr>
                <w:sz w:val="20"/>
                <w:szCs w:val="20"/>
              </w:rPr>
              <w:t>Multiple simulation repeats required for statistical convergence</w:t>
            </w:r>
          </w:p>
        </w:tc>
        <w:tc>
          <w:tcPr>
            <w:tcW w:w="699" w:type="dxa"/>
            <w:tcBorders>
              <w:top w:val="single" w:sz="8" w:space="0" w:color="000000"/>
              <w:left w:val="single" w:sz="8" w:space="0" w:color="000000"/>
              <w:bottom w:val="single" w:sz="8" w:space="0" w:color="000000"/>
              <w:right w:val="single" w:sz="8" w:space="0" w:color="000000"/>
            </w:tcBorders>
            <w:shd w:val="clear" w:color="auto" w:fill="auto"/>
          </w:tcPr>
          <w:p w14:paraId="29BEA8FD" w14:textId="6280A875" w:rsidR="00686AFA" w:rsidRDefault="00686AFA" w:rsidP="00A313B9">
            <w:pPr>
              <w:pStyle w:val="LO-normal"/>
            </w:pPr>
            <w:r>
              <w:fldChar w:fldCharType="begin" w:fldLock="1"/>
            </w:r>
            <w:r w:rsidR="00576689">
              <w:instrText>ADDIN CSL_CITATION {"citationItems":[{"id":"ITEM-1","itemData":{"author":[{"dropping-particle":"","family":"Leach","given":"Andrew R.","non-dropping-particle":"","parse-names":false,"suffix":""}],"edition":"2nd Ed.","id":"ITEM-1","issued":{"date-parts":[["2001"]]},"publisher":"Prentice Hall","publisher-place":"Upper Saddle River, NJ","title":"Molecular modelling: principles and applications","type":"book"},"uris":["http://www.mendeley.com/documents/?uuid=af7b1364-a1c4-385d-a1ba-e1c16e144d2c"]},{"id":"ITEM-2","itemData":{"DOI":"10.1016/j.bbamem.2008.06.007","ISSN":"00052736","PMID":"18602889","abstract":"A large variety of antimicrobial peptides have been shown to act, at least in vitro, by poration of the lipid membrane. The nanometre size of these pores, however, complicates their structural characterization by experimental techniques. Here we use molecular dynamics simulations, to study the interaction of a specific class of antimicrobial peptides, melittin, with a dipalmitoylphosphatidylcholine bilayer in atomic detail. We show that transmembrane pores spontaneously form above a critical peptide to lipid ratio. The lipid molecules bend inwards to form a toroidally shaped pore but with only one or two peptides lining the pore. This is in strong contrast to the traditional models of toroidal pores in which the peptides are assumed to adopt a transmembrane orientation. We find that peptide aggregation, either prior or after binding to the membrane surface, is a prerequisite to pore formation. The presence of a stable helical secondary structure of the peptide, however is not. Furthermore, results obtained with modified peptides point to the importance of electrostatic interactions in the poration process. Removing the charges of the basic amino-acid residues of melittin prevents pore formation. It was also found that in the absence of counter ions pores not only form more rapidly but lead to membrane rupture. The rupture process occurs via a novel recursive poration pathway, which we coin the Droste mechanism. © 2008 Elsevier B.V. All rights reserved.","author":[{"dropping-particle":"","family":"Sengupta","given":"Durba","non-dropping-particle":"","parse-names":false,"suffix":""},{"dropping-particle":"","family":"Leontiadou","given":"Hari","non-dropping-particle":"","parse-names":false,"suffix":""},{"dropping-particle":"","family":"Mark","given":"Alan E.","non-dropping-particle":"","parse-names":false,"suffix":""},{"dropping-particle":"","family":"Marrink","given":"Siewert Jan","non-dropping-particle":"","parse-names":false,"suffix":""}],"container-title":"Biochimica et Biophysica Acta - Biomembranes","id":"ITEM-2","issue":"10","issued":{"date-parts":[["2008","10","1"]]},"page":"2308-2317","publisher":"Elsevier","title":"Toroidal pores formed by antimicrobial peptides show significant disorder","type":"article-journal","volume":"1778"},"uris":["http://www.mendeley.com/documents/?uuid=d8eaf61d-0d51-308e-9218-6b2f63d150ad"]},{"id":"ITEM-3","itemData":{"DOI":"10.1021/acs.jpcb.5b03254","ISSN":"15205207","PMID":"26208115","abstract":"Melittin is a natural peptide that aggregates in aqueous solutions with paradigmatic monomer-to-tetramer and coil-to-helix transitions. Since little is known about the molecular mechanisms of melittin aggregation in solution, we simulated its self-aggregation process under various conditions. After confirming the stability of a melittin tetramer in solution, we observed-for the first time in atomistic detail-that four separated melittin monomers aggregate into a tetramer. Our simulated dependence of melittin aggregation on peptide concentration, temperature, and ionic strength is in good agreement with prior experiments. We propose that melittin mainly self-aggregates via a mechanism involving the sequential addition of monomers, which is supported by both qualitative and quantitative evidence obtained from unbiased and metadynamics simulations. Moreover, by combining computer simulations and a theory of the electrical double layer, we provide evidence to suggest why melittin aggregation in solution likely stops at the tetramer, rather than forming higher-order oligomers. Overall, our study not only explains prior experimental results at the molecular level but also provides quantitative mechanistic information that may guide the engineering of melittin for higher efficacy and safety.","author":[{"dropping-particle":"","family":"Liao","given":"Chenyi","non-dropping-particle":"","parse-names":false,"suffix":""},{"dropping-particle":"","family":"Esai Selvan","given":"Myvizhi","non-dropping-particle":"","parse-names":false,"suffix":""},{"dropping-particle":"","family":"Zhao","given":"Jun","non-dropping-particle":"","parse-names":false,"suffix":""},{"dropping-particle":"","family":"Slimovitch","given":"Jonathan L.","non-dropping-particle":"","parse-names":false,"suffix":""},{"dropping-particle":"","family":"Schneebeli","given":"Severin T.","non-dropping-particle":"","parse-names":false,"suffix":""},{"dropping-particle":"","family":"Shelley","given":"Mee","non-dropping-particle":"","parse-names":false,"suffix":""},{"dropping-particle":"","family":"Shelley","given":"John C.","non-dropping-particle":"","parse-names":false,"suffix":""},{"dropping-particle":"","family":"Li","given":"Jianing","non-dropping-particle":"","parse-names":false,"suffix":""}],"container-title":"Journal of Physical Chemistry B","id":"ITEM-3","issue":"33","issued":{"date-parts":[["2015","8","20"]]},"page":"10390-10398","publisher":"American Chemical Society","title":"Melittin Aggregation in Aqueous Solutions: Insight from Molecular Dynamics Simulations","type":"article-journal","volume":"119"},"uris":["http://www.mendeley.com/documents/?uuid=764a5b9d-eda2-372f-b2dc-6f2ea9f220a8"]},{"id":"ITEM-4","itemData":{"DOI":"10.1021/jacs.9b06388","ISSN":"15205126","PMID":"31573804","abstract":"Coordination complexes have emerged as prominent modulators of amyloid aggregation via their interaction with the N-terminal histidine residues of amyloid-β (Aβ). Herein, we report the synthesis and characterization of a novel cobalt(III) Schiff base complex with methylamine axial ligands, and we present both computational and experimental data demonstrating the reduction of β-sheet formation by this complex. The computations include molecular dynamics simulations of both monomeric and pentameric Aβ, which demonstrate decreased formation of β-sheet structures, destabilization of preformed β-sheets, and suppression of aggregation. These results are consistent with a dose dependence in experimental bulk aggregation data using thioflavin T fluorescence, and overall this study demonstrates useful drug activity of the cobalt complex.","author":[{"dropping-particle":"","family":"Iscen","given":"Aysenur","non-dropping-particle":"","parse-names":false,"suffix":""},{"dropping-particle":"","family":"Brue","given":"Christopher R.","non-dropping-particle":"","parse-names":false,"suffix":""},{"dropping-particle":"","family":"Roberts","given":"Kaleigh F.","non-dropping-particle":"","parse-names":false,"suffix":""},{"dropping-particle":"","family":"Kim","given":"Joy","non-dropping-particle":"","parse-names":false,"suffix":""},{"dropping-particle":"","family":"Schatz","given":"George C.","non-dropping-particle":"","parse-names":false,"suffix":""},{"dropping-particle":"","family":"Meade","given":"Thomas J.","non-dropping-particle":"","parse-names":false,"suffix":""}],"container-title":"Journal of the American Chemical Society","id":"ITEM-4","issue":"42","issued":{"date-parts":[["2019","10","23"]]},"page":"16685-16695","publisher":"American Chemical Society","title":"Inhibition of Amyloid-β Aggregation by Cobalt(III) Schiff Base Complexes: A Computational and Experimental Approach","type":"article-journal","volume":"141"},"uris":["http://www.mendeley.com/documents/?uuid=34db40f0-481f-3de2-9fd1-899f649a6b2a"]}],"mendeley":{"formattedCitation":"&lt;sup&gt;209,225–227&lt;/sup&gt;","plainTextFormattedCitation":"209,225–227","previouslyFormattedCitation":"&lt;sup&gt;209,225–227&lt;/sup&gt;"},"properties":{"noteIndex":0},"schema":"https://github.com/citation-style-language/schema/raw/master/csl-citation.json"}</w:instrText>
            </w:r>
            <w:r>
              <w:fldChar w:fldCharType="separate"/>
            </w:r>
            <w:r w:rsidR="00A313B9" w:rsidRPr="00A313B9">
              <w:rPr>
                <w:noProof/>
                <w:vertAlign w:val="superscript"/>
              </w:rPr>
              <w:t>209,225–227</w:t>
            </w:r>
            <w:r>
              <w:fldChar w:fldCharType="end"/>
            </w:r>
          </w:p>
        </w:tc>
      </w:tr>
      <w:tr w:rsidR="00686AFA" w14:paraId="2E340875" w14:textId="77777777" w:rsidTr="00016F6B">
        <w:trPr>
          <w:trHeight w:val="420"/>
        </w:trPr>
        <w:tc>
          <w:tcPr>
            <w:tcW w:w="1287" w:type="dxa"/>
            <w:vMerge/>
            <w:tcBorders>
              <w:top w:val="single" w:sz="8" w:space="0" w:color="000000"/>
              <w:left w:val="single" w:sz="8" w:space="0" w:color="000000"/>
              <w:bottom w:val="single" w:sz="8" w:space="0" w:color="000000"/>
              <w:right w:val="single" w:sz="8" w:space="0" w:color="000000"/>
            </w:tcBorders>
            <w:shd w:val="clear" w:color="auto" w:fill="auto"/>
          </w:tcPr>
          <w:p w14:paraId="632A1A3E" w14:textId="77777777" w:rsidR="00686AFA" w:rsidRDefault="00686AFA" w:rsidP="00016F6B"/>
        </w:tc>
        <w:tc>
          <w:tcPr>
            <w:tcW w:w="1392" w:type="dxa"/>
            <w:tcBorders>
              <w:top w:val="single" w:sz="8" w:space="0" w:color="000000"/>
              <w:left w:val="single" w:sz="8" w:space="0" w:color="000000"/>
              <w:bottom w:val="single" w:sz="8" w:space="0" w:color="000000"/>
              <w:right w:val="single" w:sz="8" w:space="0" w:color="000000"/>
            </w:tcBorders>
            <w:shd w:val="clear" w:color="auto" w:fill="auto"/>
          </w:tcPr>
          <w:p w14:paraId="613DB2E9" w14:textId="77777777" w:rsidR="00686AFA" w:rsidRDefault="00686AFA" w:rsidP="00016F6B">
            <w:pPr>
              <w:pStyle w:val="LO-normal"/>
              <w:widowControl w:val="0"/>
              <w:spacing w:line="240" w:lineRule="auto"/>
              <w:rPr>
                <w:sz w:val="20"/>
                <w:szCs w:val="20"/>
              </w:rPr>
            </w:pPr>
            <w:r>
              <w:rPr>
                <w:sz w:val="20"/>
                <w:szCs w:val="20"/>
              </w:rPr>
              <w:t>Coarse-grained (CG) MD</w:t>
            </w:r>
          </w:p>
        </w:tc>
        <w:tc>
          <w:tcPr>
            <w:tcW w:w="2908" w:type="dxa"/>
            <w:tcBorders>
              <w:top w:val="single" w:sz="8" w:space="0" w:color="000000"/>
              <w:left w:val="single" w:sz="8" w:space="0" w:color="000000"/>
              <w:bottom w:val="single" w:sz="8" w:space="0" w:color="000000"/>
              <w:right w:val="single" w:sz="8" w:space="0" w:color="000000"/>
            </w:tcBorders>
            <w:shd w:val="clear" w:color="auto" w:fill="auto"/>
          </w:tcPr>
          <w:p w14:paraId="17056E30" w14:textId="77777777" w:rsidR="00686AFA" w:rsidRDefault="00686AFA" w:rsidP="00016F6B">
            <w:pPr>
              <w:pStyle w:val="LO-normal"/>
              <w:widowControl w:val="0"/>
              <w:spacing w:line="240" w:lineRule="auto"/>
              <w:rPr>
                <w:sz w:val="20"/>
                <w:szCs w:val="20"/>
              </w:rPr>
            </w:pPr>
            <w:r>
              <w:rPr>
                <w:sz w:val="20"/>
                <w:szCs w:val="20"/>
              </w:rPr>
              <w:t>Multiple atoms are grouped into interaction beads, which reduces the computational expense by reducing the number of calculations required and smoothening the energetic landscape.</w:t>
            </w:r>
          </w:p>
        </w:tc>
        <w:tc>
          <w:tcPr>
            <w:tcW w:w="4004" w:type="dxa"/>
            <w:tcBorders>
              <w:top w:val="single" w:sz="8" w:space="0" w:color="000000"/>
              <w:left w:val="single" w:sz="8" w:space="0" w:color="000000"/>
              <w:bottom w:val="single" w:sz="8" w:space="0" w:color="000000"/>
              <w:right w:val="single" w:sz="8" w:space="0" w:color="000000"/>
            </w:tcBorders>
            <w:shd w:val="clear" w:color="auto" w:fill="auto"/>
          </w:tcPr>
          <w:p w14:paraId="4660DD3C" w14:textId="77777777" w:rsidR="00686AFA" w:rsidRDefault="00686AFA" w:rsidP="00016F6B">
            <w:pPr>
              <w:pStyle w:val="LO-normal"/>
              <w:widowControl w:val="0"/>
              <w:numPr>
                <w:ilvl w:val="0"/>
                <w:numId w:val="5"/>
              </w:numPr>
              <w:spacing w:line="240" w:lineRule="auto"/>
              <w:ind w:left="432"/>
              <w:rPr>
                <w:sz w:val="20"/>
                <w:szCs w:val="20"/>
              </w:rPr>
            </w:pPr>
            <w:r>
              <w:rPr>
                <w:sz w:val="20"/>
                <w:szCs w:val="20"/>
              </w:rPr>
              <w:t>Larger systems and longer simulation times can be achieved, meaning aggregation events are more accessible</w:t>
            </w:r>
          </w:p>
          <w:p w14:paraId="0D1430AD" w14:textId="77777777" w:rsidR="00686AFA" w:rsidRDefault="00686AFA" w:rsidP="00016F6B">
            <w:pPr>
              <w:pStyle w:val="LO-normal"/>
              <w:widowControl w:val="0"/>
              <w:numPr>
                <w:ilvl w:val="0"/>
                <w:numId w:val="5"/>
              </w:numPr>
              <w:spacing w:line="240" w:lineRule="auto"/>
              <w:ind w:left="432"/>
              <w:rPr>
                <w:sz w:val="20"/>
                <w:szCs w:val="20"/>
              </w:rPr>
            </w:pPr>
            <w:r>
              <w:rPr>
                <w:sz w:val="20"/>
                <w:szCs w:val="20"/>
              </w:rPr>
              <w:t>Atomic detail is lost, which could lead to important events being overlooked. For example the changes in peptide conformation that may occur during aggregation</w:t>
            </w:r>
          </w:p>
        </w:tc>
        <w:tc>
          <w:tcPr>
            <w:tcW w:w="699" w:type="dxa"/>
            <w:tcBorders>
              <w:top w:val="single" w:sz="8" w:space="0" w:color="000000"/>
              <w:left w:val="single" w:sz="8" w:space="0" w:color="000000"/>
              <w:bottom w:val="single" w:sz="8" w:space="0" w:color="000000"/>
              <w:right w:val="single" w:sz="8" w:space="0" w:color="000000"/>
            </w:tcBorders>
            <w:shd w:val="clear" w:color="auto" w:fill="auto"/>
          </w:tcPr>
          <w:p w14:paraId="5A9C0336" w14:textId="10EEB671" w:rsidR="00686AFA" w:rsidRDefault="00686AFA" w:rsidP="00A313B9">
            <w:pPr>
              <w:pStyle w:val="LO-normal"/>
            </w:pPr>
            <w:r>
              <w:fldChar w:fldCharType="begin" w:fldLock="1"/>
            </w:r>
            <w:r w:rsidR="00576689">
              <w:instrText>ADDIN CSL_CITATION {"citationItems":[{"id":"ITEM-1","itemData":{"DOI":"10.1039/c3cs60093a","ISSN":"14604744","PMID":"23708257","abstract":"The Martini model, a coarse-grained force field for biomolecular simulations, has found a broad range of applications since its release a decade ago. Based on a building block principle, the model combines speed and versatility while maintaining chemical specificity. Here we review the current state of the model. We describe recent highlights as well as shortcomings, and our ideas on the further development of the model. © 2013 The Royal Society of Chemistry.","author":[{"dropping-particle":"","family":"Marrink","given":"Siewert J.","non-dropping-particle":"","parse-names":false,"suffix":""},{"dropping-particle":"","family":"Tieleman","given":"D. Peter","non-dropping-particle":"","parse-names":false,"suffix":""}],"container-title":"Chemical Society Reviews","id":"ITEM-1","issue":"16","issued":{"date-parts":[["2013","7","22"]]},"page":"6801-6822","publisher":"The Royal Society of Chemistry","title":"Perspective on the martini model","type":"article-journal","volume":"42"},"uris":["http://www.mendeley.com/documents/?uuid=aa96993f-99d7-3cc2-8a97-b33daa4b68b2"]},{"id":"ITEM-2","itemData":{"DOI":"10.1039/c4ra08480b","ISSN":"20462069","abstract":"We performed coarse-grained molecular dynamics simulations of antimicrobial peptides PGLa and magainin 2 in lipid bilayers. PGLa peptides or mixtures of PGLa and magainin 2 were initially widely spaced or clustered above the bilayer surface with different heterodimeric orientations (parallel or antiparallel). Simulations show that the presence of magainin 2 promotes more tilting and insertion of PGLa into the bilayer, indicating the synergistic effect. Magainin 2 interact with lipid headgroups and thus stay horizontally on the bilayer surface, while PGLa insert into the bilayer, leading to more tilted conformation, in agreement with recent NMR experiments. In particular, for the systems with the initially antiparallel-oriented heterodimers or with the neutrally mutated magainin 2, much fewer parallel heterodimers form, and PGLa peptides are less tilted and inserted, indicating that the formation of parallel heterodimers is important for the PGLa insertion, as suggested in experiments. Peptides aggregate in the mixture of PGLa and magainin 2, but not in the system without magainin 2, indicating that magainin 2 induce the peptide aggregation, which is required for the pore formation. These simulation findings agree with the experimental observations of the heterodimer formation as well as different positions of PGLa and magainin 2 in the bilayer, which seem to conflict. These conflicting results can be explained by the synergistic mechanism that magainin 2 form parallel heterodimers with PGLa and induce the aggregation of heterodimers, leading to the formation of pores, where magainin 2 tend to interact with the bilayer surface, while PGLa are tilted and inserted into the hydrophobic region of the bilayer. This journal is","author":[{"dropping-particle":"","family":"Han","given":"Eol","non-dropping-particle":"","parse-names":false,"suffix":""},{"dropping-particle":"","family":"Lee","given":"Hwankyu","non-dropping-particle":"","parse-names":false,"suffix":""}],"container-title":"RSC Advances","id":"ITEM-2","issue":"3","issued":{"date-parts":[["2015","12","3"]]},"page":"2047-2055","publisher":"Royal Society of Chemistry","title":"Synergistic effects of magainin 2 and PGLa on their heterodimer formation, aggregation, and insertion into the bilayer","type":"article-journal","volume":"5"},"uris":["http://www.mendeley.com/documents/?uuid=f24a981e-b018-389b-bcbd-c9095f983276"]},{"id":"ITEM-3","itemData":{"DOI":"10.1007/978-3-319-97277-0_21","ISSN":"1860949X","abstract":"Understanding the mechanism of action of antimicrobial peptides (AMPs) on bacterial cells requires detailed knowledge of how AMPs interact with bacterial membranes. Our hypothesis is that the peptides do not interact with the membrane as monomers, but rather form clusters, that collectively approach the cell and attack the membrane. In this paper we investigate the behavior of the antimicrobial peptide indolicidin in solution, prior to their interaction with the bacterial membrane, by means of coarse grain molecular dynamics simulations (CG-MD). We show that indolicidin in particular and, probably, charged linear AMPs in general tend to aggregate in solution, forming globular amphipathic clusters with a central hydrophobic core. The dependence of the clusters size on the peptide concentration and on the temperature is studied, as well as the influence of the finite size of the simulation box. Our results manifest the investigation of the AMPs behavior in solution prior to membrane impact as an indispensable element in revealing the mechanism of their antimicrobial activity.","author":[{"dropping-particle":"","family":"Marinova","given":"Rositsa","non-dropping-particle":"","parse-names":false,"suffix":""},{"dropping-particle":"","family":"Petkov","given":"Peicho","non-dropping-particle":"","parse-names":false,"suffix":""},{"dropping-particle":"","family":"Ilieva","given":"Nevena","non-dropping-particle":"","parse-names":false,"suffix":""},{"dropping-particle":"","family":"Lilkova","given":"Elena","non-dropping-particle":"","parse-names":false,"suffix":""},{"dropping-particle":"","family":"Litov","given":"Leandar","non-dropping-particle":"","parse-names":false,"suffix":""}],"container-title":"Studies in Computational Intelligence","id":"ITEM-3","issued":{"date-parts":[["2019","12","20"]]},"page":"257-265","publisher":"Springer Verlag","title":"Molecular dynamics study of the solution behaviour of antimicrobial peptide indolicidin","type":"chapter","volume":"793"},"uris":["http://www.mendeley.com/documents/?uuid=11ff9ba8-2231-3d4d-9abf-09fcb6946e7c"]}],"mendeley":{"formattedCitation":"&lt;sup&gt;212,228,229&lt;/sup&gt;","plainTextFormattedCitation":"212,228,229","previouslyFormattedCitation":"&lt;sup&gt;212,228,229&lt;/sup&gt;"},"properties":{"noteIndex":0},"schema":"https://github.com/citation-style-language/schema/raw/master/csl-citation.json"}</w:instrText>
            </w:r>
            <w:r>
              <w:fldChar w:fldCharType="separate"/>
            </w:r>
            <w:r w:rsidR="00A313B9" w:rsidRPr="00A313B9">
              <w:rPr>
                <w:noProof/>
                <w:vertAlign w:val="superscript"/>
              </w:rPr>
              <w:t>212,228,229</w:t>
            </w:r>
            <w:r>
              <w:fldChar w:fldCharType="end"/>
            </w:r>
          </w:p>
        </w:tc>
      </w:tr>
      <w:tr w:rsidR="00686AFA" w14:paraId="7F93CE01" w14:textId="77777777" w:rsidTr="00016F6B">
        <w:trPr>
          <w:trHeight w:val="420"/>
        </w:trPr>
        <w:tc>
          <w:tcPr>
            <w:tcW w:w="1287" w:type="dxa"/>
            <w:vMerge/>
            <w:tcBorders>
              <w:top w:val="single" w:sz="8" w:space="0" w:color="000000"/>
              <w:left w:val="single" w:sz="8" w:space="0" w:color="000000"/>
              <w:bottom w:val="single" w:sz="8" w:space="0" w:color="000000"/>
              <w:right w:val="single" w:sz="8" w:space="0" w:color="000000"/>
            </w:tcBorders>
            <w:shd w:val="clear" w:color="auto" w:fill="auto"/>
          </w:tcPr>
          <w:p w14:paraId="1D35422E" w14:textId="77777777" w:rsidR="00686AFA" w:rsidRDefault="00686AFA" w:rsidP="00016F6B"/>
        </w:tc>
        <w:tc>
          <w:tcPr>
            <w:tcW w:w="1392" w:type="dxa"/>
            <w:tcBorders>
              <w:top w:val="single" w:sz="8" w:space="0" w:color="000000"/>
              <w:left w:val="single" w:sz="8" w:space="0" w:color="000000"/>
              <w:bottom w:val="single" w:sz="8" w:space="0" w:color="000000"/>
              <w:right w:val="single" w:sz="8" w:space="0" w:color="000000"/>
            </w:tcBorders>
            <w:shd w:val="clear" w:color="auto" w:fill="auto"/>
          </w:tcPr>
          <w:p w14:paraId="1F3891BD" w14:textId="77777777" w:rsidR="00686AFA" w:rsidRDefault="00686AFA" w:rsidP="00016F6B">
            <w:pPr>
              <w:pStyle w:val="LO-normal"/>
              <w:widowControl w:val="0"/>
              <w:spacing w:line="240" w:lineRule="auto"/>
              <w:rPr>
                <w:sz w:val="20"/>
                <w:szCs w:val="20"/>
              </w:rPr>
            </w:pPr>
            <w:r>
              <w:rPr>
                <w:sz w:val="20"/>
                <w:szCs w:val="20"/>
              </w:rPr>
              <w:t>Metadynamics</w:t>
            </w:r>
          </w:p>
        </w:tc>
        <w:tc>
          <w:tcPr>
            <w:tcW w:w="2908" w:type="dxa"/>
            <w:tcBorders>
              <w:top w:val="single" w:sz="8" w:space="0" w:color="000000"/>
              <w:left w:val="single" w:sz="8" w:space="0" w:color="000000"/>
              <w:bottom w:val="single" w:sz="8" w:space="0" w:color="000000"/>
              <w:right w:val="single" w:sz="8" w:space="0" w:color="000000"/>
            </w:tcBorders>
            <w:shd w:val="clear" w:color="auto" w:fill="auto"/>
          </w:tcPr>
          <w:p w14:paraId="583BCDE2" w14:textId="77777777" w:rsidR="00686AFA" w:rsidRDefault="00686AFA" w:rsidP="00016F6B">
            <w:pPr>
              <w:pStyle w:val="LO-normal"/>
              <w:widowControl w:val="0"/>
              <w:spacing w:line="240" w:lineRule="auto"/>
              <w:rPr>
                <w:sz w:val="20"/>
                <w:szCs w:val="20"/>
              </w:rPr>
            </w:pPr>
            <w:r>
              <w:rPr>
                <w:sz w:val="20"/>
                <w:szCs w:val="20"/>
              </w:rPr>
              <w:t xml:space="preserve">A history-dependent bias is added to the potential, with respect to a given reaction coordinate, throughout the simulation. This has the effect of pushing the system away from previously explored regions of the energy landscape. At the end of the simulation, the sum of the bias potential along the reaction coordinate can be accumulated to deduce the underlying energy landscape.  </w:t>
            </w:r>
          </w:p>
        </w:tc>
        <w:tc>
          <w:tcPr>
            <w:tcW w:w="4004" w:type="dxa"/>
            <w:tcBorders>
              <w:top w:val="single" w:sz="8" w:space="0" w:color="000000"/>
              <w:left w:val="single" w:sz="8" w:space="0" w:color="000000"/>
              <w:bottom w:val="single" w:sz="8" w:space="0" w:color="000000"/>
              <w:right w:val="single" w:sz="8" w:space="0" w:color="000000"/>
            </w:tcBorders>
            <w:shd w:val="clear" w:color="auto" w:fill="auto"/>
          </w:tcPr>
          <w:p w14:paraId="09564939" w14:textId="77777777" w:rsidR="00686AFA" w:rsidRDefault="00686AFA" w:rsidP="00016F6B">
            <w:pPr>
              <w:pStyle w:val="LO-normal"/>
              <w:widowControl w:val="0"/>
              <w:numPr>
                <w:ilvl w:val="0"/>
                <w:numId w:val="2"/>
              </w:numPr>
              <w:spacing w:line="240" w:lineRule="auto"/>
              <w:rPr>
                <w:sz w:val="20"/>
                <w:szCs w:val="20"/>
              </w:rPr>
            </w:pPr>
            <w:r>
              <w:rPr>
                <w:sz w:val="20"/>
                <w:szCs w:val="20"/>
              </w:rPr>
              <w:t>The technique can be used to enhance the sampling of slow aggregation events that may not be accessible to conventional MD</w:t>
            </w:r>
          </w:p>
          <w:p w14:paraId="4E43B552" w14:textId="77777777" w:rsidR="00686AFA" w:rsidRDefault="00686AFA" w:rsidP="00016F6B">
            <w:pPr>
              <w:pStyle w:val="LO-normal"/>
              <w:widowControl w:val="0"/>
              <w:numPr>
                <w:ilvl w:val="0"/>
                <w:numId w:val="2"/>
              </w:numPr>
              <w:spacing w:line="240" w:lineRule="auto"/>
              <w:rPr>
                <w:sz w:val="20"/>
                <w:szCs w:val="20"/>
              </w:rPr>
            </w:pPr>
            <w:r>
              <w:rPr>
                <w:sz w:val="20"/>
                <w:szCs w:val="20"/>
              </w:rPr>
              <w:t>The bias needs to be applied to appropriate reaction coordinates in order to capture the aggregation event</w:t>
            </w:r>
          </w:p>
          <w:p w14:paraId="168FEBAD" w14:textId="77777777" w:rsidR="00686AFA" w:rsidRDefault="00686AFA" w:rsidP="00016F6B">
            <w:pPr>
              <w:pStyle w:val="LO-normal"/>
              <w:widowControl w:val="0"/>
              <w:numPr>
                <w:ilvl w:val="0"/>
                <w:numId w:val="2"/>
              </w:numPr>
              <w:spacing w:line="240" w:lineRule="auto"/>
              <w:rPr>
                <w:sz w:val="20"/>
                <w:szCs w:val="20"/>
              </w:rPr>
            </w:pPr>
            <w:r>
              <w:rPr>
                <w:sz w:val="20"/>
                <w:szCs w:val="20"/>
              </w:rPr>
              <w:t>It can be hard to choose reaction coordinates if the oligomeric structure is unknown</w:t>
            </w:r>
          </w:p>
        </w:tc>
        <w:tc>
          <w:tcPr>
            <w:tcW w:w="699" w:type="dxa"/>
            <w:tcBorders>
              <w:top w:val="single" w:sz="8" w:space="0" w:color="000000"/>
              <w:left w:val="single" w:sz="8" w:space="0" w:color="000000"/>
              <w:bottom w:val="single" w:sz="8" w:space="0" w:color="000000"/>
              <w:right w:val="single" w:sz="8" w:space="0" w:color="000000"/>
            </w:tcBorders>
            <w:shd w:val="clear" w:color="auto" w:fill="auto"/>
          </w:tcPr>
          <w:p w14:paraId="2A50FA01" w14:textId="19D6CD65" w:rsidR="00686AFA" w:rsidRDefault="00686AFA" w:rsidP="00A313B9">
            <w:pPr>
              <w:pStyle w:val="LO-normal"/>
            </w:pPr>
            <w:r>
              <w:fldChar w:fldCharType="begin" w:fldLock="1"/>
            </w:r>
            <w:r w:rsidR="00522194">
              <w:instrText>ADDIN CSL_CITATION {"citationItems":[{"id":"ITEM-1","itemData":{"DOI":"10.1016/j.bbagen.2014.10.019","ISSN":"18728006","PMID":"25450171","abstract":"Background: Molecular dynamics has emerged as an important research methodology covering systems to the level of millions of atoms. However, insufficient sampling often limits its application. The limitation is due to rough energy landscapes, with many local minima separated by high-energy barriers, which govern the biomolecular motion. Scope of review: In the past few decades methods have been developed that address the sampling problem, such as replica-exchange molecular dynamics, metadynamics and simulated annealing. Here we present an overview over theses sampling methods in an attempt to shed light on which should be selected depending on the type of system property studied. Major conclusions: Enhanced sampling methods have been employed for a broad range of biological systems and the choice of a suitable method is connected to biological and physical characteristics of the system, in particular system size. While metadynamics and replica-exchange molecular dynamics are the most adopted sampling methods to study biomolecular dynamics, simulated annealing is well suited to characterize very flexible systems. The use of annealing methods for a long time was restricted to simulation of small proteins; however, a variant of the method, generalized simulated annealing, can be employed at a relatively low computational cost to large macromolecular complexes. General significance: Molecular dynamics trajectories frequently do not reach all relevant conformational substates, for example those connected with biological function, a problem that can be addressed by employing enhanced sampling algorithms. This article is part of a Special Issue entitled Recent developments of molecular dynamics.","author":[{"dropping-particle":"","family":"Bernardi","given":"Rafael C.","non-dropping-particle":"","parse-names":false,"suffix":""},{"dropping-particle":"","family":"Melo","given":"Marcelo C.R.","non-dropping-particle":"","parse-names":false,"suffix":""},{"dropping-particle":"","family":"Schulten","given":"Klaus","non-dropping-particle":"","parse-names":false,"suffix":""}],"container-title":"Biochimica et Biophysica Acta - General Subjects","id":"ITEM-1","issue":"5","issued":{"date-parts":[["2015","5","1"]]},"page":"872-877","publisher":"Elsevier","title":"Enhanced sampling techniques in molecular dynamics simulations of biological systems","type":"article-journal","volume":"1850"},"uris":["http://www.mendeley.com/documents/?uuid=d4f1f554-5129-3a9a-a36a-ef53fc41e177"]},{"id":"ITEM-2","itemData":{"DOI":"10.1021/acs.jpcb.5b03254","ISSN":"15205207","PMID":"26208115","abstract":"Melittin is a natural peptide that aggregates in aqueous solutions with paradigmatic monomer-to-tetramer and coil-to-helix transitions. Since little is known about the molecular mechanisms of melittin aggregation in solution, we simulated its self-aggregation process under various conditions. After confirming the stability of a melittin tetramer in solution, we observed-for the first time in atomistic detail-that four separated melittin monomers aggregate into a tetramer. Our simulated dependence of melittin aggregation on peptide concentration, temperature, and ionic strength is in good agreement with prior experiments. We propose that melittin mainly self-aggregates via a mechanism involving the sequential addition of monomers, which is supported by both qualitative and quantitative evidence obtained from unbiased and metadynamics simulations. Moreover, by combining computer simulations and a theory of the electrical double layer, we provide evidence to suggest why melittin aggregation in solution likely stops at the tetramer, rather than forming higher-order oligomers. Overall, our study not only explains prior experimental results at the molecular level but also provides quantitative mechanistic information that may guide the engineering of melittin for higher efficacy and safety.","author":[{"dropping-particle":"","family":"Liao","given":"Chenyi","non-dropping-particle":"","parse-names":false,"suffix":""},{"dropping-particle":"","family":"Esai Selvan","given":"Myvizhi","non-dropping-particle":"","parse-names":false,"suffix":""},{"dropping-particle":"","family":"Zhao","given":"Jun","non-dropping-particle":"","parse-names":false,"suffix":""},{"dropping-particle":"","family":"Slimovitch","given":"Jonathan L.","non-dropping-particle":"","parse-names":false,"suffix":""},{"dropping-particle":"","family":"Schneebeli","given":"Severin T.","non-dropping-particle":"","parse-names":false,"suffix":""},{"dropping-particle":"","family":"Shelley","given":"Mee","non-dropping-particle":"","parse-names":false,"suffix":""},{"dropping-particle":"","family":"Shelley","given":"John C.","non-dropping-particle":"","parse-names":false,"suffix":""},{"dropping-particle":"","family":"Li","given":"Jianing","non-dropping-particle":"","parse-names":false,"suffix":""}],"container-title":"Journal of Physical Chemistry B","id":"ITEM-2","issue":"33","issued":{"date-parts":[["2015","8","20"]]},"page":"10390-10398","publisher":"American Chemical Society","title":"Melittin Aggregation in Aqueous Solutions: Insight from Molecular Dynamics Simulations","type":"article-journal","volume":"119"},"uris":["http://www.mendeley.com/documents/?uuid=764a5b9d-eda2-372f-b2dc-6f2ea9f220a8"]},{"id":"ITEM-3","itemData":{"DOI":"10.1088/0034-4885/71/12/126601","ISSN":"00344885","abstract":"Metadynamics is a powerful algorithm that can be used both for reconstructing the free energy and for accelerating rare events in systems described by complex Hamiltonians, at the classical or at the quantum level. In the algorithm the normal evolution of the system is biased by a history-dependent potential constructed as a sum of Gaussians centered along the trajectory followed by a suitably chosen set of collective variables. The sum of Gaussians is exploited for reconstructing iteratively an estimator of the free energy and forcing the system to escape from local minima. This review is intended to provide a comprehensive description of the algorithm, with a focus on the practical aspects that need to be addressed when one attempts to apply metadynamics to a new system: (i) the choice of the appropriate set of collective variables; (ii) the optimal choice of the metadynamics parameters and (iii) how to control the error and ensure convergence of the algorithm. © 2008 IOP Publishing Ltd.","author":[{"dropping-particle":"","family":"Laio","given":"Alessandro","non-dropping-particle":"","parse-names":false,"suffix":""},{"dropping-particle":"","family":"Gervasio","given":"Francesco L.","non-dropping-particle":"","parse-names":false,"suffix":""}],"container-title":"Reports on Progress in Physics","id":"ITEM-3","issue":"12","issued":{"date-parts":[["2008","12","1"]]},"page":"126601","publisher":"IOP Publishing","title":"Metadynamics: A method to simulate rare events and reconstruct the free energy in biophysics, chemistry and material science","type":"article-journal","volume":"71"},"uris":["http://www.mendeley.com/documents/?uuid=2de86d29-4623-3f20-a7b5-4151953010f5"]}],"mendeley":{"formattedCitation":"&lt;sup&gt;226,230,231&lt;/sup&gt;","plainTextFormattedCitation":"226,230,231","previouslyFormattedCitation":"&lt;sup&gt;226,230,231&lt;/sup&gt;"},"properties":{"noteIndex":0},"schema":"https://github.com/citation-style-language/schema/raw/master/csl-citation.json"}</w:instrText>
            </w:r>
            <w:r>
              <w:fldChar w:fldCharType="separate"/>
            </w:r>
            <w:r w:rsidR="00A313B9" w:rsidRPr="00A313B9">
              <w:rPr>
                <w:noProof/>
                <w:vertAlign w:val="superscript"/>
              </w:rPr>
              <w:t>226,230,231</w:t>
            </w:r>
            <w:r>
              <w:fldChar w:fldCharType="end"/>
            </w:r>
          </w:p>
        </w:tc>
      </w:tr>
      <w:tr w:rsidR="00686AFA" w14:paraId="654912C2" w14:textId="77777777" w:rsidTr="00016F6B">
        <w:trPr>
          <w:trHeight w:val="420"/>
        </w:trPr>
        <w:tc>
          <w:tcPr>
            <w:tcW w:w="1287" w:type="dxa"/>
            <w:vMerge/>
            <w:tcBorders>
              <w:top w:val="single" w:sz="8" w:space="0" w:color="000000"/>
              <w:left w:val="single" w:sz="8" w:space="0" w:color="000000"/>
              <w:bottom w:val="single" w:sz="8" w:space="0" w:color="000000"/>
              <w:right w:val="single" w:sz="8" w:space="0" w:color="000000"/>
            </w:tcBorders>
            <w:shd w:val="clear" w:color="auto" w:fill="auto"/>
          </w:tcPr>
          <w:p w14:paraId="6452EDCE" w14:textId="77777777" w:rsidR="00686AFA" w:rsidRDefault="00686AFA" w:rsidP="00016F6B"/>
        </w:tc>
        <w:tc>
          <w:tcPr>
            <w:tcW w:w="1392" w:type="dxa"/>
            <w:tcBorders>
              <w:top w:val="single" w:sz="8" w:space="0" w:color="000000"/>
              <w:left w:val="single" w:sz="8" w:space="0" w:color="000000"/>
              <w:bottom w:val="single" w:sz="8" w:space="0" w:color="000000"/>
              <w:right w:val="single" w:sz="8" w:space="0" w:color="000000"/>
            </w:tcBorders>
            <w:shd w:val="clear" w:color="auto" w:fill="auto"/>
          </w:tcPr>
          <w:p w14:paraId="5C79D1F9" w14:textId="77777777" w:rsidR="00686AFA" w:rsidRDefault="00686AFA" w:rsidP="00016F6B">
            <w:pPr>
              <w:pStyle w:val="LO-normal"/>
              <w:widowControl w:val="0"/>
              <w:spacing w:line="240" w:lineRule="auto"/>
              <w:rPr>
                <w:sz w:val="20"/>
                <w:szCs w:val="20"/>
              </w:rPr>
            </w:pPr>
            <w:r>
              <w:rPr>
                <w:sz w:val="20"/>
                <w:szCs w:val="20"/>
              </w:rPr>
              <w:t>Umbrella Sampling (US)</w:t>
            </w:r>
          </w:p>
        </w:tc>
        <w:tc>
          <w:tcPr>
            <w:tcW w:w="2908" w:type="dxa"/>
            <w:tcBorders>
              <w:top w:val="single" w:sz="8" w:space="0" w:color="000000"/>
              <w:left w:val="single" w:sz="8" w:space="0" w:color="000000"/>
              <w:bottom w:val="single" w:sz="8" w:space="0" w:color="000000"/>
              <w:right w:val="single" w:sz="8" w:space="0" w:color="000000"/>
            </w:tcBorders>
            <w:shd w:val="clear" w:color="auto" w:fill="auto"/>
          </w:tcPr>
          <w:p w14:paraId="48792B01" w14:textId="77777777" w:rsidR="00686AFA" w:rsidRDefault="00686AFA" w:rsidP="00016F6B">
            <w:pPr>
              <w:pStyle w:val="LO-normal"/>
              <w:widowControl w:val="0"/>
              <w:spacing w:line="240" w:lineRule="auto"/>
              <w:rPr>
                <w:sz w:val="20"/>
                <w:szCs w:val="20"/>
              </w:rPr>
            </w:pPr>
            <w:r>
              <w:rPr>
                <w:sz w:val="20"/>
                <w:szCs w:val="20"/>
              </w:rPr>
              <w:t xml:space="preserve">The system is restrained at different values (windows) of a given reaction coordinate and MD data </w:t>
            </w:r>
            <w:r>
              <w:rPr>
                <w:sz w:val="20"/>
                <w:szCs w:val="20"/>
              </w:rPr>
              <w:lastRenderedPageBreak/>
              <w:t>are sampled. The data are then combined and the restraint bias is removed to calculate the underlying energy landscape with respect to the reaction coordinate.</w:t>
            </w:r>
          </w:p>
        </w:tc>
        <w:tc>
          <w:tcPr>
            <w:tcW w:w="4004" w:type="dxa"/>
            <w:tcBorders>
              <w:top w:val="single" w:sz="8" w:space="0" w:color="000000"/>
              <w:left w:val="single" w:sz="8" w:space="0" w:color="000000"/>
              <w:bottom w:val="single" w:sz="8" w:space="0" w:color="000000"/>
              <w:right w:val="single" w:sz="8" w:space="0" w:color="000000"/>
            </w:tcBorders>
            <w:shd w:val="clear" w:color="auto" w:fill="auto"/>
          </w:tcPr>
          <w:p w14:paraId="6B738E44" w14:textId="77777777" w:rsidR="00686AFA" w:rsidRDefault="00686AFA" w:rsidP="00016F6B">
            <w:pPr>
              <w:pStyle w:val="LO-normal"/>
              <w:widowControl w:val="0"/>
              <w:numPr>
                <w:ilvl w:val="0"/>
                <w:numId w:val="2"/>
              </w:numPr>
              <w:spacing w:line="240" w:lineRule="auto"/>
              <w:rPr>
                <w:sz w:val="20"/>
                <w:szCs w:val="20"/>
              </w:rPr>
            </w:pPr>
            <w:r>
              <w:rPr>
                <w:sz w:val="20"/>
                <w:szCs w:val="20"/>
              </w:rPr>
              <w:lastRenderedPageBreak/>
              <w:t>The technique can be used to enhance the sampling of slow aggregation events that may not be accessible to conventional MD</w:t>
            </w:r>
          </w:p>
          <w:p w14:paraId="4B25BCCA" w14:textId="77777777" w:rsidR="00686AFA" w:rsidRDefault="00686AFA" w:rsidP="00016F6B">
            <w:pPr>
              <w:pStyle w:val="LO-normal"/>
              <w:widowControl w:val="0"/>
              <w:numPr>
                <w:ilvl w:val="0"/>
                <w:numId w:val="2"/>
              </w:numPr>
              <w:spacing w:line="240" w:lineRule="auto"/>
              <w:rPr>
                <w:sz w:val="20"/>
                <w:szCs w:val="20"/>
              </w:rPr>
            </w:pPr>
            <w:r>
              <w:rPr>
                <w:sz w:val="20"/>
                <w:szCs w:val="20"/>
              </w:rPr>
              <w:lastRenderedPageBreak/>
              <w:t>As with metadynamics, an appropriate reaction coordinate needs to be chosen to capture the aggregation event</w:t>
            </w:r>
          </w:p>
          <w:p w14:paraId="01C8756B" w14:textId="77777777" w:rsidR="00686AFA" w:rsidRDefault="00686AFA" w:rsidP="00016F6B">
            <w:pPr>
              <w:pStyle w:val="LO-normal"/>
              <w:widowControl w:val="0"/>
              <w:numPr>
                <w:ilvl w:val="0"/>
                <w:numId w:val="2"/>
              </w:numPr>
              <w:spacing w:line="240" w:lineRule="auto"/>
              <w:rPr>
                <w:sz w:val="20"/>
                <w:szCs w:val="20"/>
              </w:rPr>
            </w:pPr>
            <w:r>
              <w:rPr>
                <w:sz w:val="20"/>
                <w:szCs w:val="20"/>
              </w:rPr>
              <w:t>This can be difficult if the oligomeric structure is unknown</w:t>
            </w:r>
          </w:p>
        </w:tc>
        <w:tc>
          <w:tcPr>
            <w:tcW w:w="699" w:type="dxa"/>
            <w:tcBorders>
              <w:top w:val="single" w:sz="8" w:space="0" w:color="000000"/>
              <w:left w:val="single" w:sz="8" w:space="0" w:color="000000"/>
              <w:bottom w:val="single" w:sz="8" w:space="0" w:color="000000"/>
              <w:right w:val="single" w:sz="8" w:space="0" w:color="000000"/>
            </w:tcBorders>
            <w:shd w:val="clear" w:color="auto" w:fill="auto"/>
          </w:tcPr>
          <w:p w14:paraId="024D29CB" w14:textId="1617AC71" w:rsidR="00686AFA" w:rsidRDefault="00686AFA" w:rsidP="00A313B9">
            <w:pPr>
              <w:pStyle w:val="LO-normal"/>
            </w:pPr>
            <w:r>
              <w:lastRenderedPageBreak/>
              <w:fldChar w:fldCharType="begin" w:fldLock="1"/>
            </w:r>
            <w:r w:rsidR="00576689">
              <w:instrText>ADDIN CSL_CITATION {"citationItems":[{"id":"ITEM-1","itemData":{"DOI":"10.1002/wcms.66","ISSN":"17590876","abstract":"The calculation of free-energy differences is one of the main challenges in computational biology and biochemistry. Umbrella sampling, biased molecular dynamics (MD), is one of the methods that provide free energy along a reaction coordinate. Here, the method is derived in a historic overview and is compared with related methods like thermodynamic integration, slow growth, steered MD, or the Jarzynski-based fast-growth technique. In umbrella sampling, bias potentials along a (one- or more-dimensional) reaction coordinate drive a system from one thermodynamic state to another (e.g., reactant and product). The intermediate steps are covered by a series of windows, at each of which an MD simulation is performed. The bias potentials can have any functional form. Often, harmonic potentials are used for their simplicity. From the sampled distribution of the system along the reaction coordinate, the change in free energy in each window can be calculated. The windows are then combined by methods like the weighted histogram analysis method or umbrella integration. If the bias potential is adapted to result in an even distribution between the end states, then this whole range can be spanned by one window (adaptive-bias umbrella sampling). In this case, the free-energy change is directly obtained from the bias. The sampling in each window can be improved by replica exchange methods; either by exchange between successive windows or by running additional simulations at higher temperatures. © 2011 John Wiley &amp; Sons, Ltd.","author":[{"dropping-particle":"","family":"Kästner","given":"Johannes","non-dropping-particle":"","parse-names":false,"suffix":""}],"container-title":"Wiley Interdisciplinary Reviews: Computational Molecular Science","id":"ITEM-1","issue":"6","issued":{"date-parts":[["2011","11","1"]]},"page":"932-942","publisher":"Blackwell Publishing Inc.","title":"Umbrella sampling","type":"article-journal","volume":"1"},"uris":["http://www.mendeley.com/documents/?uuid=3dd4ffee-16fc-39a8-b6ed-3b33e876721f"]},{"id":"ITEM-2","itemData":{"DOI":"10.1021/acs.biochem.8b00052","ISSN":"15204995","PMID":"29638118","abstract":"Antimicrobial peptides (AMPs) are a promising alternative to antibiotics for mitigating bacterial infections, in light of increasing bacterial resistance to antibiotics. However, predicting, understanding, and controlling the antibacterial activity of AMPs remain a significant challenge. While peptide intramolecular interactions are known to modulate AMP antimicrobial activity, peptide intermolecular interactions remain elusive in their impact on peptide bioactivity. Herein, we test the relationship between AMP intermolecular interactions and antibacterial efficacy by controlling AMP intermolecular hydrophobic and hydrogen bonding interactions. Molecular dynamics simulations and Gibbs free energy calculations in concert with experimental assays show that increasing intermolecular interactions via interpeptide aggregation increases the energy cost for the peptide to embed into the bacterial cell membrane, which in turn decreases the AMP antibacterial activity. Our findings provide a route for predicting and controlling the antibacterial activity of AMPs against Gram-negative bacteria via reductions of intermolecular AMP interactions.","author":[{"dropping-particle":"","family":"Zou","given":"Rongfeng","non-dropping-particle":"","parse-names":false,"suffix":""},{"dropping-particle":"","family":"Zhu","given":"Xiaomin","non-dropping-particle":"","parse-names":false,"suffix":""},{"dropping-particle":"","family":"Tu","given":"Yaoquan","non-dropping-particle":"","parse-names":false,"suffix":""},{"dropping-particle":"","family":"Wu","given":"Junchen","non-dropping-particle":"","parse-names":false,"suffix":""},{"dropping-particle":"","family":"Landry","given":"Markita P.","non-dropping-particle":"","parse-names":false,"suffix":""}],"container-title":"Biochemistry","id":"ITEM-2","issue":"18","issued":{"date-parts":[["2018","5","8"]]},"page":"2606-2610","publisher":"American Chemical Society","title":"Activity of Antimicrobial Peptide Aggregates Decreases with Increased Cell Membrane Embedding Free Energy Cost","type":"article-journal","volume":"57"},"uris":["http://www.mendeley.com/documents/?uuid=e4a6cbc5-e180-3f9e-bad5-926030b94702"]}],"mendeley":{"formattedCitation":"&lt;sup&gt;74,232&lt;/sup&gt;","plainTextFormattedCitation":"74,232","previouslyFormattedCitation":"&lt;sup&gt;74,232&lt;/sup&gt;"},"properties":{"noteIndex":0},"schema":"https://github.com/citation-style-language/schema/raw/master/csl-citation.json"}</w:instrText>
            </w:r>
            <w:r>
              <w:fldChar w:fldCharType="separate"/>
            </w:r>
            <w:r w:rsidR="00A313B9" w:rsidRPr="00A313B9">
              <w:rPr>
                <w:noProof/>
                <w:vertAlign w:val="superscript"/>
              </w:rPr>
              <w:t>74,232</w:t>
            </w:r>
            <w:r>
              <w:fldChar w:fldCharType="end"/>
            </w:r>
          </w:p>
        </w:tc>
      </w:tr>
      <w:tr w:rsidR="00686AFA" w14:paraId="6601ED0E" w14:textId="77777777" w:rsidTr="00016F6B">
        <w:trPr>
          <w:trHeight w:val="420"/>
        </w:trPr>
        <w:tc>
          <w:tcPr>
            <w:tcW w:w="1287"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3F618E4A" w14:textId="77777777" w:rsidR="00686AFA" w:rsidRDefault="00686AFA" w:rsidP="00016F6B">
            <w:pPr>
              <w:pStyle w:val="LO-normal"/>
              <w:widowControl w:val="0"/>
              <w:spacing w:line="240" w:lineRule="auto"/>
              <w:rPr>
                <w:sz w:val="20"/>
                <w:szCs w:val="20"/>
              </w:rPr>
            </w:pPr>
            <w:r>
              <w:rPr>
                <w:sz w:val="20"/>
                <w:szCs w:val="20"/>
              </w:rPr>
              <w:t>Peptide-membrane interactions</w:t>
            </w:r>
          </w:p>
        </w:tc>
        <w:tc>
          <w:tcPr>
            <w:tcW w:w="1392" w:type="dxa"/>
            <w:tcBorders>
              <w:top w:val="single" w:sz="8" w:space="0" w:color="000000"/>
              <w:left w:val="single" w:sz="8" w:space="0" w:color="000000"/>
              <w:bottom w:val="single" w:sz="8" w:space="0" w:color="000000"/>
              <w:right w:val="single" w:sz="8" w:space="0" w:color="000000"/>
            </w:tcBorders>
            <w:shd w:val="clear" w:color="auto" w:fill="auto"/>
          </w:tcPr>
          <w:p w14:paraId="1C9C7BB6" w14:textId="77777777" w:rsidR="00686AFA" w:rsidRDefault="00686AFA" w:rsidP="00016F6B">
            <w:pPr>
              <w:pStyle w:val="LO-normal"/>
              <w:widowControl w:val="0"/>
              <w:spacing w:line="240" w:lineRule="auto"/>
              <w:rPr>
                <w:sz w:val="20"/>
                <w:szCs w:val="20"/>
              </w:rPr>
            </w:pPr>
            <w:r>
              <w:rPr>
                <w:sz w:val="20"/>
                <w:szCs w:val="20"/>
              </w:rPr>
              <w:t>Conventional atomistic MD</w:t>
            </w:r>
          </w:p>
        </w:tc>
        <w:tc>
          <w:tcPr>
            <w:tcW w:w="2908" w:type="dxa"/>
            <w:tcBorders>
              <w:top w:val="single" w:sz="8" w:space="0" w:color="000000"/>
              <w:left w:val="single" w:sz="8" w:space="0" w:color="000000"/>
              <w:bottom w:val="single" w:sz="8" w:space="0" w:color="000000"/>
              <w:right w:val="single" w:sz="8" w:space="0" w:color="000000"/>
            </w:tcBorders>
            <w:shd w:val="clear" w:color="auto" w:fill="auto"/>
          </w:tcPr>
          <w:p w14:paraId="3A42ABE4" w14:textId="77777777" w:rsidR="00686AFA" w:rsidRDefault="00686AFA" w:rsidP="00016F6B">
            <w:pPr>
              <w:pStyle w:val="LO-normal"/>
              <w:widowControl w:val="0"/>
              <w:spacing w:line="240" w:lineRule="auto"/>
              <w:rPr>
                <w:sz w:val="20"/>
                <w:szCs w:val="20"/>
              </w:rPr>
            </w:pPr>
            <w:r>
              <w:rPr>
                <w:sz w:val="20"/>
                <w:szCs w:val="20"/>
              </w:rPr>
              <w:t>As described above</w:t>
            </w:r>
          </w:p>
        </w:tc>
        <w:tc>
          <w:tcPr>
            <w:tcW w:w="4004" w:type="dxa"/>
            <w:tcBorders>
              <w:top w:val="single" w:sz="8" w:space="0" w:color="000000"/>
              <w:left w:val="single" w:sz="8" w:space="0" w:color="000000"/>
              <w:bottom w:val="single" w:sz="8" w:space="0" w:color="000000"/>
              <w:right w:val="single" w:sz="8" w:space="0" w:color="000000"/>
            </w:tcBorders>
            <w:shd w:val="clear" w:color="auto" w:fill="auto"/>
          </w:tcPr>
          <w:p w14:paraId="2AC91B34" w14:textId="77777777" w:rsidR="00686AFA" w:rsidRDefault="00686AFA" w:rsidP="00016F6B">
            <w:pPr>
              <w:pStyle w:val="LO-normal"/>
              <w:widowControl w:val="0"/>
              <w:numPr>
                <w:ilvl w:val="0"/>
                <w:numId w:val="7"/>
              </w:numPr>
              <w:spacing w:line="240" w:lineRule="auto"/>
              <w:rPr>
                <w:sz w:val="20"/>
                <w:szCs w:val="20"/>
              </w:rPr>
            </w:pPr>
            <w:r>
              <w:rPr>
                <w:sz w:val="20"/>
                <w:szCs w:val="20"/>
              </w:rPr>
              <w:t>Can be used to investigate the surface interactions of AMPs with lipid bilayers or the interactions of AMPs embedded within the bilayer</w:t>
            </w:r>
          </w:p>
          <w:p w14:paraId="00255769" w14:textId="77777777" w:rsidR="00686AFA" w:rsidRDefault="00686AFA" w:rsidP="00016F6B">
            <w:pPr>
              <w:pStyle w:val="LO-normal"/>
              <w:widowControl w:val="0"/>
              <w:numPr>
                <w:ilvl w:val="0"/>
                <w:numId w:val="7"/>
              </w:numPr>
              <w:spacing w:line="240" w:lineRule="auto"/>
              <w:rPr>
                <w:sz w:val="20"/>
                <w:szCs w:val="20"/>
              </w:rPr>
            </w:pPr>
            <w:r>
              <w:rPr>
                <w:sz w:val="20"/>
                <w:szCs w:val="20"/>
              </w:rPr>
              <w:t>Can also be used to perform self-assembly simulations of peptide-bilayer systems, which eliminates the need to overcome the energy barriers associated with peptide-penetration into a preformed bilayer</w:t>
            </w:r>
          </w:p>
          <w:p w14:paraId="33970F7E" w14:textId="77777777" w:rsidR="00686AFA" w:rsidRDefault="00686AFA" w:rsidP="00016F6B">
            <w:pPr>
              <w:pStyle w:val="LO-normal"/>
              <w:widowControl w:val="0"/>
              <w:numPr>
                <w:ilvl w:val="0"/>
                <w:numId w:val="7"/>
              </w:numPr>
              <w:spacing w:line="240" w:lineRule="auto"/>
              <w:rPr>
                <w:sz w:val="20"/>
                <w:szCs w:val="20"/>
              </w:rPr>
            </w:pPr>
            <w:r>
              <w:rPr>
                <w:sz w:val="20"/>
                <w:szCs w:val="20"/>
              </w:rPr>
              <w:t>Transitions between metastable states unlikely to occur due to the computational expense associated with overcoming energy barriers</w:t>
            </w:r>
          </w:p>
          <w:p w14:paraId="453A1F07" w14:textId="77777777" w:rsidR="00686AFA" w:rsidRDefault="00686AFA" w:rsidP="00016F6B">
            <w:pPr>
              <w:pStyle w:val="LO-normal"/>
              <w:widowControl w:val="0"/>
              <w:numPr>
                <w:ilvl w:val="0"/>
                <w:numId w:val="7"/>
              </w:numPr>
              <w:spacing w:line="240" w:lineRule="auto"/>
              <w:rPr>
                <w:sz w:val="20"/>
                <w:szCs w:val="20"/>
              </w:rPr>
            </w:pPr>
            <w:r>
              <w:rPr>
                <w:sz w:val="20"/>
                <w:szCs w:val="20"/>
              </w:rPr>
              <w:t xml:space="preserve">Multiple simulation repeats may be required to achieve statistical significance  </w:t>
            </w:r>
          </w:p>
        </w:tc>
        <w:tc>
          <w:tcPr>
            <w:tcW w:w="699" w:type="dxa"/>
            <w:tcBorders>
              <w:top w:val="single" w:sz="8" w:space="0" w:color="000000"/>
              <w:left w:val="single" w:sz="8" w:space="0" w:color="000000"/>
              <w:bottom w:val="single" w:sz="8" w:space="0" w:color="000000"/>
              <w:right w:val="single" w:sz="8" w:space="0" w:color="000000"/>
            </w:tcBorders>
            <w:shd w:val="clear" w:color="auto" w:fill="auto"/>
          </w:tcPr>
          <w:p w14:paraId="61C537FE" w14:textId="5DC4FFD3" w:rsidR="00686AFA" w:rsidRDefault="00686AFA" w:rsidP="00A313B9">
            <w:pPr>
              <w:pStyle w:val="LO-normal"/>
            </w:pPr>
            <w:r>
              <w:fldChar w:fldCharType="begin" w:fldLock="1"/>
            </w:r>
            <w:r w:rsidR="00576689">
              <w:instrText>ADDIN CSL_CITATION {"citationItems":[{"id":"ITEM-1","itemData":{"DOI":"10.1021/acs.jpcb.7b06591","ISSN":"15205207","PMID":"28879767","abstract":"Protegrin-1 is an 18-residue β-hairpin antimicrobial peptide (AMP) that has been suggested to form transmembrane β-barrels in biological membranes. However, alternative structures have also been proposed. Here, we performed multimicrosecond, all-atom molecular dynamics simulations of various protegrin-1 oligomers on the membrane surface and in transmembrane topologies. The membrane surface simulations indicated that protegrin dimers are stable, whereas trimers and tetramers break down. Tetrameric arcs remained stably inserted in lipid membranes, but the pore water was displaced by lipid molecules. Unsheared protegrin β-barrels opened into β-sheets that surrounded stable aqueous pores, whereas tilted barrels with sheared hydrogen bonding patterns were stable in most topologies. A third type of observed pore consisted of multiple small oligomers surrounding a small, partially lipidic pore. We also considered the β-hairpin AMP tachyplesin, which showed less tendency to oligomerize than protegrin: the octameric bundle resulted in small pores surrounded by six peptides as monomers and dimers, with some peptides returning to the membrane surface. The results imply that multiple configurations of protegrin oligomers may produce aqueous pores and illustrate the relationship between topology and putative steps in protegrin-1's pore formation. However, the long-term stability of these structures needs to be assessed further.","author":[{"dropping-particle":"","family":"Lipkin","given":"Richard","non-dropping-particle":"","parse-names":false,"suffix":""},{"dropping-particle":"","family":"Pino-Angeles","given":"Almudena","non-dropping-particle":"","parse-names":false,"suffix":""},{"dropping-particle":"","family":"Lazaridis","given":"Themis","non-dropping-particle":"","parse-names":false,"suffix":""}],"container-title":"Journal of Physical Chemistry B","id":"ITEM-1","issue":"39","issued":{"date-parts":[["2017","10","5"]]},"page":"9126-9140","publisher":"American Chemical Society","title":"Transmembrane Pore Structures of β-Hairpin Antimicrobial Peptides by All-Atom Simulations","type":"article-journal","volume":"121"},"uris":["http://www.mendeley.com/documents/?uuid=eb2b277d-758b-380f-978a-8a1af0200847"]},{"id":"ITEM-2","itemData":{"DOI":"10.1016/j.bbamem.2018.03.028","ISSN":"18792642","PMID":"29627322","abstract":"Daptomycin is a cyclic lipopeptide effective against multidrug Gram-positive bacteria. Despite having a net negative charge, it is selective against negatively charged bacterial membranes. It has been established that daptomycin's antibiotic activity is based on directly targeting the bacterial membranes and that this antibacterial activity depends on calcium ions. Importantly, however, both the precise role of ions and the physical mechanisms responsible for daptomycin's action remain poorly understood. We investigate these issues using three types of molecular dynamics simulations: umbrella sampling free energy calculations for a single daptomycin, unbiased simulations for daptomycin tetramers, and unbiased simulations of micellation of daptomycin both in the absence and presence of calcium ions. The simulations are in the excess of 4 μs. As the most important finding, we establish that binding of the calcium ions on the aspartic acid residues is the key to stabilizing daptomycin tetramers inside the model material membrane. These complexes are vital for daptomycin's antibacterial activity. In the absence of binding, the tetramer is not stable and moves slowly out of the membrane. We also demonstrate that in solution, micellation of daptomycin occurs both in the presence and absence of calcium ions, and discuss the similarities between the behaviors of daptomycin and amyloid peptides in membranes.","author":[{"dropping-particle":"","family":"Liu","given":"Bin","non-dropping-particle":"","parse-names":false,"suffix":""},{"dropping-particle":"","family":"Karttunen","given":"Mikko","non-dropping-particle":"","parse-names":false,"suffix":""}],"container-title":"Biochimica et Biophysica Acta - Biomembranes","id":"ITEM-2","issue":"9","issued":{"date-parts":[["2018","9","1"]]},"page":"1949-1954","publisher":"Elsevier B.V.","title":"Lipopeptide daptomycin: Interactions with bacterial and phospholipid membranes, stability of membrane aggregates and micellation in solution","type":"article-journal","volume":"1860"},"uris":["http://www.mendeley.com/documents/?uuid=7b3d93aa-733a-3fa0-a2a0-95a671450a26"]},{"id":"ITEM-3","itemData":{"author":[{"dropping-particle":"","family":"Leach","given":"Andrew R.","non-dropping-particle":"","parse-names":false,"suffix":""}],"edition":"2nd Ed.","id":"ITEM-3","issued":{"date-parts":[["2001"]]},"publisher":"Prentice Hall","publisher-place":"Upper Saddle River, NJ","title":"Molecular modelling: principles and applications","type":"book"},"uris":["http://www.mendeley.com/documents/?uuid=af7b1364-a1c4-385d-a1ba-e1c16e144d2c"]}],"mendeley":{"formattedCitation":"&lt;sup&gt;209,233,234&lt;/sup&gt;","plainTextFormattedCitation":"209,233,234","previouslyFormattedCitation":"&lt;sup&gt;209,233,234&lt;/sup&gt;"},"properties":{"noteIndex":0},"schema":"https://github.com/citation-style-language/schema/raw/master/csl-citation.json"}</w:instrText>
            </w:r>
            <w:r>
              <w:fldChar w:fldCharType="separate"/>
            </w:r>
            <w:r w:rsidR="00A313B9" w:rsidRPr="00A313B9">
              <w:rPr>
                <w:noProof/>
                <w:vertAlign w:val="superscript"/>
              </w:rPr>
              <w:t>209,233,234</w:t>
            </w:r>
            <w:r>
              <w:fldChar w:fldCharType="end"/>
            </w:r>
          </w:p>
        </w:tc>
      </w:tr>
      <w:tr w:rsidR="00686AFA" w14:paraId="1FB6AD35" w14:textId="77777777" w:rsidTr="00016F6B">
        <w:trPr>
          <w:trHeight w:val="420"/>
        </w:trPr>
        <w:tc>
          <w:tcPr>
            <w:tcW w:w="1287" w:type="dxa"/>
            <w:vMerge/>
            <w:tcBorders>
              <w:top w:val="single" w:sz="8" w:space="0" w:color="000000"/>
              <w:left w:val="single" w:sz="8" w:space="0" w:color="000000"/>
              <w:bottom w:val="single" w:sz="8" w:space="0" w:color="000000"/>
              <w:right w:val="single" w:sz="8" w:space="0" w:color="000000"/>
            </w:tcBorders>
            <w:shd w:val="clear" w:color="auto" w:fill="auto"/>
          </w:tcPr>
          <w:p w14:paraId="72F00D7F" w14:textId="77777777" w:rsidR="00686AFA" w:rsidRDefault="00686AFA" w:rsidP="00016F6B"/>
        </w:tc>
        <w:tc>
          <w:tcPr>
            <w:tcW w:w="1392" w:type="dxa"/>
            <w:tcBorders>
              <w:top w:val="single" w:sz="8" w:space="0" w:color="000000"/>
              <w:left w:val="single" w:sz="8" w:space="0" w:color="000000"/>
              <w:bottom w:val="single" w:sz="8" w:space="0" w:color="000000"/>
              <w:right w:val="single" w:sz="8" w:space="0" w:color="000000"/>
            </w:tcBorders>
            <w:shd w:val="clear" w:color="auto" w:fill="auto"/>
          </w:tcPr>
          <w:p w14:paraId="7E42B20D" w14:textId="77777777" w:rsidR="00686AFA" w:rsidRDefault="00686AFA" w:rsidP="00016F6B">
            <w:pPr>
              <w:pStyle w:val="LO-normal"/>
              <w:widowControl w:val="0"/>
              <w:spacing w:line="240" w:lineRule="auto"/>
              <w:rPr>
                <w:sz w:val="20"/>
                <w:szCs w:val="20"/>
              </w:rPr>
            </w:pPr>
            <w:r>
              <w:rPr>
                <w:sz w:val="20"/>
                <w:szCs w:val="20"/>
              </w:rPr>
              <w:t>CG MD</w:t>
            </w:r>
          </w:p>
        </w:tc>
        <w:tc>
          <w:tcPr>
            <w:tcW w:w="2908" w:type="dxa"/>
            <w:tcBorders>
              <w:top w:val="single" w:sz="8" w:space="0" w:color="000000"/>
              <w:left w:val="single" w:sz="8" w:space="0" w:color="000000"/>
              <w:bottom w:val="single" w:sz="8" w:space="0" w:color="000000"/>
              <w:right w:val="single" w:sz="8" w:space="0" w:color="000000"/>
            </w:tcBorders>
            <w:shd w:val="clear" w:color="auto" w:fill="auto"/>
          </w:tcPr>
          <w:p w14:paraId="5FB592BC" w14:textId="77777777" w:rsidR="00686AFA" w:rsidRDefault="00686AFA" w:rsidP="00016F6B">
            <w:pPr>
              <w:pStyle w:val="LO-normal"/>
              <w:widowControl w:val="0"/>
              <w:spacing w:line="240" w:lineRule="auto"/>
              <w:rPr>
                <w:sz w:val="20"/>
                <w:szCs w:val="20"/>
              </w:rPr>
            </w:pPr>
            <w:r>
              <w:rPr>
                <w:sz w:val="20"/>
                <w:szCs w:val="20"/>
              </w:rPr>
              <w:t>As described above</w:t>
            </w:r>
          </w:p>
        </w:tc>
        <w:tc>
          <w:tcPr>
            <w:tcW w:w="4004" w:type="dxa"/>
            <w:tcBorders>
              <w:top w:val="single" w:sz="8" w:space="0" w:color="000000"/>
              <w:left w:val="single" w:sz="8" w:space="0" w:color="000000"/>
              <w:bottom w:val="single" w:sz="8" w:space="0" w:color="000000"/>
              <w:right w:val="single" w:sz="8" w:space="0" w:color="000000"/>
            </w:tcBorders>
            <w:shd w:val="clear" w:color="auto" w:fill="auto"/>
          </w:tcPr>
          <w:p w14:paraId="53CB136F" w14:textId="77777777" w:rsidR="00686AFA" w:rsidRDefault="00686AFA" w:rsidP="00016F6B">
            <w:pPr>
              <w:pStyle w:val="LO-normal"/>
              <w:widowControl w:val="0"/>
              <w:numPr>
                <w:ilvl w:val="0"/>
                <w:numId w:val="5"/>
              </w:numPr>
              <w:spacing w:line="240" w:lineRule="auto"/>
              <w:ind w:left="432"/>
              <w:rPr>
                <w:sz w:val="20"/>
                <w:szCs w:val="20"/>
              </w:rPr>
            </w:pPr>
            <w:r>
              <w:rPr>
                <w:sz w:val="20"/>
                <w:szCs w:val="20"/>
              </w:rPr>
              <w:t>Larger systems and longer simulation times can be achieved, meaning peptide penetration into the bilayer and pore forming events are more accessible</w:t>
            </w:r>
          </w:p>
          <w:p w14:paraId="30B55AB3" w14:textId="77777777" w:rsidR="00686AFA" w:rsidRDefault="00686AFA" w:rsidP="00016F6B">
            <w:pPr>
              <w:pStyle w:val="LO-normal"/>
              <w:widowControl w:val="0"/>
              <w:numPr>
                <w:ilvl w:val="0"/>
                <w:numId w:val="5"/>
              </w:numPr>
              <w:spacing w:line="240" w:lineRule="auto"/>
              <w:ind w:left="432"/>
              <w:rPr>
                <w:sz w:val="20"/>
                <w:szCs w:val="20"/>
              </w:rPr>
            </w:pPr>
            <w:r>
              <w:rPr>
                <w:sz w:val="20"/>
                <w:szCs w:val="20"/>
              </w:rPr>
              <w:t>Atomic detail is lost and important peptide-membrane interactions could be overlooked, such as the bidentate interactions that could occur between arginine side chains and phospholipid head groups</w:t>
            </w:r>
          </w:p>
        </w:tc>
        <w:tc>
          <w:tcPr>
            <w:tcW w:w="699" w:type="dxa"/>
            <w:tcBorders>
              <w:top w:val="single" w:sz="8" w:space="0" w:color="000000"/>
              <w:left w:val="single" w:sz="8" w:space="0" w:color="000000"/>
              <w:bottom w:val="single" w:sz="8" w:space="0" w:color="000000"/>
              <w:right w:val="single" w:sz="8" w:space="0" w:color="000000"/>
            </w:tcBorders>
            <w:shd w:val="clear" w:color="auto" w:fill="auto"/>
          </w:tcPr>
          <w:p w14:paraId="3865428B" w14:textId="2426E373" w:rsidR="00686AFA" w:rsidRDefault="00686AFA" w:rsidP="00A313B9">
            <w:pPr>
              <w:pStyle w:val="LO-normal"/>
            </w:pPr>
            <w:r>
              <w:fldChar w:fldCharType="begin" w:fldLock="1"/>
            </w:r>
            <w:r w:rsidR="00522194">
              <w:instrText>ADDIN CSL_CITATION {"citationItems":[{"id":"ITEM-1","itemData":{"DOI":"10.1039/c3cs60093a","ISSN":"14604744","PMID":"23708257","abstract":"The Martini model, a coarse-grained force field for biomolecular simulations, has found a broad range of applications since its release a decade ago. Based on a building block principle, the model combines speed and versatility while maintaining chemical specificity. Here we review the current state of the model. We describe recent highlights as well as shortcomings, and our ideas on the further development of the model. © 2013 The Royal Society of Chemistry.","author":[{"dropping-particle":"","family":"Marrink","given":"Siewert J.","non-dropping-particle":"","parse-names":false,"suffix":""},{"dropping-particle":"","family":"Tieleman","given":"D. Peter","non-dropping-particle":"","parse-names":false,"suffix":""}],"container-title":"Chemical Society Reviews","id":"ITEM-1","issue":"16","issued":{"date-parts":[["2013","7","22"]]},"page":"6801-6822","publisher":"The Royal Society of Chemistry","title":"Perspective on the martini model","type":"article-journal","volume":"42"},"uris":["http://www.mendeley.com/documents/?uuid=aa96993f-99d7-3cc2-8a97-b33daa4b68b2"]},{"id":"ITEM-2","itemData":{"DOI":"10.1088/0253-6102/71/7/887","ISSN":"02536102","abstract":"Pore-forming peptides have promising potentials for biomedical uses due to their ability to permeabilize cell membranes. However, to molecularly engineer them for practical applications is still blocked by the poor understanding of the specific roles of individual residues in peptides' activity. Herein, using an advanced computational approach that combines Coarse-Grained molecular dynamics and well-tempered metadynamics, the membrane activities of melittin, a representative pore-forming peptide, and its gain-of-function variants, are characterized from the kinetics and thermodynamics perspectives. Unbiased simulations elucidate the molecular details of peptide-induced membrane poration; during which, some vital intermediate states, including the aggregation and U-shape configuration formation of peptides in the membrane, are observed and further applied as collective variables to construct the multi-dimensional free energy landscapes of the peptide-membrane interactions. Such a combination of kinetic and thermodynamic descriptions of the interaction process provides crucial information of residue-specialized contribution in chain conformation and consequently membrane perforation ability of the peptide. It is found that residues at the kink part (e.g. Thr) determine the chain flexibility and U-shape bending of the peptide, while residues near the C-terminus (e.g. Arg and Lys) are responsible for recruiting neighboring peptides for inter-molecular cooperation; the probable reaction pathway and the poration efficiency are consequently regulated. These results are helpful for a comprehensive understanding of the complicated molecular mechanism of pore-forming peptides and pave the way to rationally design and/or engineer the peptides for practical applications.","author":[{"dropping-particle":"","family":"Deng","given":"Zhi Xiong","non-dropping-particle":"","parse-names":false,"suffix":""},{"dropping-particle":"","family":"Li","given":"Jing Liang","non-dropping-particle":"","parse-names":false,"suffix":""},{"dropping-particle":"","family":"Yuan","given":"Bing","non-dropping-particle":"","parse-names":false,"suffix":""},{"dropping-particle":"","family":"Yang","given":"Kai","non-dropping-particle":"","parse-names":false,"suffix":""}],"container-title":"Communications in Theoretical Physics","id":"ITEM-2","issue":"7","issued":{"date-parts":[["2019","7","1"]]},"page":"887-902","publisher":"Institute of Physics Publishing","title":"Residue-Specialized Membrane Poration Kinetics of Melittin and Its Variants: Insight from Mechanistic Landscapes","type":"article-journal","volume":"71"},"uris":["http://www.mendeley.com/documents/?uuid=012568b4-0387-3eea-b305-e2896d697c59"]},{"id":"ITEM-3","itemData":{"DOI":"10.1016/j.bpj.2018.08.040","ISSN":"15420086","PMID":"30268538","abstract":"This article presents coarse-grained molecular dynamics simulations of pore-forming antimicrobial peptide melittin and its interactions with vesicles composed of a mixture of zwitterionic and anionic phospholipids. Besides creating holes in the membrane, the adsorption of melittin also induces vesicle budding, which can develop into vesiculation at high peptide concentrations, as well as vesicle invagination, which can eventually result in a corrugated membrane surface. These rich morphology changes are mediated by the curvature of the vesicles and the peptide concentration. Highly curved vesicles favor the recruitment of melittins with a higher density of binding sites. The peptides mainly penetrate into the membrane surface in monomers via hydrophobic interaction. Lowly curved vesicles recruit melittins with a low density of binding sites. Surplus peptides are prone to form oligomers and shallowly adsorb on the surface of membrane via electrostatic interaction. The penetration of monomers induces membrane pore formation and positive membrane curvature, which promote vesicle budding. The adsorption of oligomers induces negative membrane curvature, which promotes vesicle invagination. This work demonstrates that antimicrobial peptides adopt multiple actions to destroy bacterial membranes.","author":[{"dropping-particle":"","family":"Shi","given":"Yu","non-dropping-particle":"","parse-names":false,"suffix":""},{"dropping-particle":"","family":"Wan","given":"Mingwei","non-dropping-particle":"","parse-names":false,"suffix":""},{"dropping-particle":"","family":"Fu","given":"Lei","non-dropping-particle":"","parse-names":false,"suffix":""},{"dropping-particle":"","family":"Zhang","given":"Shan","non-dropping-particle":"","parse-names":false,"suffix":""},{"dropping-particle":"","family":"Wang","given":"Shiyuan","non-dropping-particle":"","parse-names":false,"suffix":""},{"dropping-particle":"","family":"Gao","given":"Lianghui","non-dropping-particle":"","parse-names":false,"suffix":""},{"dropping-particle":"","family":"Fang","given":"Weihai","non-dropping-particle":"","parse-names":false,"suffix":""}],"container-title":"Biophysical Journal","id":"ITEM-3","issue":"8","issued":{"date-parts":[["2018","10","16"]]},"page":"1518-1529","publisher":"Biophysical Society","title":"Peptide-Lipid Interaction Sites Affect Vesicles’ Responses to Antimicrobial Peptides","type":"article-journal","volume":"115"},"uris":["http://www.mendeley.com/documents/?uuid=79a6d00b-7120-3b06-b5f5-5c0b33a47b9a"]}],"mendeley":{"formattedCitation":"&lt;sup&gt;212,235,236&lt;/sup&gt;","plainTextFormattedCitation":"212,235,236","previouslyFormattedCitation":"&lt;sup&gt;212,235,236&lt;/sup&gt;"},"properties":{"noteIndex":0},"schema":"https://github.com/citation-style-language/schema/raw/master/csl-citation.json"}</w:instrText>
            </w:r>
            <w:r>
              <w:fldChar w:fldCharType="separate"/>
            </w:r>
            <w:r w:rsidR="00A313B9" w:rsidRPr="00A313B9">
              <w:rPr>
                <w:noProof/>
                <w:vertAlign w:val="superscript"/>
              </w:rPr>
              <w:t>212,235,236</w:t>
            </w:r>
            <w:r>
              <w:fldChar w:fldCharType="end"/>
            </w:r>
          </w:p>
        </w:tc>
      </w:tr>
      <w:tr w:rsidR="00686AFA" w14:paraId="0BB8D522" w14:textId="77777777" w:rsidTr="00016F6B">
        <w:trPr>
          <w:trHeight w:val="420"/>
        </w:trPr>
        <w:tc>
          <w:tcPr>
            <w:tcW w:w="1287" w:type="dxa"/>
            <w:vMerge/>
            <w:tcBorders>
              <w:top w:val="single" w:sz="8" w:space="0" w:color="000000"/>
              <w:left w:val="single" w:sz="8" w:space="0" w:color="000000"/>
              <w:bottom w:val="single" w:sz="8" w:space="0" w:color="000000"/>
              <w:right w:val="single" w:sz="8" w:space="0" w:color="000000"/>
            </w:tcBorders>
            <w:shd w:val="clear" w:color="auto" w:fill="auto"/>
          </w:tcPr>
          <w:p w14:paraId="3E1F9482" w14:textId="77777777" w:rsidR="00686AFA" w:rsidRDefault="00686AFA" w:rsidP="00016F6B"/>
        </w:tc>
        <w:tc>
          <w:tcPr>
            <w:tcW w:w="1392" w:type="dxa"/>
            <w:tcBorders>
              <w:top w:val="single" w:sz="8" w:space="0" w:color="000000"/>
              <w:left w:val="single" w:sz="8" w:space="0" w:color="000000"/>
              <w:bottom w:val="single" w:sz="8" w:space="0" w:color="000000"/>
              <w:right w:val="single" w:sz="8" w:space="0" w:color="000000"/>
            </w:tcBorders>
            <w:shd w:val="clear" w:color="auto" w:fill="auto"/>
          </w:tcPr>
          <w:p w14:paraId="5C91194A" w14:textId="77777777" w:rsidR="00686AFA" w:rsidRDefault="00686AFA" w:rsidP="00016F6B">
            <w:pPr>
              <w:pStyle w:val="LO-normal"/>
              <w:widowControl w:val="0"/>
              <w:spacing w:line="240" w:lineRule="auto"/>
              <w:rPr>
                <w:sz w:val="20"/>
                <w:szCs w:val="20"/>
              </w:rPr>
            </w:pPr>
            <w:r>
              <w:rPr>
                <w:sz w:val="20"/>
                <w:szCs w:val="20"/>
              </w:rPr>
              <w:t>US</w:t>
            </w:r>
          </w:p>
        </w:tc>
        <w:tc>
          <w:tcPr>
            <w:tcW w:w="2908" w:type="dxa"/>
            <w:tcBorders>
              <w:top w:val="single" w:sz="8" w:space="0" w:color="000000"/>
              <w:left w:val="single" w:sz="8" w:space="0" w:color="000000"/>
              <w:bottom w:val="single" w:sz="8" w:space="0" w:color="000000"/>
              <w:right w:val="single" w:sz="8" w:space="0" w:color="000000"/>
            </w:tcBorders>
            <w:shd w:val="clear" w:color="auto" w:fill="auto"/>
          </w:tcPr>
          <w:p w14:paraId="45841276" w14:textId="77777777" w:rsidR="00686AFA" w:rsidRDefault="00686AFA" w:rsidP="00016F6B">
            <w:pPr>
              <w:pStyle w:val="LO-normal"/>
              <w:widowControl w:val="0"/>
              <w:spacing w:line="240" w:lineRule="auto"/>
              <w:rPr>
                <w:sz w:val="20"/>
                <w:szCs w:val="20"/>
              </w:rPr>
            </w:pPr>
            <w:r>
              <w:rPr>
                <w:sz w:val="20"/>
                <w:szCs w:val="20"/>
              </w:rPr>
              <w:t>As described above</w:t>
            </w:r>
          </w:p>
        </w:tc>
        <w:tc>
          <w:tcPr>
            <w:tcW w:w="4004" w:type="dxa"/>
            <w:tcBorders>
              <w:top w:val="single" w:sz="8" w:space="0" w:color="000000"/>
              <w:left w:val="single" w:sz="8" w:space="0" w:color="000000"/>
              <w:bottom w:val="single" w:sz="8" w:space="0" w:color="000000"/>
              <w:right w:val="single" w:sz="8" w:space="0" w:color="000000"/>
            </w:tcBorders>
            <w:shd w:val="clear" w:color="auto" w:fill="auto"/>
          </w:tcPr>
          <w:p w14:paraId="76C505E4" w14:textId="77777777" w:rsidR="00686AFA" w:rsidRDefault="00686AFA" w:rsidP="00016F6B">
            <w:pPr>
              <w:pStyle w:val="LO-normal"/>
              <w:widowControl w:val="0"/>
              <w:numPr>
                <w:ilvl w:val="0"/>
                <w:numId w:val="11"/>
              </w:numPr>
              <w:spacing w:line="240" w:lineRule="auto"/>
              <w:rPr>
                <w:sz w:val="20"/>
                <w:szCs w:val="20"/>
              </w:rPr>
            </w:pPr>
            <w:r>
              <w:rPr>
                <w:sz w:val="20"/>
                <w:szCs w:val="20"/>
              </w:rPr>
              <w:t>US can be used with the reaction coordinate set as the centre of mass (COM) distance between a peptide and the membrane. This allows the sampling and free energy calculation of the peptide moving from bulk water into the centre of the membrane.</w:t>
            </w:r>
          </w:p>
          <w:p w14:paraId="7F7FF189" w14:textId="77777777" w:rsidR="00686AFA" w:rsidRDefault="00686AFA" w:rsidP="00016F6B">
            <w:pPr>
              <w:pStyle w:val="LO-normal"/>
              <w:widowControl w:val="0"/>
              <w:numPr>
                <w:ilvl w:val="0"/>
                <w:numId w:val="11"/>
              </w:numPr>
              <w:spacing w:line="240" w:lineRule="auto"/>
              <w:rPr>
                <w:sz w:val="20"/>
                <w:szCs w:val="20"/>
              </w:rPr>
            </w:pPr>
            <w:r>
              <w:rPr>
                <w:sz w:val="20"/>
                <w:szCs w:val="20"/>
              </w:rPr>
              <w:t xml:space="preserve">The COM distance may be an over-simplistic reaction coordinate to describe the AMP </w:t>
            </w:r>
            <w:r>
              <w:rPr>
                <w:sz w:val="20"/>
                <w:szCs w:val="20"/>
              </w:rPr>
              <w:lastRenderedPageBreak/>
              <w:t>penetration/ pore-forming process</w:t>
            </w:r>
          </w:p>
          <w:p w14:paraId="6A6222C2" w14:textId="77777777" w:rsidR="00686AFA" w:rsidRDefault="00686AFA" w:rsidP="00016F6B">
            <w:pPr>
              <w:pStyle w:val="LO-normal"/>
              <w:widowControl w:val="0"/>
              <w:numPr>
                <w:ilvl w:val="0"/>
                <w:numId w:val="11"/>
              </w:numPr>
              <w:spacing w:line="240" w:lineRule="auto"/>
              <w:rPr>
                <w:sz w:val="20"/>
                <w:szCs w:val="20"/>
              </w:rPr>
            </w:pPr>
            <w:r>
              <w:rPr>
                <w:sz w:val="20"/>
                <w:szCs w:val="20"/>
              </w:rPr>
              <w:t>It may be difficult to choose a more appropriate reaction coordinate to capture the complex processes undertaken by AMPs</w:t>
            </w:r>
          </w:p>
        </w:tc>
        <w:tc>
          <w:tcPr>
            <w:tcW w:w="699" w:type="dxa"/>
            <w:tcBorders>
              <w:top w:val="single" w:sz="8" w:space="0" w:color="000000"/>
              <w:left w:val="single" w:sz="8" w:space="0" w:color="000000"/>
              <w:bottom w:val="single" w:sz="8" w:space="0" w:color="000000"/>
              <w:right w:val="single" w:sz="8" w:space="0" w:color="000000"/>
            </w:tcBorders>
            <w:shd w:val="clear" w:color="auto" w:fill="auto"/>
          </w:tcPr>
          <w:p w14:paraId="51DC4E68" w14:textId="73A98E20" w:rsidR="00686AFA" w:rsidRDefault="00686AFA" w:rsidP="00A313B9">
            <w:pPr>
              <w:pStyle w:val="LO-normal"/>
            </w:pPr>
            <w:r>
              <w:lastRenderedPageBreak/>
              <w:fldChar w:fldCharType="begin" w:fldLock="1"/>
            </w:r>
            <w:r w:rsidR="00576689">
              <w:instrText>ADDIN CSL_CITATION {"citationItems":[{"id":"ITEM-1","itemData":{"DOI":"10.1016/j.bbamem.2018.03.028","ISSN":"18792642","PMID":"29627322","abstract":"Daptomycin is a cyclic lipopeptide effective against multidrug Gram-positive bacteria. Despite having a net negative charge, it is selective against negatively charged bacterial membranes. It has been established that daptomycin's antibiotic activity is based on directly targeting the bacterial membranes and that this antibacterial activity depends on calcium ions. Importantly, however, both the precise role of ions and the physical mechanisms responsible for daptomycin's action remain poorly understood. We investigate these issues using three types of molecular dynamics simulations: umbrella sampling free energy calculations for a single daptomycin, unbiased simulations for daptomycin tetramers, and unbiased simulations of micellation of daptomycin both in the absence and presence of calcium ions. The simulations are in the excess of 4 μs. As the most important finding, we establish that binding of the calcium ions on the aspartic acid residues is the key to stabilizing daptomycin tetramers inside the model material membrane. These complexes are vital for daptomycin's antibacterial activity. In the absence of binding, the tetramer is not stable and moves slowly out of the membrane. We also demonstrate that in solution, micellation of daptomycin occurs both in the presence and absence of calcium ions, and discuss the similarities between the behaviors of daptomycin and amyloid peptides in membranes.","author":[{"dropping-particle":"","family":"Liu","given":"Bin","non-dropping-particle":"","parse-names":false,"suffix":""},{"dropping-particle":"","family":"Karttunen","given":"Mikko","non-dropping-particle":"","parse-names":false,"suffix":""}],"container-title":"Biochimica et Biophysica Acta - Biomembranes","id":"ITEM-1","issue":"9","issued":{"date-parts":[["2018","9","1"]]},"page":"1949-1954","publisher":"Elsevier B.V.","title":"Lipopeptide daptomycin: Interactions with bacterial and phospholipid membranes, stability of membrane aggregates and micellation in solution","type":"article-journal","volume":"1860"},"uris":["http://www.mendeley.com/documents/?uuid=7b3d93aa-733a-3fa0-a2a0-95a671450a26"]},{"id":"ITEM-2","itemData":{"DOI":"10.1021/acs.jpcb.8b08285","ISSN":"15205207","PMID":"30431279","abstract":"Human β defensin type 3 (hBD-3) is a cationic (+11 charged) antimicrobial peptide. It has three pairs of intramolecular disulfide bonds which can break under reducing conditions to convert hBD-3 into the linear analog form. hBD-3 can disrupt both Gram-positive and Gram-negative cell membranes, and even the mammalian cell membrane at high concentrations. However, the structural basis for the membrane-disrupting function of hBD-3 is still unknown. In order to understand the interaction mechanism of hBD-3 with a neutrally charged lipid membrane, explicit solvent and lipid umbrella-sampling simulations were performed using the NAMD program on the hBD-3 wild-type and the linear analog, in both the monomer and dimer forms. During the insertion and translocation process, most of the protein structure changes take place near the membrane-solvent interface, while the membrane interior appears to stabilize and rigidify the native-like hBD-3 structure. An energy barrier of 20 kcal/mol (domain unit) should be overcome by hBD-3 dimer in wild-type to cross the POPC bilayer but only 13 kcal/mol (domain unit) to insert into the bilayer center, and 20 kcal/mol for hBD-3 monomers to insert into the membrane center. Significant reorientation of lipids around hBD-3 inside the membranes was observed, which suggests a toroidal model for the membrane disruption process.","author":[{"dropping-particle":"","family":"Yeasmin","given":"Rabeta","non-dropping-particle":"","parse-names":false,"suffix":""},{"dropping-particle":"","family":"Buck","given":"Matthias","non-dropping-particle":"","parse-names":false,"suffix":""},{"dropping-particle":"","family":"Weinberg","given":"Aaron","non-dropping-particle":"","parse-names":false,"suffix":""},{"dropping-particle":"","family":"Zhang","given":"Liqun","non-dropping-particle":"","parse-names":false,"suffix":""}],"container-title":"Journal of Physical Chemistry B","id":"ITEM-2","issue":"50","issued":{"date-parts":[["2018","12","20"]]},"page":"11883-11894","publisher":"American Chemical Society","title":"Translocation of Human β Defensin Type 3 through a Neutrally Charged Lipid Membrane: A Free Energy Study","type":"article-journal","volume":"122"},"uris":["http://www.mendeley.com/documents/?uuid=6c484bd5-77ac-305e-b6a3-63e1355766fb"]},{"id":"ITEM-3","itemData":{"DOI":"10.1021/acs.jctc.6b00265","ISSN":"15499626","PMID":"27529120","abstract":"Due to antimicrobial resistance, the development of new drugs to combat bacterial and fungal infections is an important area of research. Nature uses short, charged, and amphipathic peptides for antimicrobial defense, many of which disrupt the lipid membrane in addition to other possible targets inside the cell. Computer simulations have revealed atomistic details for the interactions of antimicrobial peptides and cell-penetrating peptides with lipid bilayers. Strong interactions between the polar interface and the charged peptides can induce bilayer deformations - including membrane rupture and peptide stabilization of a hydrophilic pore. Here, we performed microsecond-long simulations of the antimicrobial peptide CM15 in a POPC bilayer expecting to observe pore formation (based on previous molecular dynamics simulations). We show that caution is needed when interpreting results of equilibrium peptide-membrane simulations, given the length of time single trajectories can dwell in local energy minima for 100's of ns to microseconds. While we did record significant membrane perturbations from the CM15 peptide, pores were not observed. We explain this discrepancy by computing the free energy for pore formation with different force fields. Our results show a large difference in the free energy barrier (ca. 40 kJ/mol) against pore formation predicted by the different force fields that would result in orders of magnitude differences in the simulation time required to observe spontaneous pore formation. This explains why previous simulations using the Berger lipid parameters reported pores induced by charged peptides, while with CHARMM based models pores were not observed in our long time-scale simulations. We reconcile some of the differences in the distance dependent free energies by shifting the free energy profiles to account for thickness differences between force fields. The shifted curves show that all the models describe small defects in lipid bilayers in a consistent manner, suggesting a common physical basis.","author":[{"dropping-particle":"","family":"Bennett","given":"W. F.Drew","non-dropping-particle":"","parse-names":false,"suffix":""},{"dropping-particle":"","family":"Hong","given":"Chun Kit","non-dropping-particle":"","parse-names":false,"suffix":""},{"dropping-particle":"","family":"Wang","given":"Yi","non-dropping-particle":"","parse-names":false,"suffix":""},{"dropping-particle":"","family":"Tieleman","given":"D. Peter","non-dropping-particle":"","parse-names":false,"suffix":""}],"container-title":"Journal of Chemical Theory and Computation","id":"ITEM-3","issue":"9","issued":{"date-parts":[["2016","9","13"]]},"page":"4524-4533","publisher":"American Chemical Society","title":"Antimicrobial Peptide Simulations and the Influence of Force Field on the Free Energy for Pore Formation in Lipid Bilayers","type":"article-journal","volume":"12"},"uris":["http://www.mendeley.com/documents/?uuid=9b54e288-2973-3099-a07f-ebfc81572c4e"]},{"id":"ITEM-4","itemData":{"DOI":"10.1002/wcms.66","ISSN":"17590876","abstract":"The calculation of free-energy differences is one of the main challenges in computational biology and biochemistry. Umbrella sampling, biased molecular dynamics (MD), is one of the methods that provide free energy along a reaction coordinate. Here, the method is derived in a historic overview and is compared with related methods like thermodynamic integration, slow growth, steered MD, or the Jarzynski-based fast-growth technique. In umbrella sampling, bias potentials along a (one- or more-dimensional) reaction coordinate drive a system from one thermodynamic state to another (e.g., reactant and product). The intermediate steps are covered by a series of windows, at each of which an MD simulation is performed. The bias potentials can have any functional form. Often, harmonic potentials are used for their simplicity. From the sampled distribution of the system along the reaction coordinate, the change in free energy in each window can be calculated. The windows are then combined by methods like the weighted histogram analysis method or umbrella integration. If the bias potential is adapted to result in an even distribution between the end states, then this whole range can be spanned by one window (adaptive-bias umbrella sampling). In this case, the free-energy change is directly obtained from the bias. The sampling in each window can be improved by replica exchange methods; either by exchange between successive windows or by running additional simulations at higher temperatures. © 2011 John Wiley &amp; Sons, Ltd.","author":[{"dropping-particle":"","family":"Kästner","given":"Johannes","non-dropping-particle":"","parse-names":false,"suffix":""}],"container-title":"Wiley Interdisciplinary Reviews: Computational Molecular Science","id":"ITEM-4","issue":"6","issued":{"date-parts":[["2011","11","1"]]},"page":"932-942","publisher":"Blackwell Publishing Inc.","title":"Umbrella sampling","type":"article-journal","volume":"1"},"uris":["http://www.mendeley.com/documents/?uuid=3dd4ffee-16fc-39a8-b6ed-3b33e876721f"]}],"mendeley":{"formattedCitation":"&lt;sup&gt;232,234,237,238&lt;/sup&gt;","plainTextFormattedCitation":"232,234,237,238","previouslyFormattedCitation":"&lt;sup&gt;232,234,237,238&lt;/sup&gt;"},"properties":{"noteIndex":0},"schema":"https://github.com/citation-style-language/schema/raw/master/csl-citation.json"}</w:instrText>
            </w:r>
            <w:r>
              <w:fldChar w:fldCharType="separate"/>
            </w:r>
            <w:r w:rsidR="00A313B9" w:rsidRPr="00A313B9">
              <w:rPr>
                <w:noProof/>
                <w:vertAlign w:val="superscript"/>
              </w:rPr>
              <w:t>232,234,237,238</w:t>
            </w:r>
            <w:r>
              <w:fldChar w:fldCharType="end"/>
            </w:r>
          </w:p>
        </w:tc>
      </w:tr>
      <w:tr w:rsidR="00686AFA" w14:paraId="62FAA5FA" w14:textId="77777777" w:rsidTr="00016F6B">
        <w:trPr>
          <w:trHeight w:val="420"/>
        </w:trPr>
        <w:tc>
          <w:tcPr>
            <w:tcW w:w="1287" w:type="dxa"/>
            <w:vMerge/>
            <w:tcBorders>
              <w:top w:val="single" w:sz="8" w:space="0" w:color="000000"/>
              <w:left w:val="single" w:sz="8" w:space="0" w:color="000000"/>
              <w:bottom w:val="single" w:sz="8" w:space="0" w:color="000000"/>
              <w:right w:val="single" w:sz="8" w:space="0" w:color="000000"/>
            </w:tcBorders>
            <w:shd w:val="clear" w:color="auto" w:fill="auto"/>
          </w:tcPr>
          <w:p w14:paraId="4CD53BAA" w14:textId="77777777" w:rsidR="00686AFA" w:rsidRDefault="00686AFA" w:rsidP="00016F6B"/>
        </w:tc>
        <w:tc>
          <w:tcPr>
            <w:tcW w:w="1392" w:type="dxa"/>
            <w:tcBorders>
              <w:top w:val="single" w:sz="8" w:space="0" w:color="000000"/>
              <w:left w:val="single" w:sz="8" w:space="0" w:color="000000"/>
              <w:bottom w:val="single" w:sz="8" w:space="0" w:color="000000"/>
              <w:right w:val="single" w:sz="8" w:space="0" w:color="000000"/>
            </w:tcBorders>
            <w:shd w:val="clear" w:color="auto" w:fill="auto"/>
          </w:tcPr>
          <w:p w14:paraId="2B5EB915" w14:textId="77777777" w:rsidR="00686AFA" w:rsidRDefault="00686AFA" w:rsidP="00016F6B">
            <w:pPr>
              <w:pStyle w:val="LO-normal"/>
              <w:widowControl w:val="0"/>
              <w:spacing w:line="240" w:lineRule="auto"/>
              <w:rPr>
                <w:sz w:val="20"/>
                <w:szCs w:val="20"/>
              </w:rPr>
            </w:pPr>
            <w:r>
              <w:rPr>
                <w:sz w:val="20"/>
                <w:szCs w:val="20"/>
              </w:rPr>
              <w:t>Metadynamics</w:t>
            </w:r>
          </w:p>
        </w:tc>
        <w:tc>
          <w:tcPr>
            <w:tcW w:w="2908" w:type="dxa"/>
            <w:tcBorders>
              <w:top w:val="single" w:sz="8" w:space="0" w:color="000000"/>
              <w:left w:val="single" w:sz="8" w:space="0" w:color="000000"/>
              <w:bottom w:val="single" w:sz="8" w:space="0" w:color="000000"/>
              <w:right w:val="single" w:sz="8" w:space="0" w:color="000000"/>
            </w:tcBorders>
            <w:shd w:val="clear" w:color="auto" w:fill="auto"/>
          </w:tcPr>
          <w:p w14:paraId="6BEF29AD" w14:textId="77777777" w:rsidR="00686AFA" w:rsidRDefault="00686AFA" w:rsidP="00016F6B">
            <w:pPr>
              <w:pStyle w:val="LO-normal"/>
              <w:widowControl w:val="0"/>
              <w:spacing w:line="240" w:lineRule="auto"/>
              <w:rPr>
                <w:sz w:val="20"/>
                <w:szCs w:val="20"/>
              </w:rPr>
            </w:pPr>
            <w:r>
              <w:rPr>
                <w:sz w:val="20"/>
                <w:szCs w:val="20"/>
              </w:rPr>
              <w:t>As described above</w:t>
            </w:r>
          </w:p>
        </w:tc>
        <w:tc>
          <w:tcPr>
            <w:tcW w:w="4004" w:type="dxa"/>
            <w:tcBorders>
              <w:top w:val="single" w:sz="8" w:space="0" w:color="000000"/>
              <w:left w:val="single" w:sz="8" w:space="0" w:color="000000"/>
              <w:bottom w:val="single" w:sz="8" w:space="0" w:color="000000"/>
              <w:right w:val="single" w:sz="8" w:space="0" w:color="000000"/>
            </w:tcBorders>
            <w:shd w:val="clear" w:color="auto" w:fill="auto"/>
          </w:tcPr>
          <w:p w14:paraId="511EC3E3" w14:textId="77777777" w:rsidR="00686AFA" w:rsidRDefault="00686AFA" w:rsidP="00016F6B">
            <w:pPr>
              <w:pStyle w:val="LO-normal"/>
              <w:widowControl w:val="0"/>
              <w:numPr>
                <w:ilvl w:val="0"/>
                <w:numId w:val="8"/>
              </w:numPr>
              <w:spacing w:line="240" w:lineRule="auto"/>
              <w:rPr>
                <w:sz w:val="20"/>
                <w:szCs w:val="20"/>
              </w:rPr>
            </w:pPr>
            <w:r>
              <w:rPr>
                <w:sz w:val="20"/>
                <w:szCs w:val="20"/>
              </w:rPr>
              <w:t>As with US, Metadynamics can be used to enhance the sampling of an AMP entering a lipid bilayer and provides a free energy surface along the given reaction coordinate</w:t>
            </w:r>
          </w:p>
          <w:p w14:paraId="244DC6FD" w14:textId="77777777" w:rsidR="00686AFA" w:rsidRDefault="00686AFA" w:rsidP="00016F6B">
            <w:pPr>
              <w:pStyle w:val="LO-normal"/>
              <w:widowControl w:val="0"/>
              <w:numPr>
                <w:ilvl w:val="0"/>
                <w:numId w:val="8"/>
              </w:numPr>
              <w:spacing w:line="240" w:lineRule="auto"/>
              <w:rPr>
                <w:sz w:val="20"/>
                <w:szCs w:val="20"/>
              </w:rPr>
            </w:pPr>
            <w:r>
              <w:rPr>
                <w:sz w:val="20"/>
                <w:szCs w:val="20"/>
              </w:rPr>
              <w:t>Again, the COM distance reaction coordinate may not capture the complex AMP penetration/ pore-forming process</w:t>
            </w:r>
          </w:p>
          <w:p w14:paraId="56D7A47C" w14:textId="77777777" w:rsidR="00686AFA" w:rsidRDefault="00686AFA" w:rsidP="00016F6B">
            <w:pPr>
              <w:pStyle w:val="LO-normal"/>
              <w:widowControl w:val="0"/>
              <w:numPr>
                <w:ilvl w:val="0"/>
                <w:numId w:val="8"/>
              </w:numPr>
              <w:spacing w:line="240" w:lineRule="auto"/>
              <w:rPr>
                <w:sz w:val="20"/>
                <w:szCs w:val="20"/>
              </w:rPr>
            </w:pPr>
            <w:r>
              <w:rPr>
                <w:sz w:val="20"/>
                <w:szCs w:val="20"/>
              </w:rPr>
              <w:t>It can be difficult to choose a more appropriate reaction coordinate if the exact AMP pore structure/ mechanism is unknown</w:t>
            </w:r>
          </w:p>
        </w:tc>
        <w:tc>
          <w:tcPr>
            <w:tcW w:w="699" w:type="dxa"/>
            <w:tcBorders>
              <w:top w:val="single" w:sz="8" w:space="0" w:color="000000"/>
              <w:left w:val="single" w:sz="8" w:space="0" w:color="000000"/>
              <w:bottom w:val="single" w:sz="8" w:space="0" w:color="000000"/>
              <w:right w:val="single" w:sz="8" w:space="0" w:color="000000"/>
            </w:tcBorders>
            <w:shd w:val="clear" w:color="auto" w:fill="auto"/>
          </w:tcPr>
          <w:p w14:paraId="29CE1B50" w14:textId="3E3F013D" w:rsidR="00686AFA" w:rsidRDefault="00686AFA" w:rsidP="00A313B9">
            <w:pPr>
              <w:pStyle w:val="LO-normal"/>
            </w:pPr>
            <w:r>
              <w:fldChar w:fldCharType="begin" w:fldLock="1"/>
            </w:r>
            <w:r w:rsidR="00576689">
              <w:instrText>ADDIN CSL_CITATION {"citationItems":[{"id":"ITEM-1","itemData":{"DOI":"10.1088/0034-4885/71/12/126601","ISSN":"00344885","abstract":"Metadynamics is a powerful algorithm that can be used both for reconstructing the free energy and for accelerating rare events in systems described by complex Hamiltonians, at the classical or at the quantum level. In the algorithm the normal evolution of the system is biased by a history-dependent potential constructed as a sum of Gaussians centered along the trajectory followed by a suitably chosen set of collective variables. The sum of Gaussians is exploited for reconstructing iteratively an estimator of the free energy and forcing the system to escape from local minima. This review is intended to provide a comprehensive description of the algorithm, with a focus on the practical aspects that need to be addressed when one attempts to apply metadynamics to a new system: (i) the choice of the appropriate set of collective variables; (ii) the optimal choice of the metadynamics parameters and (iii) how to control the error and ensure convergence of the algorithm. © 2008 IOP Publishing Ltd.","author":[{"dropping-particle":"","family":"Laio","given":"Alessandro","non-dropping-particle":"","parse-names":false,"suffix":""},{"dropping-particle":"","family":"Gervasio","given":"Francesco L.","non-dropping-particle":"","parse-names":false,"suffix":""}],"container-title":"Reports on Progress in Physics","id":"ITEM-1","issue":"12","issued":{"date-parts":[["2008","12","1"]]},"page":"126601","publisher":"IOP Publishing","title":"Metadynamics: A method to simulate rare events and reconstruct the free energy in biophysics, chemistry and material science","type":"article-journal","volume":"71"},"uris":["http://www.mendeley.com/documents/?uuid=2de86d29-4623-3f20-a7b5-4151953010f5"]},{"id":"ITEM-2","itemData":{"DOI":"10.1016/j.bbamem.2018.09.007","ISSN":"18792642","PMID":"30409519","abstract":"Antimicrobial peptides (AMPs) provide a promising solution to the serious threat of multidrug-resistant bacteria or superbugs to public healthcare, due to their unique disruption to bacterial membrane such as perforation. Unfortunately, the underlying action mechanism of AMPs, especially the possible transition between the membrane binding and perforation states of peptides (i.e., the classical two-state model), is still largely unknown. Herein, by combining experimental techniques with pertinent membrane models and molecular dynamic (MD) simulations, new insights into the intermediate states of the AMP melittin-membrane interaction process are obtained. Specifically, it is demonstrated that, after the initial binding, the accumulated melittin on the bilayer triggers vigorous fluctuation of the membrane and even extracts some lipid molecules exclusively from the deformed outer leaflet of the bilayer. Such a distinctive mass removal manner and the resultant local asymmetry in lipid number between the two leaflets change the mechanical status of the membrane and in turn reduce the free energy barrier for the melittin insertion. Finally, the formation of the transmembrane pores is facilitated significantly. These findings provide new insights into the complicated antimicrobial mechanisms of AMPs.","author":[{"dropping-particle":"","family":"Liu","given":"Jiaojiao","non-dropping-particle":"","parse-names":false,"suffix":""},{"dropping-particle":"","family":"Xiao","given":"Shufeng","non-dropping-particle":"","parse-names":false,"suffix":""},{"dropping-particle":"","family":"Li","given":"Jingliang","non-dropping-particle":"","parse-names":false,"suffix":""},{"dropping-particle":"","family":"Yuan","given":"Bing","non-dropping-particle":"","parse-names":false,"suffix":""},{"dropping-particle":"","family":"Yang","given":"Kai","non-dropping-particle":"","parse-names":false,"suffix":""},{"dropping-particle":"","family":"Ma","given":"Yuqiang","non-dropping-particle":"","parse-names":false,"suffix":""}],"container-title":"Biochimica et Biophysica Acta - Biomembranes","id":"ITEM-2","issue":"11","issued":{"date-parts":[["2018","11","1"]]},"page":"2234-2241","publisher":"Elsevier B.V.","title":"Molecular details on the intermediate states of melittin action on a cell membrane","type":"article-journal","volume":"1860"},"uris":["http://www.mendeley.com/documents/?uuid=cd1f11a0-8903-3e86-ab02-c666be2ff757"]}],"mendeley":{"formattedCitation":"&lt;sup&gt;231,239&lt;/sup&gt;","plainTextFormattedCitation":"231,239","previouslyFormattedCitation":"&lt;sup&gt;231,239&lt;/sup&gt;"},"properties":{"noteIndex":0},"schema":"https://github.com/citation-style-language/schema/raw/master/csl-citation.json"}</w:instrText>
            </w:r>
            <w:r>
              <w:fldChar w:fldCharType="separate"/>
            </w:r>
            <w:r w:rsidR="00A313B9" w:rsidRPr="00A313B9">
              <w:rPr>
                <w:noProof/>
                <w:vertAlign w:val="superscript"/>
              </w:rPr>
              <w:t>231,239</w:t>
            </w:r>
            <w:r>
              <w:fldChar w:fldCharType="end"/>
            </w:r>
          </w:p>
        </w:tc>
      </w:tr>
      <w:tr w:rsidR="00686AFA" w14:paraId="6853E87F" w14:textId="77777777" w:rsidTr="00016F6B">
        <w:trPr>
          <w:trHeight w:val="420"/>
        </w:trPr>
        <w:tc>
          <w:tcPr>
            <w:tcW w:w="1287" w:type="dxa"/>
            <w:vMerge/>
            <w:tcBorders>
              <w:top w:val="single" w:sz="8" w:space="0" w:color="000000"/>
              <w:left w:val="single" w:sz="8" w:space="0" w:color="000000"/>
              <w:bottom w:val="single" w:sz="8" w:space="0" w:color="000000"/>
              <w:right w:val="single" w:sz="8" w:space="0" w:color="000000"/>
            </w:tcBorders>
            <w:shd w:val="clear" w:color="auto" w:fill="auto"/>
          </w:tcPr>
          <w:p w14:paraId="44BE4076" w14:textId="77777777" w:rsidR="00686AFA" w:rsidRDefault="00686AFA" w:rsidP="00016F6B"/>
        </w:tc>
        <w:tc>
          <w:tcPr>
            <w:tcW w:w="1392" w:type="dxa"/>
            <w:tcBorders>
              <w:top w:val="single" w:sz="8" w:space="0" w:color="000000"/>
              <w:left w:val="single" w:sz="8" w:space="0" w:color="000000"/>
              <w:bottom w:val="single" w:sz="8" w:space="0" w:color="000000"/>
              <w:right w:val="single" w:sz="8" w:space="0" w:color="000000"/>
            </w:tcBorders>
            <w:shd w:val="clear" w:color="auto" w:fill="auto"/>
          </w:tcPr>
          <w:p w14:paraId="51BBC423" w14:textId="77777777" w:rsidR="00686AFA" w:rsidRDefault="00686AFA" w:rsidP="00016F6B">
            <w:pPr>
              <w:pStyle w:val="LO-normal"/>
              <w:widowControl w:val="0"/>
              <w:spacing w:line="240" w:lineRule="auto"/>
              <w:rPr>
                <w:sz w:val="20"/>
                <w:szCs w:val="20"/>
              </w:rPr>
            </w:pPr>
            <w:r>
              <w:rPr>
                <w:sz w:val="20"/>
                <w:szCs w:val="20"/>
              </w:rPr>
              <w:t>HT-MD</w:t>
            </w:r>
          </w:p>
        </w:tc>
        <w:tc>
          <w:tcPr>
            <w:tcW w:w="2908" w:type="dxa"/>
            <w:tcBorders>
              <w:top w:val="single" w:sz="8" w:space="0" w:color="000000"/>
              <w:left w:val="single" w:sz="8" w:space="0" w:color="000000"/>
              <w:bottom w:val="single" w:sz="8" w:space="0" w:color="000000"/>
              <w:right w:val="single" w:sz="8" w:space="0" w:color="000000"/>
            </w:tcBorders>
            <w:shd w:val="clear" w:color="auto" w:fill="auto"/>
          </w:tcPr>
          <w:p w14:paraId="2B604151" w14:textId="77777777" w:rsidR="00686AFA" w:rsidRDefault="00686AFA" w:rsidP="00016F6B">
            <w:pPr>
              <w:pStyle w:val="LO-normal"/>
              <w:widowControl w:val="0"/>
              <w:spacing w:line="240" w:lineRule="auto"/>
              <w:rPr>
                <w:sz w:val="20"/>
                <w:szCs w:val="20"/>
              </w:rPr>
            </w:pPr>
            <w:r>
              <w:rPr>
                <w:sz w:val="20"/>
                <w:szCs w:val="20"/>
              </w:rPr>
              <w:t>As described above</w:t>
            </w:r>
          </w:p>
        </w:tc>
        <w:tc>
          <w:tcPr>
            <w:tcW w:w="4004" w:type="dxa"/>
            <w:tcBorders>
              <w:top w:val="single" w:sz="8" w:space="0" w:color="000000"/>
              <w:left w:val="single" w:sz="8" w:space="0" w:color="000000"/>
              <w:bottom w:val="single" w:sz="8" w:space="0" w:color="000000"/>
              <w:right w:val="single" w:sz="8" w:space="0" w:color="000000"/>
            </w:tcBorders>
            <w:shd w:val="clear" w:color="auto" w:fill="auto"/>
          </w:tcPr>
          <w:p w14:paraId="26B688A9" w14:textId="77777777" w:rsidR="00686AFA" w:rsidRDefault="00686AFA" w:rsidP="00016F6B">
            <w:pPr>
              <w:pStyle w:val="LO-normal"/>
              <w:widowControl w:val="0"/>
              <w:numPr>
                <w:ilvl w:val="0"/>
                <w:numId w:val="4"/>
              </w:numPr>
              <w:spacing w:line="240" w:lineRule="auto"/>
              <w:rPr>
                <w:sz w:val="20"/>
                <w:szCs w:val="20"/>
              </w:rPr>
            </w:pPr>
            <w:r>
              <w:rPr>
                <w:sz w:val="20"/>
                <w:szCs w:val="20"/>
              </w:rPr>
              <w:t>As described for peptide secondary structure, elevated simulation temperatures can speed up the kinetics involved in AMP insertion into the membrane and folding</w:t>
            </w:r>
          </w:p>
          <w:p w14:paraId="43A572C4" w14:textId="77777777" w:rsidR="00686AFA" w:rsidRDefault="00686AFA" w:rsidP="00016F6B">
            <w:pPr>
              <w:pStyle w:val="LO-normal"/>
              <w:widowControl w:val="0"/>
              <w:numPr>
                <w:ilvl w:val="0"/>
                <w:numId w:val="4"/>
              </w:numPr>
              <w:spacing w:line="240" w:lineRule="auto"/>
              <w:rPr>
                <w:sz w:val="20"/>
                <w:szCs w:val="20"/>
              </w:rPr>
            </w:pPr>
            <w:r>
              <w:rPr>
                <w:sz w:val="20"/>
                <w:szCs w:val="20"/>
              </w:rPr>
              <w:t>Not only does this achieve peptide folding, it can also help identify AMP-induced pore structures in the membrane</w:t>
            </w:r>
          </w:p>
          <w:p w14:paraId="3D30ABF6" w14:textId="77777777" w:rsidR="00686AFA" w:rsidRDefault="00686AFA" w:rsidP="00016F6B">
            <w:pPr>
              <w:pStyle w:val="LO-normal"/>
              <w:widowControl w:val="0"/>
              <w:numPr>
                <w:ilvl w:val="0"/>
                <w:numId w:val="4"/>
              </w:numPr>
              <w:spacing w:line="240" w:lineRule="auto"/>
              <w:rPr>
                <w:sz w:val="20"/>
                <w:szCs w:val="20"/>
              </w:rPr>
            </w:pPr>
            <w:r>
              <w:rPr>
                <w:sz w:val="20"/>
                <w:szCs w:val="20"/>
              </w:rPr>
              <w:t>Again, it may be necessary to check the experimental thermostability of the AMP of interest and the functionality of the force field at high temperatures</w:t>
            </w:r>
          </w:p>
        </w:tc>
        <w:tc>
          <w:tcPr>
            <w:tcW w:w="699" w:type="dxa"/>
            <w:tcBorders>
              <w:top w:val="single" w:sz="8" w:space="0" w:color="000000"/>
              <w:left w:val="single" w:sz="8" w:space="0" w:color="000000"/>
              <w:bottom w:val="single" w:sz="8" w:space="0" w:color="000000"/>
              <w:right w:val="single" w:sz="8" w:space="0" w:color="000000"/>
            </w:tcBorders>
            <w:shd w:val="clear" w:color="auto" w:fill="auto"/>
          </w:tcPr>
          <w:p w14:paraId="0F41BF48" w14:textId="7456F6F2" w:rsidR="00686AFA" w:rsidRDefault="00686AFA" w:rsidP="00A313B9">
            <w:pPr>
              <w:pStyle w:val="LO-normal"/>
              <w:jc w:val="both"/>
            </w:pPr>
            <w:r>
              <w:fldChar w:fldCharType="begin" w:fldLock="1"/>
            </w:r>
            <w:r w:rsidR="00576689">
              <w:instrText>ADDIN CSL_CITATION {"citationItems":[{"id":"ITEM-1","itemData":{"DOI":"10.1021/acs.accounts.7b00613","ISSN":"15204898","PMID":"29667836","abstract":"ConspectusEver since the first molecular mechanics computer simulations of biological molecules became possible, there has been the dream to study all complex biological phenomena in silico, simply bypassing the enormous experimental challenges and their associated costs. For this, two inherent requirements need to be met: First, the time scales achievable in simulations must reach up to the millisecond range and even longer. Second, the computational model must accurately reproduce what is measured experimentally. Despite some recent successes, the general consensus in the field to date has been that neither of these conditions have yet been met and that the dream will be realized, if at all, only in the distant future.In this Account, we show that this view is wrong; instead, we are actually in the middle of the in silico molecular dynamics (MD) revolution, which is reshaping how we think about protein function. The example explored in this Account is a recent advance in the field of membrane-active peptides (MAPs). MD simulations have succeeded in accurately capturing the process of peptide binding, folding, and partitioning into lipid bilayers as well as revealing how channels form spontaneously from polypeptide fragments and conduct ionic and other cargo across membranes, all at atomic resolution. These game-changing advances have been made possible by a combination of steadily advancing computational power, more efficient algorithms and techniques, clever accelerated sampling schemes, and thorough experimental verifications. The great advantage of MD is the spatial and temporal resolution, directly providing a molecular movie of a protein undergoing folding and cycling through a functional process. This is especially important for proteins with transitory functional states, such as pore-forming MAPs.Recent successes are demonstrated here for the large class of antimicrobial peptides (AMPs). These short peptides are an essential part of the nonadaptive immune system for many organisms, ubiquitous in nature, and of particular interest to the pharmaceutical industry in the age of rising bacterial resistance to conventional antibiotic treatments. Unlike integral membrane proteins, AMPs are sufficiently small to allow converged sampling with the unbiased high-temperature sampling methodology outlined here and are relatively easy to handle experimentally. At the same time, AMPs exhibit a wealth of complex and poorly understood interactions with lipid bi…","author":[{"dropping-particle":"","family":"Ulmschneider","given":"Jakob P.","non-dropping-particle":"","parse-names":false,"suffix":""},{"dropping-particle":"","family":"Ulmschneider","given":"Martin B.","non-dropping-particle":"","parse-names":false,"suffix":""}],"container-title":"Accounts of Chemical Research","id":"ITEM-1","issue":"5","issued":{"date-parts":[["2018","5","15"]]},"page":"1106-1116","publisher":"American Chemical Society","title":"Molecular Dynamics Simulations Are Redefining Our View of Peptides Interacting with Biological Membranes","type":"article-journal","volume":"51"},"uris":["http://www.mendeley.com/documents/?uuid=5a518950-2398-36f5-8912-157c24089590"]},{"id":"ITEM-2","itemData":{"DOI":"10.1038/ncomms13535","ISSN":"20411723","PMID":"27874004","abstract":"Many antimicrobial peptides (AMPs) selectively target and form pores in microbial membranes. However, the mechanisms of membrane targeting, pore formation and function remain elusive. Here we report an experimentally guided unbiased simulation methodology that yields the mechanism of spontaneous pore assembly for the AMP maculatin at atomic resolution. Rather than a single pore, maculatin forms an ensemble of structurally diverse temporarily functional low-oligomeric pores, which mimic integral membrane protein channels in structure. These pores continuously form and dissociate in the membrane. Membrane permeabilization is dominated by hexa-, hepta-and octamers, which conduct water, ions and small dyes. Pores form by consecutive addition of individual helices to a transmembrane helix or helix bundle, in contrast to current poration models. The diversity of the pore architectures-formed by a single sequence-may be a key feature in preventing bacterial resistance and could explain why sequence-function relationships in AMPs remain elusive.","author":[{"dropping-particle":"","family":"Wang","given":"Yukun","non-dropping-particle":"","parse-names":false,"suffix":""},{"dropping-particle":"","family":"Chen","given":"Charles H.","non-dropping-particle":"","parse-names":false,"suffix":""},{"dropping-particle":"","family":"Hu","given":"Dan","non-dropping-particle":"","parse-names":false,"suffix":""},{"dropping-particle":"","family":"Ulmschneider","given":"Martin B.","non-dropping-particle":"","parse-names":false,"suffix":""},{"dropping-particle":"","family":"Ulmschneider","given":"Jakob P.","non-dropping-particle":"","parse-names":false,"suffix":""}],"container-title":"Nature Communications","id":"ITEM-2","issue":"1","issued":{"date-parts":[["2016","11","22"]]},"page":"1-9","publisher":"Nature Publishing Group","title":"Spontaneous formation of structurally diverse membrane channel architectures from a single antimicrobial peptide","type":"article-journal","volume":"7"},"uris":["http://www.mendeley.com/documents/?uuid=e0aa1e23-2255-374b-839a-c6a79f40278e"]}],"mendeley":{"formattedCitation":"&lt;sup&gt;224,240&lt;/sup&gt;","plainTextFormattedCitation":"224,240","previouslyFormattedCitation":"&lt;sup&gt;224,240&lt;/sup&gt;"},"properties":{"noteIndex":0},"schema":"https://github.com/citation-style-language/schema/raw/master/csl-citation.json"}</w:instrText>
            </w:r>
            <w:r>
              <w:fldChar w:fldCharType="separate"/>
            </w:r>
            <w:r w:rsidR="00A313B9" w:rsidRPr="00A313B9">
              <w:rPr>
                <w:noProof/>
                <w:vertAlign w:val="superscript"/>
              </w:rPr>
              <w:t>224,240</w:t>
            </w:r>
            <w:r>
              <w:fldChar w:fldCharType="end"/>
            </w:r>
          </w:p>
        </w:tc>
      </w:tr>
      <w:tr w:rsidR="00686AFA" w14:paraId="41600824" w14:textId="77777777" w:rsidTr="00016F6B">
        <w:trPr>
          <w:trHeight w:val="420"/>
        </w:trPr>
        <w:tc>
          <w:tcPr>
            <w:tcW w:w="1287" w:type="dxa"/>
            <w:vMerge/>
            <w:tcBorders>
              <w:top w:val="single" w:sz="8" w:space="0" w:color="000000"/>
              <w:left w:val="single" w:sz="8" w:space="0" w:color="000000"/>
              <w:bottom w:val="single" w:sz="8" w:space="0" w:color="000000"/>
              <w:right w:val="single" w:sz="8" w:space="0" w:color="000000"/>
            </w:tcBorders>
            <w:shd w:val="clear" w:color="auto" w:fill="auto"/>
          </w:tcPr>
          <w:p w14:paraId="760B4AF1" w14:textId="77777777" w:rsidR="00686AFA" w:rsidRDefault="00686AFA" w:rsidP="00016F6B"/>
        </w:tc>
        <w:tc>
          <w:tcPr>
            <w:tcW w:w="1392" w:type="dxa"/>
            <w:tcBorders>
              <w:top w:val="single" w:sz="8" w:space="0" w:color="000000"/>
              <w:left w:val="single" w:sz="8" w:space="0" w:color="000000"/>
              <w:bottom w:val="single" w:sz="8" w:space="0" w:color="000000"/>
              <w:right w:val="single" w:sz="8" w:space="0" w:color="000000"/>
            </w:tcBorders>
            <w:shd w:val="clear" w:color="auto" w:fill="auto"/>
          </w:tcPr>
          <w:p w14:paraId="2A46F497" w14:textId="77777777" w:rsidR="00686AFA" w:rsidRDefault="00686AFA" w:rsidP="00016F6B">
            <w:pPr>
              <w:pStyle w:val="LO-normal"/>
              <w:widowControl w:val="0"/>
              <w:spacing w:line="240" w:lineRule="auto"/>
              <w:rPr>
                <w:sz w:val="20"/>
                <w:szCs w:val="20"/>
              </w:rPr>
            </w:pPr>
            <w:r>
              <w:rPr>
                <w:sz w:val="20"/>
                <w:szCs w:val="20"/>
              </w:rPr>
              <w:t>Electroporation</w:t>
            </w:r>
          </w:p>
        </w:tc>
        <w:tc>
          <w:tcPr>
            <w:tcW w:w="2908" w:type="dxa"/>
            <w:tcBorders>
              <w:top w:val="single" w:sz="8" w:space="0" w:color="000000"/>
              <w:left w:val="single" w:sz="8" w:space="0" w:color="000000"/>
              <w:bottom w:val="single" w:sz="8" w:space="0" w:color="000000"/>
              <w:right w:val="single" w:sz="8" w:space="0" w:color="000000"/>
            </w:tcBorders>
            <w:shd w:val="clear" w:color="auto" w:fill="auto"/>
          </w:tcPr>
          <w:p w14:paraId="7F221433" w14:textId="77777777" w:rsidR="00686AFA" w:rsidRDefault="00686AFA" w:rsidP="00016F6B">
            <w:pPr>
              <w:pStyle w:val="LO-normal"/>
              <w:widowControl w:val="0"/>
              <w:spacing w:line="240" w:lineRule="auto"/>
              <w:rPr>
                <w:sz w:val="20"/>
                <w:szCs w:val="20"/>
              </w:rPr>
            </w:pPr>
            <w:r>
              <w:rPr>
                <w:sz w:val="20"/>
                <w:szCs w:val="20"/>
              </w:rPr>
              <w:t>This method involves applying an artificial transmembrane potential to increase the tension in the bilayer, which increases the likelihood of forming a pore</w:t>
            </w:r>
          </w:p>
        </w:tc>
        <w:tc>
          <w:tcPr>
            <w:tcW w:w="4004" w:type="dxa"/>
            <w:tcBorders>
              <w:top w:val="single" w:sz="8" w:space="0" w:color="000000"/>
              <w:left w:val="single" w:sz="8" w:space="0" w:color="000000"/>
              <w:bottom w:val="single" w:sz="8" w:space="0" w:color="000000"/>
              <w:right w:val="single" w:sz="8" w:space="0" w:color="000000"/>
            </w:tcBorders>
            <w:shd w:val="clear" w:color="auto" w:fill="auto"/>
          </w:tcPr>
          <w:p w14:paraId="596DF671" w14:textId="77777777" w:rsidR="00686AFA" w:rsidRDefault="00686AFA" w:rsidP="00016F6B">
            <w:pPr>
              <w:pStyle w:val="LO-normal"/>
              <w:widowControl w:val="0"/>
              <w:numPr>
                <w:ilvl w:val="0"/>
                <w:numId w:val="6"/>
              </w:numPr>
              <w:spacing w:line="240" w:lineRule="auto"/>
              <w:rPr>
                <w:sz w:val="20"/>
                <w:szCs w:val="20"/>
              </w:rPr>
            </w:pPr>
            <w:r>
              <w:rPr>
                <w:sz w:val="20"/>
                <w:szCs w:val="20"/>
              </w:rPr>
              <w:t>The technique forces poration of bilayers and can therefore be used to increases the sampling of AMPs entering pores</w:t>
            </w:r>
          </w:p>
          <w:p w14:paraId="6A942816" w14:textId="77777777" w:rsidR="00686AFA" w:rsidRDefault="00686AFA" w:rsidP="00016F6B">
            <w:pPr>
              <w:pStyle w:val="LO-normal"/>
              <w:widowControl w:val="0"/>
              <w:numPr>
                <w:ilvl w:val="0"/>
                <w:numId w:val="6"/>
              </w:numPr>
              <w:spacing w:line="240" w:lineRule="auto"/>
              <w:rPr>
                <w:sz w:val="20"/>
                <w:szCs w:val="20"/>
              </w:rPr>
            </w:pPr>
            <w:r>
              <w:rPr>
                <w:sz w:val="20"/>
                <w:szCs w:val="20"/>
              </w:rPr>
              <w:t>Once a pore is formed and AMPs are inserted, it is common to remove the potential and observe the stabilisation of the pore by the AMP</w:t>
            </w:r>
          </w:p>
        </w:tc>
        <w:tc>
          <w:tcPr>
            <w:tcW w:w="699" w:type="dxa"/>
            <w:tcBorders>
              <w:top w:val="single" w:sz="8" w:space="0" w:color="000000"/>
              <w:left w:val="single" w:sz="8" w:space="0" w:color="000000"/>
              <w:bottom w:val="single" w:sz="8" w:space="0" w:color="000000"/>
              <w:right w:val="single" w:sz="8" w:space="0" w:color="000000"/>
            </w:tcBorders>
            <w:shd w:val="clear" w:color="auto" w:fill="auto"/>
          </w:tcPr>
          <w:p w14:paraId="50D2C86E" w14:textId="21D23749" w:rsidR="00686AFA" w:rsidRDefault="00686AFA" w:rsidP="00A313B9">
            <w:pPr>
              <w:pStyle w:val="LO-normal"/>
              <w:jc w:val="both"/>
            </w:pPr>
            <w:r>
              <w:fldChar w:fldCharType="begin" w:fldLock="1"/>
            </w:r>
            <w:r w:rsidR="00576689">
              <w:instrText>ADDIN CSL_CITATION {"citationItems":[{"id":"ITEM-1","itemData":{"DOI":"10.1021/acsomega.8b00483","ISSN":"24701343","abstract":"Protegrin-1 (PG-1) is a cationic arginine-rich antimicrobial peptide. It is widely accepted that PG-1 induces membrane disruption by forming pores that lead to cell death. However, the insertion mechanism for these highly cationic peptides into the hydrophobic membrane environment is still poorly understood at the molecular scale. It has previously been determined that the association of arginine guanidinium and lipid phosphate groups results in strong bidentate bonds that stabilize peptide-lipid complexes. It has also been suggested that arginine residues are able to drag phosphate groups as they insert inside the membrane to form a toroidal pore. However, whether bidentate bonds play a significant role in inducing a pore formation remains unclear. To investigate the role of bidentate complexes in PG-1 translocation, we conducted molecular dynamics simulations. Two computational electroporation methods were implemented to examine the translocation process. We found that PG-1 could insert into the membrane, provided the external electric potential is large enough to first induce a water column or a pore within the lipid bilayer membrane. We also found that the highly charged PG-1 is capable in itself of inducing molecular electroporation. Substitution of arginines with charge-equivalent lysines showed a markedly reduced tendency for insertion. This indicates that the guanidinium group likely facilitates PG-1 translocation. Potential of mean force calculations suggests that peptide insertion inside the hydrophobic environment of the membrane core is not favored. We found that formation of a water column or a pore might be a prerequisite for PG-1 translocation. We also found that PG-1 can stabilize the pore after insertion. We suggest that PG-1 could be a pore inducer and stabilizer. This work sheds some light on PG-1 translocation mechanisms at the molecular level. Methods presented in this study may be extended to other arginine-rich antimicrobial and cell-penetrating peptides.","author":[{"dropping-particle":"","family":"Lai","given":"Pin Kuang","non-dropping-particle":"","parse-names":false,"suffix":""},{"dropping-particle":"","family":"Kaznessis","given":"Yiannis N.","non-dropping-particle":"","parse-names":false,"suffix":""}],"container-title":"ACS Omega","id":"ITEM-1","issue":"6","issued":{"date-parts":[["2018","6","30"]]},"page":"6056-6065","publisher":"American Chemical Society","title":"Insights into Membrane Translocation of Protegrin Antimicrobial Peptides by Multistep Molecular Dynamics Simulations","type":"article-journal","volume":"3"},"uris":["http://www.mendeley.com/documents/?uuid=7a73ac9d-bbd5-380a-8e90-d87428774b72"]},{"id":"ITEM-2","itemData":{"DOI":"10.1021/jp207013v","ISSN":"15205207","abstract":"Bacterial membranes are complex organelles composed of a variety of lipid types. The differences in their composition are a key factor in determining their relative permeabilities. The success of antibacterial agents depends upon their interaction with bacterial membranes, yet little is known about the molecular-level interactions within membranes of different bacterial species. To address this, we have performed molecular dynamics simulations of two bacterial membranes: the outer membrane of E. coli and the cell membrane of S. aureus. We have retained the chemical complexity of the membranes by considering the details of their lipidic components. We identify the extended network of lipid-lipid interactions that stabilize the membranes. Our simulations of electroporation show that the S. aureus cell membrane is less resistant to poration than the E. coli outer membrane. The mechanisms of poration for the two membranes have subtle differences; for the E. coli outer membrane, relative differences in mobilities of the lipids of both leaflets are key in the process of poration. © 2011 American Chemical Society.","author":[{"dropping-particle":"","family":"Piggot","given":"Thomas J.","non-dropping-particle":"","parse-names":false,"suffix":""},{"dropping-particle":"","family":"Holdbrook","given":"Daniel A.","non-dropping-particle":"","parse-names":false,"suffix":""},{"dropping-particle":"","family":"Khalid","given":"Syma","non-dropping-particle":"","parse-names":false,"suffix":""}],"container-title":"Journal of Physical Chemistry B","id":"ITEM-2","issue":"45","issued":{"date-parts":[["2011","11","17"]]},"page":"13381-13388","publisher":"American Chemical Society","title":"Electroporation of the E. coli and S. aureus membranes: Molecular dynamics simulations of complex bacterial membranes","type":"article-journal","volume":"115"},"uris":["http://www.mendeley.com/documents/?uuid=7a7831a7-2de7-3eaa-99f2-fc558bf270fe"]}],"mendeley":{"formattedCitation":"&lt;sup&gt;241,242&lt;/sup&gt;","plainTextFormattedCitation":"241,242","previouslyFormattedCitation":"&lt;sup&gt;241,242&lt;/sup&gt;"},"properties":{"noteIndex":0},"schema":"https://github.com/citation-style-language/schema/raw/master/csl-citation.json"}</w:instrText>
            </w:r>
            <w:r>
              <w:fldChar w:fldCharType="separate"/>
            </w:r>
            <w:r w:rsidR="00A313B9" w:rsidRPr="00A313B9">
              <w:rPr>
                <w:noProof/>
                <w:vertAlign w:val="superscript"/>
              </w:rPr>
              <w:t>241,242</w:t>
            </w:r>
            <w:r>
              <w:fldChar w:fldCharType="end"/>
            </w:r>
          </w:p>
        </w:tc>
      </w:tr>
      <w:tr w:rsidR="00686AFA" w14:paraId="081579B0" w14:textId="77777777" w:rsidTr="00016F6B">
        <w:trPr>
          <w:trHeight w:val="420"/>
        </w:trPr>
        <w:tc>
          <w:tcPr>
            <w:tcW w:w="1287" w:type="dxa"/>
            <w:vMerge/>
            <w:tcBorders>
              <w:top w:val="single" w:sz="8" w:space="0" w:color="000000"/>
              <w:left w:val="single" w:sz="8" w:space="0" w:color="000000"/>
              <w:bottom w:val="single" w:sz="8" w:space="0" w:color="000000"/>
              <w:right w:val="single" w:sz="8" w:space="0" w:color="000000"/>
            </w:tcBorders>
            <w:shd w:val="clear" w:color="auto" w:fill="auto"/>
          </w:tcPr>
          <w:p w14:paraId="1C25214D" w14:textId="77777777" w:rsidR="00686AFA" w:rsidRDefault="00686AFA" w:rsidP="00016F6B"/>
        </w:tc>
        <w:tc>
          <w:tcPr>
            <w:tcW w:w="1392" w:type="dxa"/>
            <w:tcBorders>
              <w:top w:val="single" w:sz="8" w:space="0" w:color="000000"/>
              <w:left w:val="single" w:sz="8" w:space="0" w:color="000000"/>
              <w:bottom w:val="single" w:sz="8" w:space="0" w:color="000000"/>
              <w:right w:val="single" w:sz="8" w:space="0" w:color="000000"/>
            </w:tcBorders>
            <w:shd w:val="clear" w:color="auto" w:fill="auto"/>
          </w:tcPr>
          <w:p w14:paraId="577B40BE" w14:textId="77777777" w:rsidR="00686AFA" w:rsidRDefault="00686AFA" w:rsidP="00016F6B">
            <w:pPr>
              <w:pStyle w:val="LO-normal"/>
              <w:widowControl w:val="0"/>
              <w:spacing w:line="240" w:lineRule="auto"/>
              <w:rPr>
                <w:sz w:val="20"/>
                <w:szCs w:val="20"/>
              </w:rPr>
            </w:pPr>
            <w:r>
              <w:rPr>
                <w:sz w:val="20"/>
                <w:szCs w:val="20"/>
              </w:rPr>
              <w:t>aMD</w:t>
            </w:r>
          </w:p>
        </w:tc>
        <w:tc>
          <w:tcPr>
            <w:tcW w:w="2908" w:type="dxa"/>
            <w:tcBorders>
              <w:top w:val="single" w:sz="8" w:space="0" w:color="000000"/>
              <w:left w:val="single" w:sz="8" w:space="0" w:color="000000"/>
              <w:bottom w:val="single" w:sz="8" w:space="0" w:color="000000"/>
              <w:right w:val="single" w:sz="8" w:space="0" w:color="000000"/>
            </w:tcBorders>
            <w:shd w:val="clear" w:color="auto" w:fill="auto"/>
          </w:tcPr>
          <w:p w14:paraId="2E6F9496" w14:textId="77777777" w:rsidR="00686AFA" w:rsidRDefault="00686AFA" w:rsidP="00016F6B">
            <w:pPr>
              <w:pStyle w:val="LO-normal"/>
              <w:widowControl w:val="0"/>
              <w:spacing w:line="240" w:lineRule="auto"/>
              <w:rPr>
                <w:sz w:val="20"/>
                <w:szCs w:val="20"/>
              </w:rPr>
            </w:pPr>
            <w:r>
              <w:rPr>
                <w:sz w:val="20"/>
                <w:szCs w:val="20"/>
              </w:rPr>
              <w:t>As described above</w:t>
            </w:r>
          </w:p>
        </w:tc>
        <w:tc>
          <w:tcPr>
            <w:tcW w:w="4004" w:type="dxa"/>
            <w:tcBorders>
              <w:top w:val="single" w:sz="8" w:space="0" w:color="000000"/>
              <w:left w:val="single" w:sz="8" w:space="0" w:color="000000"/>
              <w:bottom w:val="single" w:sz="8" w:space="0" w:color="000000"/>
              <w:right w:val="single" w:sz="8" w:space="0" w:color="000000"/>
            </w:tcBorders>
            <w:shd w:val="clear" w:color="auto" w:fill="auto"/>
          </w:tcPr>
          <w:p w14:paraId="09A416FC" w14:textId="77777777" w:rsidR="00686AFA" w:rsidRDefault="00686AFA" w:rsidP="00016F6B">
            <w:pPr>
              <w:pStyle w:val="LO-normal"/>
              <w:widowControl w:val="0"/>
              <w:numPr>
                <w:ilvl w:val="0"/>
                <w:numId w:val="13"/>
              </w:numPr>
              <w:spacing w:line="240" w:lineRule="auto"/>
              <w:rPr>
                <w:sz w:val="20"/>
                <w:szCs w:val="20"/>
              </w:rPr>
            </w:pPr>
            <w:r>
              <w:rPr>
                <w:sz w:val="20"/>
                <w:szCs w:val="20"/>
              </w:rPr>
              <w:t xml:space="preserve">As well as increasing the sampling of peptide conformations, the method can also be used to increase the </w:t>
            </w:r>
            <w:r>
              <w:rPr>
                <w:sz w:val="20"/>
                <w:szCs w:val="20"/>
              </w:rPr>
              <w:lastRenderedPageBreak/>
              <w:t>sampling of the AMP interacting with a lipid bilayer</w:t>
            </w:r>
          </w:p>
          <w:p w14:paraId="771288E0" w14:textId="77777777" w:rsidR="00686AFA" w:rsidRDefault="00686AFA" w:rsidP="00016F6B">
            <w:pPr>
              <w:pStyle w:val="LO-normal"/>
              <w:widowControl w:val="0"/>
              <w:numPr>
                <w:ilvl w:val="0"/>
                <w:numId w:val="13"/>
              </w:numPr>
              <w:spacing w:line="240" w:lineRule="auto"/>
              <w:rPr>
                <w:sz w:val="20"/>
                <w:szCs w:val="20"/>
              </w:rPr>
            </w:pPr>
            <w:r>
              <w:rPr>
                <w:sz w:val="20"/>
                <w:szCs w:val="20"/>
              </w:rPr>
              <w:t>This is more efficient than conventional MD as the system should be able to escape energy minima quicker and access different metastable states</w:t>
            </w:r>
          </w:p>
        </w:tc>
        <w:tc>
          <w:tcPr>
            <w:tcW w:w="699" w:type="dxa"/>
            <w:tcBorders>
              <w:top w:val="single" w:sz="8" w:space="0" w:color="000000"/>
              <w:left w:val="single" w:sz="8" w:space="0" w:color="000000"/>
              <w:bottom w:val="single" w:sz="8" w:space="0" w:color="000000"/>
              <w:right w:val="single" w:sz="8" w:space="0" w:color="000000"/>
            </w:tcBorders>
            <w:shd w:val="clear" w:color="auto" w:fill="auto"/>
          </w:tcPr>
          <w:p w14:paraId="1D19F695" w14:textId="3BC4132F" w:rsidR="00686AFA" w:rsidRDefault="00686AFA" w:rsidP="00A313B9">
            <w:pPr>
              <w:pStyle w:val="LO-normal"/>
            </w:pPr>
            <w:r>
              <w:lastRenderedPageBreak/>
              <w:fldChar w:fldCharType="begin" w:fldLock="1"/>
            </w:r>
            <w:r w:rsidR="00576689">
              <w:instrText>ADDIN CSL_CITATION {"citationItems":[{"id":"ITEM-1","itemData":{"DOI":"10.1039/c7cp01941f","ISSN":"14639076","PMID":"28702543","abstract":"Multidrug resistance against the existing antibiotics is one of the most challenging threats across the globe. Antimicrobial peptides (AMPs), in this regard, are considered to be one of the effective alternatives that can overcome bacterial resistance. MSI-594, a 24-residue linear alpha-helical cationic AMP, has been shown to function via the carpet mechanism to disrupt bacterial membrane systems. To better understand the role of lipid composition in the function of MSI-594, in the present study, eight different model membrane systems have been studied using accelerated molecular dynamics (aMD) simulations. The simulated results are helpful in discriminating the particular effects of cationic MSI-594 against zwitterionic POPC, anionic POPG and POPS, and neutral POPE lipid moieties. Additionally, the effects of various heterogeneous POPC/POPG (7:3), POPC/POPS (7:3), and POPG/POPE (1:3 and 3:1) bilayer systems on the dynamic interaction of MSI-594 have also been investigated. The effect on the lipid bilayer due to the interaction with the peptide is characterized by lipid acyl-chain order, membrane thickness, and acyl-chain dynamics. Our simulation results show that the lipid composition affects the membrane interaction of MSI-594, suggesting that membrane selectivity is crucial to its mechanism of action. The results reported in this study are helpful to obtain accurate atomistic-level information governing MSI-594 and its membrane disruptive antimicrobial mechanism of action, and to design next generation potent antimicrobial peptides.","author":[{"dropping-particle":"","family":"Mukherjee","given":"Shruti","non-dropping-particle":"","parse-names":false,"suffix":""},{"dropping-particle":"","family":"Kar","given":"Rajiv K.","non-dropping-particle":"","parse-names":false,"suffix":""},{"dropping-particle":"","family":"Nanga","given":"Ravi Prakash Reddy","non-dropping-particle":"","parse-names":false,"suffix":""},{"dropping-particle":"","family":"Mroue","given":"Kamal H.","non-dropping-particle":"","parse-names":false,"suffix":""},{"dropping-particle":"","family":"Ramamoorthy","given":"Ayyalusamy","non-dropping-particle":"","parse-names":false,"suffix":""},{"dropping-particle":"","family":"Bhunia","given":"Anirban","non-dropping-particle":"","parse-names":false,"suffix":""}],"container-title":"Physical Chemistry Chemical Physics","id":"ITEM-1","issue":"29","issued":{"date-parts":[["2017","7","26"]]},"page":"19289-19299","publisher":"Royal Society of Chemistry","title":"Accelerated molecular dynamics simulation analysis of MSI-594 in a lipid bilayer","type":"article-journal","volume":"19"},"uris":["http://www.mendeley.com/documents/?uuid=917b28e6-2689-363c-9c5f-44e76bab0072"]},{"id":"ITEM-2","itemData":{"DOI":"10.1063/1.1755656","ISSN":"00219606","PMID":"15268227","abstract":"Many interesting dynamic properties of biological molecules cannot be simulated directly using molecular dynamics because of nanosecond time scale limitations. These systems are trapped in potentia...","author":[{"dropping-particle":"","family":"Hamelberg","given":"Donald","non-dropping-particle":"","parse-names":false,"suffix":""},{"dropping-particle":"","family":"Mongan","given":"John","non-dropping-particle":"","parse-names":false,"suffix":""},{"dropping-particle":"","family":"McCammon","given":"J. Andrew","non-dropping-particle":"","parse-names":false,"suffix":""}],"container-title":"Journal of Chemical Physics","id":"ITEM-2","issue":"24","issued":{"date-parts":[["2004","6","22"]]},"page":"11919-11929","publisher":"American Institute of PhysicsAIP","title":"Accelerated molecular dynamics: A promising and efficient simulation method for biomolecules","type":"article-journal","volume":"120"},"uris":["http://www.mendeley.com/documents/?uuid=e25dc90c-213e-36e7-9bb4-f496b3bf7f91"]}],"mendeley":{"formattedCitation":"&lt;sup&gt;222,223&lt;/sup&gt;","plainTextFormattedCitation":"222,223","previouslyFormattedCitation":"&lt;sup&gt;222,223&lt;/sup&gt;"},"properties":{"noteIndex":0},"schema":"https://github.com/citation-style-language/schema/raw/master/csl-citation.json"}</w:instrText>
            </w:r>
            <w:r>
              <w:fldChar w:fldCharType="separate"/>
            </w:r>
            <w:r w:rsidR="00A313B9" w:rsidRPr="00A313B9">
              <w:rPr>
                <w:noProof/>
                <w:vertAlign w:val="superscript"/>
              </w:rPr>
              <w:t>222,223</w:t>
            </w:r>
            <w:r>
              <w:fldChar w:fldCharType="end"/>
            </w:r>
          </w:p>
        </w:tc>
      </w:tr>
    </w:tbl>
    <w:p w14:paraId="24A275DE" w14:textId="77777777" w:rsidR="001529CF" w:rsidRDefault="00492337">
      <w:pPr>
        <w:pStyle w:val="Heading3"/>
        <w:jc w:val="both"/>
      </w:pPr>
      <w:bookmarkStart w:id="10" w:name="_3rdcrjn"/>
      <w:bookmarkEnd w:id="10"/>
      <w:r>
        <w:t>Simulating AMP Conformational Propensity</w:t>
      </w:r>
    </w:p>
    <w:p w14:paraId="07908557" w14:textId="77777777" w:rsidR="001529CF" w:rsidRDefault="001529CF">
      <w:pPr>
        <w:pStyle w:val="LO-normal"/>
        <w:jc w:val="both"/>
      </w:pPr>
    </w:p>
    <w:p w14:paraId="4E581D37" w14:textId="15F8681B" w:rsidR="001529CF" w:rsidRDefault="00492337">
      <w:pPr>
        <w:pStyle w:val="LO-normal"/>
        <w:jc w:val="both"/>
      </w:pPr>
      <w:r>
        <w:t>Peptides fold into various conformations based on their amino acid sequence and biological environment. It is known that many AMPs fold into an active conformation upon binding to (or insertion into) the membrane, as can be observed with, for example, melittin that adopts random coils in aqueous solution but forms an ɑ-helix upon binding to a lipid bilayer</w:t>
      </w:r>
      <w:r w:rsidR="00B806B2">
        <w:fldChar w:fldCharType="begin" w:fldLock="1"/>
      </w:r>
      <w:r w:rsidR="00576689">
        <w:instrText>ADDIN CSL_CITATION {"citationItems":[{"id":"ITEM-1","itemData":{"DOI":"10.1021/acs.jpcb.5b07375","ISSN":"15205207","PMID":"26561987","abstract":"Model membranes composed of various lipid mixtures can segregate into liquid-ordered (Lo) and liquid-disordered (Ld) phases. In this study, lipid vesicles composed of mainly Lo or Ld phases as well as complex lipid systems representing the cytosolic leaflet of the myelin membrane were characterized by fluorescence resonance energy transfer with a donor/acceptor pair that preferentially partitioned into Lo or Ld phases, respectively. The fluidity of the lipid systems containing &gt;30% cholesterol was modulated in the presence of the amphipathic peptide melittin. With all the studied lipid systems, melittin attained an α-helical conformation as determined by CD spectroscopy and attained varying degrees of membrane association and penetration as determined by intrinsic Trp fluorescence. The other protein domain utilized was a putative amphipathic helical peptide derived from the cytosolic C-terminal sequence of proteolipid protein (PLP) which is the most abundant protein in the myelin membrane. The C-terminal PLP peptide transitioned from a random coil to an α-helix in the presence of trifluoroethanol. Upon interacting with each of lipid vesicle system, the PLP peptide also folded into a helix; however, at high concentrations of the peptide with fluid lipid systems, associated helices transmuted into a β-sheet conformer. The membrane-associated aggregation of the cytosolic C-termini could be a mechanism by which the transmembrane PLP multimerizes in the myelin membrane.","author":[{"dropping-particle":"","family":"Appadu","given":"Ashtina","non-dropping-particle":"","parse-names":false,"suffix":""},{"dropping-particle":"","family":"Jelokhani-Niaraki","given":"Masoud","non-dropping-particle":"","parse-names":false,"suffix":""},{"dropping-particle":"","family":"DeBruin","given":"Lillian","non-dropping-particle":"","parse-names":false,"suffix":""}],"container-title":"Journal of Physical Chemistry B","id":"ITEM-1","issue":"47","issued":{"date-parts":[["2015","11","12"]]},"page":"14821-14830","publisher":"American Chemical Society","title":"Conformational Changes and Association of Membrane-Interacting Peptides in Myelin Membrane Models: A Case of the C-Terminal Peptide of Proteolipid Protein and the Antimicrobial Peptide Melittin","type":"article-journal","volume":"119"},"uris":["http://www.mendeley.com/documents/?uuid=0f60aa49-bab1-3292-8448-8b7224cfd67e"]}],"mendeley":{"formattedCitation":"&lt;sup&gt;243&lt;/sup&gt;","plainTextFormattedCitation":"243","previouslyFormattedCitation":"&lt;sup&gt;243&lt;/sup&gt;"},"properties":{"noteIndex":0},"schema":"https://github.com/citation-style-language/schema/raw/master/csl-citation.json"}</w:instrText>
      </w:r>
      <w:r w:rsidR="00B806B2">
        <w:fldChar w:fldCharType="separate"/>
      </w:r>
      <w:r w:rsidR="00A313B9" w:rsidRPr="00A313B9">
        <w:rPr>
          <w:noProof/>
          <w:vertAlign w:val="superscript"/>
        </w:rPr>
        <w:t>243</w:t>
      </w:r>
      <w:r w:rsidR="00B806B2">
        <w:fldChar w:fldCharType="end"/>
      </w:r>
      <w:r>
        <w:t>. The preferred mechanism of interaction of an AMP or its aggregates with the membrane interface, followed by insertion, depends on the conformations accessible to the peptide. Experimental techniques commonly used to study the structure of AMPs in different environments include X-Ray crystallography for probing their crystalline forms</w:t>
      </w:r>
      <w:r w:rsidR="00B806B2">
        <w:fldChar w:fldCharType="begin" w:fldLock="1"/>
      </w:r>
      <w:r w:rsidR="00576689">
        <w:instrText>ADDIN CSL_CITATION {"citationItems":[{"id":"ITEM-1","itemData":{"DOI":"10.1096/fj.201802540R","ISSN":"15306860","PMID":"30794440","abstract":"Defensins are an extensive family of host defense peptides found ubiquitously across plant and animal species. In addition to protecting against infection by pathogenic microorganisms, some defensins are selectively cytotoxic toward tumor cells. As such, defensins have attracted interest as potential antimicrobial and anticancer therapeutics. The mechanism of defensin action against microbes and tumor cells appears to be conserved and involves the targeting and disruption of cellular membranes. This has been best defined for plant defensins, which upon binding specific phospholipids, such as phosphatidylinositol 4,5-bisphosphate (PIP2) and phosphatidic acid, form defensin-lipid oligomeric complexes that destabilize membranes, leading to cell lysis. In this study, to further define the anticancer and therapeutic properties of plant defensins, we have characterized a novel plant defensin, Nicotiana occidentalis defensin 173 (NoD173), from N. occidentalis. NoD173 at low micromolar concentrations selectively killed a panel of tumor cell lines over normal primary cells. To improve the anticancer activity of NoD173, we explored increasing cationicity by mutation, with NoD173 with the substitution of Q22 with lysine [NoD173 (Q22K)], increasing the antitumor cell activity by 2-fold. NoD173 and the NoD173(Q22K) mutant exhibited only low levels of hemolytic activity, and both maintained activity against tumor cells in serum. The ability of NoD173 to inhibit solid tumor growth in vivo was tested in a mouse B16-F1 model, whereby injection of NoD173 into established subcutaneous tumors significantly inhibited tumor growth. Finally, we showed that NoD173 specifically targets PIP2 and determined by X-ray crystallography that a high-resolution structure of NoD173, which forms a conserved family-defining cysteine-stabilized–αβ motif with a dimeric lipid-binding conformation, configured into an arch-shaped oligomer of 4 dimers. These data provide insights into the mechanism of how defensins target membranes to kill tumor cells and provide proof of concept that defensins are able to inhibit tumor growth in vivo.—Lay, F. T., Ryan, G. F., Caria, S., Phan, T. K., Veneer, P. K., White, J. A., Kvansakul, M., Hulett M. D. Structural and functional characterization of the membrane-permeabilizing activity of Nicotiana occidentalis defensin NoD173 and protein engineering to enhance oncolysis. FASEB J. 33, 6470–6482 (2019). www.fasebj.org.","author":[{"dropping-particle":"","family":"Lay","given":"Fung T.","non-dropping-particle":"","parse-names":false,"suffix":""},{"dropping-particle":"","family":"Ryan","given":"Gemma F.","non-dropping-particle":"","parse-names":false,"suffix":""},{"dropping-particle":"","family":"Caria","given":"Sofia","non-dropping-particle":"","parse-names":false,"suffix":""},{"dropping-particle":"","family":"Phan","given":"Thanh Kha","non-dropping-particle":"","parse-names":false,"suffix":""},{"dropping-particle":"","family":"Veneer","given":"Prem K.","non-dropping-particle":"","parse-names":false,"suffix":""},{"dropping-particle":"","family":"White","given":"Julie A.","non-dropping-particle":"","parse-names":false,"suffix":""},{"dropping-particle":"","family":"Kvansakul","given":"Marc","non-dropping-particle":"","parse-names":false,"suffix":""},{"dropping-particle":"","family":"Hulett","given":"Mark D.","non-dropping-particle":"","parse-names":false,"suffix":""}],"container-title":"FASEB Journal","id":"ITEM-1","issue":"5","issued":{"date-parts":[["2019","5","1"]]},"page":"6470-6482","publisher":"John Wiley and Sons Inc.","title":"Structural and functional characterization of the membrane-permeabilizing activity of Nicotiana occidentalis defensin NoD173 and protein engineering to enhance oncolysis","type":"article-journal","volume":"33"},"uris":["http://www.mendeley.com/documents/?uuid=4503f240-3fc3-3d6a-b62a-dd14a10f629c"]},{"id":"ITEM-2","itemData":{"DOI":"10.1021/acschembio.9b00047","ISSN":"15548937","PMID":"30830745","abstract":"Herein, we report X-ray crystal structures of 11-13 residue antimicrobial peptides (AMPs) active against Pseudomonas aeruginosa as complexes of fucosylated d-enantiomeric sequences with the P. aeruginosa lectin LecB. These represent the first crystal structures of short AMPs. In 24 individual structures of eight different peptides, we found mostly α-helices assembled as two-helix or four-helix bundles with a hydrophobic core and cationic residues pointing outside. Two of the analogs formed an extended structure engaging in multiple contacts with the lectin. Molecular dynamics (MD) simulations showed that α-helices are stabilized by bundle formation and suggested that the N-terminal acyl group present in the linker to the fucosyl group can extend the helix by one additional H-bond and increase α-helix amphiphilicity. Investigating N-terminal acylation led to AMPs with equivalent and partly stronger antibacterial effects compared to the free peptide.","author":[{"dropping-particle":"","family":"Baeriswyl","given":"Stéphane","non-dropping-particle":"","parse-names":false,"suffix":""},{"dropping-particle":"","family":"Gan","given":"Bee Ha","non-dropping-particle":"","parse-names":false,"suffix":""},{"dropping-particle":"","family":"Siriwardena","given":"Thissa N.","non-dropping-particle":"","parse-names":false,"suffix":""},{"dropping-particle":"","family":"Visini","given":"Ricardo","non-dropping-particle":"","parse-names":false,"suffix":""},{"dropping-particle":"","family":"Robadey","given":"Maurane","non-dropping-particle":"","parse-names":false,"suffix":""},{"dropping-particle":"","family":"Javor","given":"Sacha","non-dropping-particle":"","parse-names":false,"suffix":""},{"dropping-particle":"","family":"Stocker","given":"Achim","non-dropping-particle":"","parse-names":false,"suffix":""},{"dropping-particle":"","family":"Darbre","given":"Tamis","non-dropping-particle":"","parse-names":false,"suffix":""},{"dropping-particle":"","family":"Reymond","given":"Jean Louis","non-dropping-particle":"","parse-names":false,"suffix":""}],"container-title":"ACS Chemical Biology","id":"ITEM-2","issue":"4","issued":{"date-parts":[["2019","4","19"]]},"page":"758-766","publisher":"American Chemical Society","title":"X-ray Crystal Structures of Short Antimicrobial Peptides as Pseudomonas aeruginosa Lectin B Complexes","type":"article-journal","volume":"14"},"uris":["http://www.mendeley.com/documents/?uuid=f66d8b86-f0c9-3269-87d8-ccbc63354fad"]},{"id":"ITEM-3","itemData":{"DOI":"10.1021/ja409082w","ISSN":"15205126","PMID":"24102563","abstract":"High-resolution structure elucidation has been challenging for the large group of host-defense peptides that form helices on or within membranes but do not manifest a strong folding propensity in aqueous solution. Here we report the crystal structure of an analogue of the widely studied host-defense peptide magainin 2. Magainin 2 (S8A, G13A, G18A) is a designed variant that displays enhanced antibacterial activity relative to the natural peptide. The crystal structure of magainin 2 (S8A, G13A, G18A), obtained for the racemic form, features a dimerization mode that has previously been proposed to play a role in the antibacterial activity of magainin 2 and related peptides. © 2013 American Chemical Society.","author":[{"dropping-particle":"","family":"Hayouka","given":"Zvi","non-dropping-particle":"","parse-names":false,"suffix":""},{"dropping-particle":"","family":"Mortenson","given":"David E.","non-dropping-particle":"","parse-names":false,"suffix":""},{"dropping-particle":"","family":"Kreitler","given":"Dale F.","non-dropping-particle":"","parse-names":false,"suffix":""},{"dropping-particle":"","family":"Weisblum","given":"Bernard","non-dropping-particle":"","parse-names":false,"suffix":""},{"dropping-particle":"","family":"Forest","given":"Katrina T.","non-dropping-particle":"","parse-names":false,"suffix":""},{"dropping-particle":"","family":"Gellman","given":"Samuel H.","non-dropping-particle":"","parse-names":false,"suffix":""}],"container-title":"Journal of the American Chemical Society","id":"ITEM-3","issue":"42","issued":{"date-parts":[["2013","10","23"]]},"page":"15738-15741","publisher":"American Chemical Society","title":"Evidence for phenylalanine zipper-mediated dimerization in the X-ray crystal structure of a magainin 2 analogue","type":"article-journal","volume":"135"},"uris":["http://www.mendeley.com/documents/?uuid=fe5c5cd9-36e6-376f-9704-e9fdcbdc8c07"]}],"mendeley":{"formattedCitation":"&lt;sup&gt;49,244,245&lt;/sup&gt;","plainTextFormattedCitation":"49,244,245","previouslyFormattedCitation":"&lt;sup&gt;49,244,245&lt;/sup&gt;"},"properties":{"noteIndex":0},"schema":"https://github.com/citation-style-language/schema/raw/master/csl-citation.json"}</w:instrText>
      </w:r>
      <w:r w:rsidR="00B806B2">
        <w:fldChar w:fldCharType="separate"/>
      </w:r>
      <w:r w:rsidR="00A313B9" w:rsidRPr="00A313B9">
        <w:rPr>
          <w:noProof/>
          <w:vertAlign w:val="superscript"/>
        </w:rPr>
        <w:t>49,244,245</w:t>
      </w:r>
      <w:r w:rsidR="00B806B2">
        <w:fldChar w:fldCharType="end"/>
      </w:r>
      <w:r>
        <w:t>, solution-state NMR for probing their aqueous forms (or active forms in membrane-mimicking solvents</w:t>
      </w:r>
      <w:r w:rsidR="00B806B2">
        <w:fldChar w:fldCharType="begin" w:fldLock="1"/>
      </w:r>
      <w:r w:rsidR="00296A0E">
        <w:instrText>ADDIN CSL_CITATION {"citationItems":[{"id":"ITEM-1","itemData":{"DOI":"10.1016/j.bbamem.2011.03.016","ISSN":"00052736","PMID":"21477581","abstract":"The native environment of membrane proteins is complex and scientists have felt the need to simplify it to reduce the number of varying parameters. However, experimental problems can also arise from oversimplification which contributes to why membrane proteins are under-represented in the protein structure databank and why they were difficult to study by nuclear magnetic resonance (NMR) spectroscopy. Technological progress now allows dealing with more complex models and, in the context of NMR studies, an incredibly large number of membrane mimetics options are available. This review provides a guide to the selection of the appropriate model membrane system for membrane protein study by NMR, depending on the protein and on the type of information that is looked for. Beside bilayers (of various shapes, sizes and lamellarity), bicelles (aligned or isotropic) and detergent micelles, this review will also describe the most recent membrane mimetics such as amphipols, nanodiscs and reverse micelles. Solution and solid-state NMR will be covered as well as more exotic techniques such as DNP and MAOSS. © 2011 Elsevier B.V.","author":[{"dropping-particle":"","family":"Warschawski","given":"Dror E.","non-dropping-particle":"","parse-names":false,"suffix":""},{"dropping-particle":"","family":"Arnold","given":"Alexandre A.","non-dropping-particle":"","parse-names":false,"suffix":""},{"dropping-particle":"","family":"Beaugrand","given":"Maïwenn","non-dropping-particle":"","parse-names":false,"suffix":""},{"dropping-particle":"","family":"Gravel","given":"Andrée","non-dropping-particle":"","parse-names":false,"suffix":""},{"dropping-particle":"","family":"Chartrand","given":"Étienne","non-dropping-particle":"","parse-names":false,"suffix":""},{"dropping-particle":"","family":"Marcotte","given":"Isabelle","non-dropping-particle":"","parse-names":false,"suffix":""}],"container-title":"Biochimica et Biophysica Acta - Biomembranes","id":"ITEM-1","issue":"8","issued":{"date-parts":[["2011","8"]]},"page":"1957-1974","publisher":"Biochim Biophys Acta","title":"Choosing membrane mimetics for NMR structural studies of transmembrane proteins","type":"article-journal","volume":"1808"},"uris":["http://www.mendeley.com/documents/?uuid=76020b16-9378-364f-aff2-a57ac9e5958b"]},{"id":"ITEM-2","itemData":{"DOI":"10.1016/j.jsb.2018.10.003","ISSN":"10958657","PMID":"30336202","abstract":"Structural characterization of BMAP-28(1–18), a potent bovine myeloid antimicrobial peptide can aid in understanding its mechanism of action at molecular level. We report NMR structure of the BMAP-28(1–18) and its mutated analogue mutBMAP18 in SDS micelles. Structural comparison of the peptides bound to SDS micelles and POPE-POPG vesicles using circular dichroism, suggest that structures in the two lipid preparations are similar. Antimicrobial assays show that even though both these peptides adopt helical conformation, BMAP-28(1–18) is more potent than mutBMAP18 in killing bacterial cells. Our EM images clearly indicate that the peptides target the bacterial cell membrane resulting in leakage of its contents. The structural basis for difference in activity between these peptides was investigated by molecular dynamics simulations. Inability of the mutBMAP18 to retain its helical structure in presence of POPE:POPG membrane as opposed to the BMAP-28(1–18) at identical peptide/lipid ratios could be responsible for its decreased activity. Residues Ser5, Arg8 and Arg12 of the BMAP-28(1–18) are crucial for its initial anchoring to the bilayer. We conclude that along with amphipathicity, a stable secondary structure that can promote/initiate membrane anchoring is key in determining membrane destabilization potential of these AMPs. Our findings are a step towards understanding the role of specific residues in antimicrobial activity of BMAP-28(1–18), which will facilitate design of smaller, cost-effective therapeutics and would also help prediction algorithms to expedite screening out variants of the parent peptide with greater accuracy.","author":[{"dropping-particle":"","family":"Agadi","given":"Nutan","non-dropping-particle":"","parse-names":false,"suffix":""},{"dropping-particle":"","family":"Vasudevan","given":"Sheeja","non-dropping-particle":"","parse-names":false,"suffix":""},{"dropping-particle":"","family":"Kumar","given":"Ashutosh","non-dropping-particle":"","parse-names":false,"suffix":""}],"container-title":"Journal of Structural Biology","id":"ITEM-2","issue":"3","issued":{"date-parts":[["2018","12","1"]]},"page":"435-448","publisher":"Academic Press Inc.","title":"Structural insight into the mechanism of action of antimicrobial peptide BMAP-28(1–18) and its analogue mutBMAP18","type":"article-journal","volume":"204"},"uris":["http://www.mendeley.com/documents/?uuid=15f17575-a33f-3cb2-bf67-415ea65747fd"]},{"id":"ITEM-3","itemData":{"DOI":"10.1007/s00249-019-01346-7","ISSN":"14321017","PMID":"30734844","abstract":"Maximin 3 is a 27-residue-long cationic antimicrobial peptide found in the skin secretion and brain of the Chinese red-belly toad Bombina maxima. The peptide is of biological interest as it possesses anti-HIV activity, not found in the other maximin peptides, in addition to antimicrobial, antitumor and spermicidal activities. The three-dimensional structure of maximin 3 was obtained in a 50/50% water/2,2,2-trifluoroethanol-d 3 mixture using two-dimensional NMR spectroscopy. Maximin 3 was found to adopt an α-helical structure from residue G1 to A22, and a coil structure with a helical propensity in the C-terminal tail. The peptide is amphipathic, showing a clear separation between polar and hydrophobic residues. Interactions with sodium dodecyl sulfate micelles, a widely used bacterial membrane-mimicking environment, were modeled using molecular dynamics simulations. The peptide maintained an α-helical conformation, occasionally displaying a flexibility around residues G9 and G16, which is likely responsible for the peptide’s low haemolytic activity. It is found to preferentially adopt a position parallel to the micellar surface, establishing a number of hydrophobic and electrostatic interactions with it.","author":[{"dropping-particle":"","family":"Benetti","given":"Silvia","non-dropping-particle":"","parse-names":false,"suffix":""},{"dropping-particle":"","family":"Timmons","given":"Patrick Brendan","non-dropping-particle":"","parse-names":false,"suffix":""},{"dropping-particle":"","family":"Hewage","given":"Chandralal M.","non-dropping-particle":"","parse-names":false,"suffix":""}],"container-title":"European Biophysics Journal","id":"ITEM-3","issue":"2","issued":{"date-parts":[["2019","3","4"]]},"page":"203-212","publisher":"Springer Verlag","title":"NMR model structure of the antimicrobial peptide maximin 3","type":"article-journal","volume":"48"},"uris":["http://www.mendeley.com/documents/?uuid=e484f10f-5a1e-3649-8e53-8b03c0ccd452"]}],"mendeley":{"formattedCitation":"&lt;sup&gt;53,216,246&lt;/sup&gt;","plainTextFormattedCitation":"53,216,246","previouslyFormattedCitation":"&lt;sup&gt;53,216,246&lt;/sup&gt;"},"properties":{"noteIndex":0},"schema":"https://github.com/citation-style-language/schema/raw/master/csl-citation.json"}</w:instrText>
      </w:r>
      <w:r w:rsidR="00B806B2">
        <w:fldChar w:fldCharType="separate"/>
      </w:r>
      <w:r w:rsidR="00A313B9" w:rsidRPr="00A313B9">
        <w:rPr>
          <w:noProof/>
          <w:vertAlign w:val="superscript"/>
        </w:rPr>
        <w:t>53,216,246</w:t>
      </w:r>
      <w:r w:rsidR="00B806B2">
        <w:fldChar w:fldCharType="end"/>
      </w:r>
      <w:r>
        <w:t>), solid-state NMR for their membrane-embedded forms</w:t>
      </w:r>
      <w:r w:rsidR="00B806B2">
        <w:fldChar w:fldCharType="begin" w:fldLock="1"/>
      </w:r>
      <w:r w:rsidR="00576689">
        <w:instrText>ADDIN CSL_CITATION {"citationItems":[{"id":"ITEM-1","itemData":{"DOI":"10.1021/acs.biochem.7b00526","ISSN":"15204995","PMID":"28699734","abstract":"The antimicrobial peptide GL13K encompasses 13 amino acid residues and has been designed and optimized from the salivary protein BPIFA2 to exhibit potent bacteriocidal and anti-biofilm activity against Gram-negative and Gram-positive bacteria as well as anti-lipopolysaccharide activity in vitro and in vivo. Here, the peptide was analyzed in a variety of membrane environments by circular dichroism spectroscopy and by high-resolution multidimensional solution nuclear magnetic resonance (NMR) spectroscopy. Whereas in the absence of membranes a random coil conformation predominates, the peptide adopts a helical structure from residue 5 to 11 in the presence of dodecylphosphocholine micelles. In contrast, a predominantly β-sheet structure was observed in the presence of lipid bilayers carrying negatively charged phospholipids. Whereas 15N solid-state NMR spectra are indicative of a partial alignment of the peptide 15N-1H vector along the membrane surface, 2H and 31P solid-state NMR spectra indicate that in this configuration the peptide exhibits pronounced disordering activities on the phospholipid membrane, which is possibly related to antimicrobial action. GL13K, thus, undergoes a number of conformational transitions, including a random coil state in solution, a helical structure upon dilution at the surface of zwitterionic membranes, and β-sheet conformations at high peptide:lipid ratios.","author":[{"dropping-particle":"","family":"Harmouche","given":"Nicole","non-dropping-particle":"","parse-names":false,"suffix":""},{"dropping-particle":"","family":"Aisenbrey","given":"Christopher","non-dropping-particle":"","parse-names":false,"suffix":""},{"dropping-particle":"","family":"Porcelli","given":"Fernando","non-dropping-particle":"","parse-names":false,"suffix":""},{"dropping-particle":"","family":"Xia","given":"Youlin","non-dropping-particle":"","parse-names":false,"suffix":""},{"dropping-particle":"","family":"Nelson","given":"Sarah E.D.","non-dropping-particle":"","parse-names":false,"suffix":""},{"dropping-particle":"","family":"Chen","given":"Xi","non-dropping-particle":"","parse-names":false,"suffix":""},{"dropping-particle":"","family":"Raya","given":"Jesus","non-dropping-particle":"","parse-names":false,"suffix":""},{"dropping-particle":"","family":"Vermeer","given":"Louic","non-dropping-particle":"","parse-names":false,"suffix":""},{"dropping-particle":"","family":"Aparicio","given":"Conrado","non-dropping-particle":"","parse-names":false,"suffix":""},{"dropping-particle":"","family":"Veglia","given":"Gianluigi","non-dropping-particle":"","parse-names":false,"suffix":""},{"dropping-particle":"","family":"Gorr","given":"Sven Ulrik","non-dropping-particle":"","parse-names":false,"suffix":""},{"dropping-particle":"","family":"Bechinger","given":"Burkhard","non-dropping-particle":"","parse-names":false,"suffix":""}],"container-title":"Biochemistry","id":"ITEM-1","issue":"32","issued":{"date-parts":[["2017","8","15"]]},"page":"4269-4278","publisher":"American Chemical Society","title":"Solution and Solid-State Nuclear Magnetic Resonance Structural Investigations of the Antimicrobial Designer Peptide GL13K in Membranes","type":"article-journal","volume":"56"},"uris":["http://www.mendeley.com/documents/?uuid=b65ddf77-be86-3ac4-b898-319d1a6e81d3"]}],"mendeley":{"formattedCitation":"&lt;sup&gt;247&lt;/sup&gt;","plainTextFormattedCitation":"247","previouslyFormattedCitation":"&lt;sup&gt;247&lt;/sup&gt;"},"properties":{"noteIndex":0},"schema":"https://github.com/citation-style-language/schema/raw/master/csl-citation.json"}</w:instrText>
      </w:r>
      <w:r w:rsidR="00B806B2">
        <w:fldChar w:fldCharType="separate"/>
      </w:r>
      <w:r w:rsidR="00A313B9" w:rsidRPr="00A313B9">
        <w:rPr>
          <w:noProof/>
          <w:vertAlign w:val="superscript"/>
        </w:rPr>
        <w:t>247</w:t>
      </w:r>
      <w:r w:rsidR="00B806B2">
        <w:fldChar w:fldCharType="end"/>
      </w:r>
      <w:r>
        <w:t>, and circular dichroism (CD) for their secondary structures in solution or embedded in the membrane</w:t>
      </w:r>
      <w:r w:rsidR="00B806B2">
        <w:fldChar w:fldCharType="begin" w:fldLock="1"/>
      </w:r>
      <w:r w:rsidR="00576689">
        <w:instrText>ADDIN CSL_CITATION {"citationItems":[{"id":"ITEM-1","itemData":{"DOI":"10.1021/acs.jpcb.5b07375","ISSN":"15205207","PMID":"26561987","abstract":"Model membranes composed of various lipid mixtures can segregate into liquid-ordered (Lo) and liquid-disordered (Ld) phases. In this study, lipid vesicles composed of mainly Lo or Ld phases as well as complex lipid systems representing the cytosolic leaflet of the myelin membrane were characterized by fluorescence resonance energy transfer with a donor/acceptor pair that preferentially partitioned into Lo or Ld phases, respectively. The fluidity of the lipid systems containing &gt;30% cholesterol was modulated in the presence of the amphipathic peptide melittin. With all the studied lipid systems, melittin attained an α-helical conformation as determined by CD spectroscopy and attained varying degrees of membrane association and penetration as determined by intrinsic Trp fluorescence. The other protein domain utilized was a putative amphipathic helical peptide derived from the cytosolic C-terminal sequence of proteolipid protein (PLP) which is the most abundant protein in the myelin membrane. The C-terminal PLP peptide transitioned from a random coil to an α-helix in the presence of trifluoroethanol. Upon interacting with each of lipid vesicle system, the PLP peptide also folded into a helix; however, at high concentrations of the peptide with fluid lipid systems, associated helices transmuted into a β-sheet conformer. The membrane-associated aggregation of the cytosolic C-termini could be a mechanism by which the transmembrane PLP multimerizes in the myelin membrane.","author":[{"dropping-particle":"","family":"Appadu","given":"Ashtina","non-dropping-particle":"","parse-names":false,"suffix":""},{"dropping-particle":"","family":"Jelokhani-Niaraki","given":"Masoud","non-dropping-particle":"","parse-names":false,"suffix":""},{"dropping-particle":"","family":"DeBruin","given":"Lillian","non-dropping-particle":"","parse-names":false,"suffix":""}],"container-title":"Journal of Physical Chemistry B","id":"ITEM-1","issue":"47","issued":{"date-parts":[["2015","11","12"]]},"page":"14821-14830","publisher":"American Chemical Society","title":"Conformational Changes and Association of Membrane-Interacting Peptides in Myelin Membrane Models: A Case of the C-Terminal Peptide of Proteolipid Protein and the Antimicrobial Peptide Melittin","type":"article-journal","volume":"119"},"uris":["http://www.mendeley.com/documents/?uuid=0f60aa49-bab1-3292-8448-8b7224cfd67e"]},{"id":"ITEM-2","itemData":{"DOI":"10.1016/j.jsb.2018.10.003","ISSN":"10958657","PMID":"30336202","abstract":"Structural characterization of BMAP-28(1–18), a potent bovine myeloid antimicrobial peptide can aid in understanding its mechanism of action at molecular level. We report NMR structure of the BMAP-28(1–18) and its mutated analogue mutBMAP18 in SDS micelles. Structural comparison of the peptides bound to SDS micelles and POPE-POPG vesicles using circular dichroism, suggest that structures in the two lipid preparations are similar. Antimicrobial assays show that even though both these peptides adopt helical conformation, BMAP-28(1–18) is more potent than mutBMAP18 in killing bacterial cells. Our EM images clearly indicate that the peptides target the bacterial cell membrane resulting in leakage of its contents. The structural basis for difference in activity between these peptides was investigated by molecular dynamics simulations. Inability of the mutBMAP18 to retain its helical structure in presence of POPE:POPG membrane as opposed to the BMAP-28(1–18) at identical peptide/lipid ratios could be responsible for its decreased activity. Residues Ser5, Arg8 and Arg12 of the BMAP-28(1–18) are crucial for its initial anchoring to the bilayer. We conclude that along with amphipathicity, a stable secondary structure that can promote/initiate membrane anchoring is key in determining membrane destabilization potential of these AMPs. Our findings are a step towards understanding the role of specific residues in antimicrobial activity of BMAP-28(1–18), which will facilitate design of smaller, cost-effective therapeutics and would also help prediction algorithms to expedite screening out variants of the parent peptide with greater accuracy.","author":[{"dropping-particle":"","family":"Agadi","given":"Nutan","non-dropping-particle":"","parse-names":false,"suffix":""},{"dropping-particle":"","family":"Vasudevan","given":"Sheeja","non-dropping-particle":"","parse-names":false,"suffix":""},{"dropping-particle":"","family":"Kumar","given":"Ashutosh","non-dropping-particle":"","parse-names":false,"suffix":""}],"container-title":"Journal of Structural Biology","id":"ITEM-2","issue":"3","issued":{"date-parts":[["2018","12","1"]]},"page":"435-448","publisher":"Academic Press Inc.","title":"Structural insight into the mechanism of action of antimicrobial peptide BMAP-28(1–18) and its analogue mutBMAP18","type":"article-journal","volume":"204"},"uris":["http://www.mendeley.com/documents/?uuid=15f17575-a33f-3cb2-bf67-415ea65747fd"]},{"id":"ITEM-3","itemData":{"DOI":"10.1016/b978-0-12-304207-1.50008-4","abstract":"This chapter presents a survey of the applications of circular dichroism (CD) and optical rotatory dispersion (ORD) to the analysis of peptide conformation. These spectroscopic techniques have a unique sensitivity to molecular conformation and stereochemical relationships that makes them ideally suited to the detection of conformational differences and changes. In addition, both empirical and theoretical analyses can provide information about the absolute conformations in many cases. Especially when combined with other spectroscopic methods, such as nuclear magnetic resonance spectroscopy and Raman spectroscopy, and with conformational energy calculations, CD and ORD can be powerful probes into the conformation of peptides in solution. The chapter also discusses basic phenomenon of CD and ORD, wavelength dependence of optical rotation and CD, and general aspects of peptide CD and specific systems of cyclic peptides and the linear peptides.","author":[{"dropping-particle":"","family":"Woody","given":"Robert W.","non-dropping-particle":"","parse-names":false,"suffix":""}],"container-title":"Conformation in Biology and Drug Design","id":"ITEM-3","issued":{"date-parts":[["1985","1","1"]]},"page":"15-114","publisher":"Elsevier","title":"Circular Dichroism of Peptides","type":"chapter"},"uris":["http://www.mendeley.com/documents/?uuid=f479db56-8df9-36c5-84e2-5c233ec7b611"]},{"id":"ITEM-4","itemData":{"DOI":"10.1021/acs.accounts.5b00346","ISSN":"15204898","PMID":"26756718","abstract":"ConspectusThe structures of membrane-bound polypeptides are intimately related to their functions and may change dramatically with the lipid environment. Circular dichroism (CD) is a rapid analytical method that requires relatively low amounts of material and no labeling. Conventional CD is routinely used to monitor the secondary structure of peptides and proteins in solution, for example, in the presence of ligands and other binding partners. In the case of membrane-active peptides and transmembrane proteins, these measurements can be applied to, and remain limited to, samples containing detergent micelles or small sonicated lipid vesicles. Such traditional CD analysis reveals only secondary structures. With the help of an oriented circular dichroism (OCD) setup, however, based on the preparation of macroscopically oriented lipid bilayers, it is possible to address the membrane alignment of a peptide in addition to its conformation. This approach has been mostly used for α-helical peptides so far, but other structural elements are conceivable as well. OCD analysis relies on Moffitt's theory, which predicts that the electronic transition dipole moments of the backbone amide bonds in helical polypeptides are polarized either parallel or perpendicular to the helix axis. The interaction of the electric field vector of the circularly polarized light with these transitions results in an OCD spectrum of a membrane-bound α-helical peptide, which exhibits a characteristic line shape and reflects the angle between the helix axis and the bilayer normal. For parallel alignment of a peptide helix with respect to the membrane surface (S-state), the corresponding \"fingerprint\" CD band around 208 nm will exhibit maximum negative amplitude. If the helix changes its alignment via an obliquely tilted (T-state) to a fully inserted transmembrane orientation (I-state), the ellipticity at 208 nm decreases and the value approaches zero due to the decreased interactions between the field and the transition dipole.Compared to conventional CD, OCD data are not only collected in the biologically relevant environment of a highly hydrated planar lipid bilayer (whose composition can be varied at will), but in addition it provides information about the tilt angle of the polypeptide in the membrane. It is the method of choice for screening numerous different conditions, such as peptide concentration, lipid composition, membrane additives, pH, temperature, and sample hydration. All the…","author":[{"dropping-particle":"","family":"Bürck","given":"Jochen","non-dropping-particle":"","parse-names":false,"suffix":""},{"dropping-particle":"","family":"Wadhwani","given":"Parvesh","non-dropping-particle":"","parse-names":false,"suffix":""},{"dropping-particle":"","family":"Fanghänel","given":"Susanne","non-dropping-particle":"","parse-names":false,"suffix":""},{"dropping-particle":"","family":"Ulrich","given":"Anne S.","non-dropping-particle":"","parse-names":false,"suffix":""}],"container-title":"Accounts of Chemical Research","id":"ITEM-4","issue":"2","issued":{"date-parts":[["2016","2","16"]]},"page":"184-192","publisher":"American Chemical Society","title":"Oriented Circular Dichroism: A Method to Characterize Membrane-Active Peptides in Oriented Lipid Bilayers","type":"article-journal","volume":"49"},"uris":["http://www.mendeley.com/documents/?uuid=0131a5a1-eb8b-3b02-82dc-43cbd399bc74"]}],"mendeley":{"formattedCitation":"&lt;sup&gt;216,243,248,249&lt;/sup&gt;","plainTextFormattedCitation":"216,243,248,249","previouslyFormattedCitation":"&lt;sup&gt;216,243,248,249&lt;/sup&gt;"},"properties":{"noteIndex":0},"schema":"https://github.com/citation-style-language/schema/raw/master/csl-citation.json"}</w:instrText>
      </w:r>
      <w:r w:rsidR="00B806B2">
        <w:fldChar w:fldCharType="separate"/>
      </w:r>
      <w:r w:rsidR="00A313B9" w:rsidRPr="00A313B9">
        <w:rPr>
          <w:noProof/>
          <w:vertAlign w:val="superscript"/>
        </w:rPr>
        <w:t>216,243,248,249</w:t>
      </w:r>
      <w:r w:rsidR="00B806B2">
        <w:fldChar w:fldCharType="end"/>
      </w:r>
      <w:r>
        <w:t>. Comprehensive reviews of the experimental techniques used for biophysical characterisation of AMPs are available</w:t>
      </w:r>
      <w:r w:rsidR="00B806B2">
        <w:fldChar w:fldCharType="begin" w:fldLock="1"/>
      </w:r>
      <w:r w:rsidR="00C44087">
        <w:instrText>ADDIN CSL_CITATION {"citationItems":[{"id":"ITEM-1","itemData":{"DOI":"10.3390/biom8030077","ISSN":"2218273X","PMID":"30135402","abstract":"In the last 20 years, an increasing number of studies have been reported on membrane active peptides. These peptides exert their biological activity by interacting with the cell membrane, either to disrupt it and lead to cell lysis or to translocate through it to deliver cargos into the cell and reach their target. Membrane active peptides are attractive alternatives to currently used pharmaceuticals and the number of antimicrobial peptides (AMPs) and peptides designed for drug and gene delivery in the drug pipeline is increasing. Here, we focus on two most prominent classes of membrane active peptides; AMPs and cell-penetrating peptides (CPPs). Antimicrobial peptides are a group of membrane active peptides that disrupt the membrane integrity or inhibit the cellular functions of bacteria, virus, and fungi. Cell penetrating peptides are another group of membrane active peptides that mainly function as cargo-carriers even though they may also show antimicrobial activity. Biophysical techniques shed light on peptide–membrane interactions at higher resolution due to the advances in optics, image processing, and computational resources. Structural investigation of membrane active peptides in the presence of the membrane provides important clues on the effect of the membrane environment on peptide conformations. Live imaging techniques allow examination of peptide action at a single cell or single molecule level. In addition to these experimental biophysical techniques, molecular dynamics simulations provide clues on the peptide–lipid interactions and dynamics of the cell entry process at atomic detail. In this review, we summarize the recent advances in experimental and computational investigation of membrane active peptides with particular emphasis on two amphipathic membrane active peptides, the AMP melittin and the CPP pVEC.","author":[{"dropping-particle":"","family":"Avci","given":"Fatma Gizem","non-dropping-particle":"","parse-names":false,"suffix":""},{"dropping-particle":"","family":"Akbulut","given":"Berna Sariyar","non-dropping-particle":"","parse-names":false,"suffix":""},{"dropping-particle":"","family":"Ozkirimli","given":"Elif","non-dropping-particle":"","parse-names":false,"suffix":""}],"container-title":"Biomolecules","id":"ITEM-1","issue":"3","issued":{"date-parts":[["2018","9","1"]]},"page":"77","publisher":"MDPI AG","title":"Membrane active peptides and their biophysical characterization","type":"article-journal","volume":"8"},"uris":["http://www.mendeley.com/documents/?uuid=f5af5547-3fcf-3565-9cd9-eb4006d40526"]}],"mendeley":{"formattedCitation":"&lt;sup&gt;250&lt;/sup&gt;","plainTextFormattedCitation":"250","previouslyFormattedCitation":"&lt;sup&gt;250&lt;/sup&gt;"},"properties":{"noteIndex":0},"schema":"https://github.com/citation-style-language/schema/raw/master/csl-citation.json"}</w:instrText>
      </w:r>
      <w:r w:rsidR="00B806B2">
        <w:fldChar w:fldCharType="separate"/>
      </w:r>
      <w:r w:rsidR="00A313B9" w:rsidRPr="00A313B9">
        <w:rPr>
          <w:noProof/>
          <w:vertAlign w:val="superscript"/>
        </w:rPr>
        <w:t>250</w:t>
      </w:r>
      <w:r w:rsidR="00B806B2">
        <w:fldChar w:fldCharType="end"/>
      </w:r>
      <w:r>
        <w:t xml:space="preserve">. These methods have been complemented extensively by MD simulations, examples of which will be discussed here. </w:t>
      </w:r>
    </w:p>
    <w:p w14:paraId="2565B32E" w14:textId="77777777" w:rsidR="001529CF" w:rsidRDefault="001529CF">
      <w:pPr>
        <w:pStyle w:val="LO-normal"/>
        <w:jc w:val="both"/>
      </w:pPr>
    </w:p>
    <w:p w14:paraId="4997AA47" w14:textId="13B477AB" w:rsidR="001529CF" w:rsidRDefault="00492337">
      <w:pPr>
        <w:pStyle w:val="LO-normal"/>
        <w:jc w:val="both"/>
      </w:pPr>
      <w:r>
        <w:t>X-Ray crystallography is widely used to obtain conformations of peptides and proteins</w:t>
      </w:r>
      <w:r w:rsidR="00B806B2">
        <w:fldChar w:fldCharType="begin" w:fldLock="1"/>
      </w:r>
      <w:r w:rsidR="00576689">
        <w:instrText>ADDIN CSL_CITATION {"citationItems":[{"id":"ITEM-1","itemData":{"DOI":"10.1021/acschembio.9b00047","ISSN":"15548937","PMID":"30830745","abstract":"Herein, we report X-ray crystal structures of 11-13 residue antimicrobial peptides (AMPs) active against Pseudomonas aeruginosa as complexes of fucosylated d-enantiomeric sequences with the P. aeruginosa lectin LecB. These represent the first crystal structures of short AMPs. In 24 individual structures of eight different peptides, we found mostly α-helices assembled as two-helix or four-helix bundles with a hydrophobic core and cationic residues pointing outside. Two of the analogs formed an extended structure engaging in multiple contacts with the lectin. Molecular dynamics (MD) simulations showed that α-helices are stabilized by bundle formation and suggested that the N-terminal acyl group present in the linker to the fucosyl group can extend the helix by one additional H-bond and increase α-helix amphiphilicity. Investigating N-terminal acylation led to AMPs with equivalent and partly stronger antibacterial effects compared to the free peptide.","author":[{"dropping-particle":"","family":"Baeriswyl","given":"Stéphane","non-dropping-particle":"","parse-names":false,"suffix":""},{"dropping-particle":"","family":"Gan","given":"Bee Ha","non-dropping-particle":"","parse-names":false,"suffix":""},{"dropping-particle":"","family":"Siriwardena","given":"Thissa N.","non-dropping-particle":"","parse-names":false,"suffix":""},{"dropping-particle":"","family":"Visini","given":"Ricardo","non-dropping-particle":"","parse-names":false,"suffix":""},{"dropping-particle":"","family":"Robadey","given":"Maurane","non-dropping-particle":"","parse-names":false,"suffix":""},{"dropping-particle":"","family":"Javor","given":"Sacha","non-dropping-particle":"","parse-names":false,"suffix":""},{"dropping-particle":"","family":"Stocker","given":"Achim","non-dropping-particle":"","parse-names":false,"suffix":""},{"dropping-particle":"","family":"Darbre","given":"Tamis","non-dropping-particle":"","parse-names":false,"suffix":""},{"dropping-particle":"","family":"Reymond","given":"Jean Louis","non-dropping-particle":"","parse-names":false,"suffix":""}],"container-title":"ACS Chemical Biology","id":"ITEM-1","issue":"4","issued":{"date-parts":[["2019","4","19"]]},"page":"758-766","publisher":"American Chemical Society","title":"X-ray Crystal Structures of Short Antimicrobial Peptides as Pseudomonas aeruginosa Lectin B Complexes","type":"article-journal","volume":"14"},"uris":["http://www.mendeley.com/documents/?uuid=f66d8b86-f0c9-3269-87d8-ccbc63354fad"]},{"id":"ITEM-2","itemData":{"DOI":"10.1021/acs.jpcb.7b00083","ISSN":"15205207","PMID":"28294607","abstract":"Human β-defensin 2 is a cysteine-rich antimicrobial peptide. In the crystal state, the N-terminal segment (residues 1-11) exhibits a helical conformation. However, a truncated form, with four amino acids removed from the N-terminus, adopts nonhelical conformations in solution, as shown by NMR. To explore the molecular origins of these different conformations, we performed Hamiltonian replica exchange molecular dynamics simulations of the peptide in solution and in the crystal state. It is found that backbone hydration and specific protein-protein interactions are key parameters that determine the peptide conformation. The helical conformation in the crystal state mainly arises from reduced hydration as well as a salt bridge between the peptide and a symmetry-related neighboring monomer in the crystal. When the extent of hydration is reduced and the salt bridge is reintroduced artificially, the peptide is successfully folded back to the helical conformation in solution. The findings not only shed light on the development of accurate force field parameters for protein molecules but also provide practical guidance in the design of functional proteins and peptides.","author":[{"dropping-particle":"","family":"Li","given":"Jianguo","non-dropping-particle":"","parse-names":false,"suffix":""},{"dropping-particle":"","family":"Hu","given":"Zhongqiao","non-dropping-particle":"","parse-names":false,"suffix":""},{"dropping-particle":"","family":"Beuerman","given":"Roger","non-dropping-particle":"","parse-names":false,"suffix":""},{"dropping-particle":"","family":"Verma","given":"Chandra","non-dropping-particle":"","parse-names":false,"suffix":""}],"container-title":"Journal of Physical Chemistry B","id":"ITEM-2","issue":"13","issued":{"date-parts":[["2017","4","6"]]},"page":"2739-2747","publisher":"American Chemical Society","title":"Molecular Environment Modulates Conformational Differences between Crystal and Solution States of Human β-Defensin 2","type":"article-journal","volume":"121"},"uris":["http://www.mendeley.com/documents/?uuid=7d8a85db-2855-38f7-9eb6-4ac19bb22bd5"]}],"mendeley":{"formattedCitation":"&lt;sup&gt;49,217&lt;/sup&gt;","plainTextFormattedCitation":"49,217","previouslyFormattedCitation":"&lt;sup&gt;49,217&lt;/sup&gt;"},"properties":{"noteIndex":0},"schema":"https://github.com/citation-style-language/schema/raw/master/csl-citation.json"}</w:instrText>
      </w:r>
      <w:r w:rsidR="00B806B2">
        <w:fldChar w:fldCharType="separate"/>
      </w:r>
      <w:r w:rsidR="00A313B9" w:rsidRPr="00A313B9">
        <w:rPr>
          <w:noProof/>
          <w:vertAlign w:val="superscript"/>
        </w:rPr>
        <w:t>49,217</w:t>
      </w:r>
      <w:r w:rsidR="00B806B2">
        <w:fldChar w:fldCharType="end"/>
      </w:r>
      <w:r>
        <w:t xml:space="preserve">, but these static structures may not represent the more biologically relevant structures that the peptide adopt in the solution phase, due to desolvation and crystal packing effects. MD has been used to examine the solution-phase behaviour of AMPs and compare it to their X-Ray structures. For example, Baeriswyl </w:t>
      </w:r>
      <w:r>
        <w:rPr>
          <w:i/>
        </w:rPr>
        <w:t xml:space="preserve">et al. </w:t>
      </w:r>
      <w:r>
        <w:t>found that the helical structure of the AMP SB1 seen in crystals is unstable in solution, and performed conventional atomistic MD starting from a 4-helix bundle (representing the crystal form) and an isolated helix (representing the solution form) to observe the interactions and solvation effect</w:t>
      </w:r>
      <w:r w:rsidR="005D09E3">
        <w:t>s responsible for this behaviour</w:t>
      </w:r>
      <w:r w:rsidR="005D09E3">
        <w:fldChar w:fldCharType="begin" w:fldLock="1"/>
      </w:r>
      <w:r w:rsidR="00D217EC">
        <w:instrText>ADDIN CSL_CITATION {"citationItems":[{"id":"ITEM-1","itemData":{"DOI":"10.1021/acschembio.9b00047","ISSN":"15548937","PMID":"30830745","abstract":"Herein, we report X-ray crystal structures of 11-13 residue antimicrobial peptides (AMPs) active against Pseudomonas aeruginosa as complexes of fucosylated d-enantiomeric sequences with the P. aeruginosa lectin LecB. These represent the first crystal structures of short AMPs. In 24 individual structures of eight different peptides, we found mostly α-helices assembled as two-helix or four-helix bundles with a hydrophobic core and cationic residues pointing outside. Two of the analogs formed an extended structure engaging in multiple contacts with the lectin. Molecular dynamics (MD) simulations showed that α-helices are stabilized by bundle formation and suggested that the N-terminal acyl group present in the linker to the fucosyl group can extend the helix by one additional H-bond and increase α-helix amphiphilicity. Investigating N-terminal acylation led to AMPs with equivalent and partly stronger antibacterial effects compared to the free peptide.","author":[{"dropping-particle":"","family":"Baeriswyl","given":"Stéphane","non-dropping-particle":"","parse-names":false,"suffix":""},{"dropping-particle":"","family":"Gan","given":"Bee Ha","non-dropping-particle":"","parse-names":false,"suffix":""},{"dropping-particle":"","family":"Siriwardena","given":"Thissa N.","non-dropping-particle":"","parse-names":false,"suffix":""},{"dropping-particle":"","family":"Visini","given":"Ricardo","non-dropping-particle":"","parse-names":false,"suffix":""},{"dropping-particle":"","family":"Robadey","given":"Maurane","non-dropping-particle":"","parse-names":false,"suffix":""},{"dropping-particle":"","family":"Javor","given":"Sacha","non-dropping-particle":"","parse-names":false,"suffix":""},{"dropping-particle":"","family":"Stocker","given":"Achim","non-dropping-particle":"","parse-names":false,"suffix":""},{"dropping-particle":"","family":"Darbre","given":"Tamis","non-dropping-particle":"","parse-names":false,"suffix":""},{"dropping-particle":"","family":"Reymond","given":"Jean Louis","non-dropping-particle":"","parse-names":false,"suffix":""}],"container-title":"ACS Chemical Biology","id":"ITEM-1","issue":"4","issued":{"date-parts":[["2019","4","19"]]},"page":"758-766","publisher":"American Chemical Society","title":"X-ray Crystal Structures of Short Antimicrobial Peptides as Pseudomonas aeruginosa Lectin B Complexes","type":"article-journal","volume":"14"},"uris":["http://www.mendeley.com/documents/?uuid=f66d8b86-f0c9-3269-87d8-ccbc63354fad"]}],"mendeley":{"formattedCitation":"&lt;sup&gt;49&lt;/sup&gt;","plainTextFormattedCitation":"49","previouslyFormattedCitation":"&lt;sup&gt;49&lt;/sup&gt;"},"properties":{"noteIndex":0},"schema":"https://github.com/citation-style-language/schema/raw/master/csl-citation.json"}</w:instrText>
      </w:r>
      <w:r w:rsidR="005D09E3">
        <w:fldChar w:fldCharType="separate"/>
      </w:r>
      <w:r w:rsidR="0019024E" w:rsidRPr="0019024E">
        <w:rPr>
          <w:noProof/>
          <w:vertAlign w:val="superscript"/>
        </w:rPr>
        <w:t>49</w:t>
      </w:r>
      <w:r w:rsidR="005D09E3">
        <w:fldChar w:fldCharType="end"/>
      </w:r>
      <w:r w:rsidR="005D09E3">
        <w:t>.</w:t>
      </w:r>
      <w:r>
        <w:t xml:space="preserve"> They determined that aggregation and bundle formation are crucial for stabilising the peptide, as well as the fundamental role of N-acylation in the peptide’s AMP activity. Furthermore, enhanced conformational sampling approaches, such as Hamiltonian replica exchange (HREMD), are increasingly being used to enable sufficient conformational sampling and was used to formulate a molecular explanation for the observed differences between the X-ray crystal structure and solution-phase NMR structure of the AMP Human β-defensin 2 (HBD-2)</w:t>
      </w:r>
      <w:r w:rsidR="005D09E3">
        <w:fldChar w:fldCharType="begin" w:fldLock="1"/>
      </w:r>
      <w:r w:rsidR="00576689">
        <w:instrText>ADDIN CSL_CITATION {"citationItems":[{"id":"ITEM-1","itemData":{"DOI":"10.1021/acs.jpcb.7b00083","ISSN":"15205207","PMID":"28294607","abstract":"Human β-defensin 2 is a cysteine-rich antimicrobial peptide. In the crystal state, the N-terminal segment (residues 1-11) exhibits a helical conformation. However, a truncated form, with four amino acids removed from the N-terminus, adopts nonhelical conformations in solution, as shown by NMR. To explore the molecular origins of these different conformations, we performed Hamiltonian replica exchange molecular dynamics simulations of the peptide in solution and in the crystal state. It is found that backbone hydration and specific protein-protein interactions are key parameters that determine the peptide conformation. The helical conformation in the crystal state mainly arises from reduced hydration as well as a salt bridge between the peptide and a symmetry-related neighboring monomer in the crystal. When the extent of hydration is reduced and the salt bridge is reintroduced artificially, the peptide is successfully folded back to the helical conformation in solution. The findings not only shed light on the development of accurate force field parameters for protein molecules but also provide practical guidance in the design of functional proteins and peptides.","author":[{"dropping-particle":"","family":"Li","given":"Jianguo","non-dropping-particle":"","parse-names":false,"suffix":""},{"dropping-particle":"","family":"Hu","given":"Zhongqiao","non-dropping-particle":"","parse-names":false,"suffix":""},{"dropping-particle":"","family":"Beuerman","given":"Roger","non-dropping-particle":"","parse-names":false,"suffix":""},{"dropping-particle":"","family":"Verma","given":"Chandra","non-dropping-particle":"","parse-names":false,"suffix":""}],"container-title":"Journal of Physical Chemistry B","id":"ITEM-1","issue":"13","issued":{"date-parts":[["2017","4","6"]]},"page":"2739-2747","publisher":"American Chemical Society","title":"Molecular Environment Modulates Conformational Differences between Crystal and Solution States of Human β-Defensin 2","type":"article-journal","volume":"121"},"uris":["http://www.mendeley.com/documents/?uuid=7d8a85db-2855-38f7-9eb6-4ac19bb22bd5"]}],"mendeley":{"formattedCitation":"&lt;sup&gt;217&lt;/sup&gt;","plainTextFormattedCitation":"217","previouslyFormattedCitation":"&lt;sup&gt;217&lt;/sup&gt;"},"properties":{"noteIndex":0},"schema":"https://github.com/citation-style-language/schema/raw/master/csl-citation.json"}</w:instrText>
      </w:r>
      <w:r w:rsidR="005D09E3">
        <w:fldChar w:fldCharType="separate"/>
      </w:r>
      <w:r w:rsidR="00A313B9" w:rsidRPr="00A313B9">
        <w:rPr>
          <w:noProof/>
          <w:vertAlign w:val="superscript"/>
        </w:rPr>
        <w:t>217</w:t>
      </w:r>
      <w:r w:rsidR="005D09E3">
        <w:fldChar w:fldCharType="end"/>
      </w:r>
      <w:r>
        <w:t xml:space="preserve">. </w:t>
      </w:r>
    </w:p>
    <w:p w14:paraId="5A6C32F8" w14:textId="77777777" w:rsidR="001529CF" w:rsidRDefault="001529CF">
      <w:pPr>
        <w:pStyle w:val="LO-normal"/>
        <w:jc w:val="both"/>
      </w:pPr>
    </w:p>
    <w:p w14:paraId="03EC3162" w14:textId="365A2134" w:rsidR="001529CF" w:rsidRDefault="00492337">
      <w:pPr>
        <w:pStyle w:val="LO-normal"/>
        <w:jc w:val="both"/>
      </w:pPr>
      <w:r>
        <w:t xml:space="preserve">One of the areas where MD simulations have made a significant contribution is in exploring the difference in conformational propensity of AMPs in solution and within membrane models, which is important due to the difficulty of experimentally determining membrane-phase behaviour of AMPs. This sort of investigation can be carried out by placing experimentally-determined or predicted peptide conformations above or within a membrane model and monitoring the ensuing </w:t>
      </w:r>
      <w:r>
        <w:lastRenderedPageBreak/>
        <w:t>structural changes during the MD simulation</w:t>
      </w:r>
      <w:r w:rsidR="005D09E3">
        <w:fldChar w:fldCharType="begin" w:fldLock="1"/>
      </w:r>
      <w:r w:rsidR="00576689">
        <w:instrText>ADDIN CSL_CITATION {"citationItems":[{"id":"ITEM-1","itemData":{"DOI":"10.1007/s00249-019-01346-7","ISSN":"14321017","PMID":"30734844","abstract":"Maximin 3 is a 27-residue-long cationic antimicrobial peptide found in the skin secretion and brain of the Chinese red-belly toad Bombina maxima. The peptide is of biological interest as it possesses anti-HIV activity, not found in the other maximin peptides, in addition to antimicrobial, antitumor and spermicidal activities. The three-dimensional structure of maximin 3 was obtained in a 50/50% water/2,2,2-trifluoroethanol-d 3 mixture using two-dimensional NMR spectroscopy. Maximin 3 was found to adopt an α-helical structure from residue G1 to A22, and a coil structure with a helical propensity in the C-terminal tail. The peptide is amphipathic, showing a clear separation between polar and hydrophobic residues. Interactions with sodium dodecyl sulfate micelles, a widely used bacterial membrane-mimicking environment, were modeled using molecular dynamics simulations. The peptide maintained an α-helical conformation, occasionally displaying a flexibility around residues G9 and G16, which is likely responsible for the peptide’s low haemolytic activity. It is found to preferentially adopt a position parallel to the micellar surface, establishing a number of hydrophobic and electrostatic interactions with it.","author":[{"dropping-particle":"","family":"Benetti","given":"Silvia","non-dropping-particle":"","parse-names":false,"suffix":""},{"dropping-particle":"","family":"Timmons","given":"Patrick Brendan","non-dropping-particle":"","parse-names":false,"suffix":""},{"dropping-particle":"","family":"Hewage","given":"Chandralal M.","non-dropping-particle":"","parse-names":false,"suffix":""}],"container-title":"European Biophysics Journal","id":"ITEM-1","issue":"2","issued":{"date-parts":[["2019","3","4"]]},"page":"203-212","publisher":"Springer Verlag","title":"NMR model structure of the antimicrobial peptide maximin 3","type":"article-journal","volume":"48"},"uris":["http://www.mendeley.com/documents/?uuid=e484f10f-5a1e-3649-8e53-8b03c0ccd452"]},{"id":"ITEM-2","itemData":{"DOI":"10.3390/ijms19041186","ISSN":"14220067","PMID":"29652823","abstract":"Cathelicidins are a large family of cationic antimicrobial peptides (AMPs) found in mammals with broad spectrum antimicrobial activity. LL-37 is the sole amphipathic α-helical AMP from human Cathelicidins family. In addition to its bactericidal capability, LL-37 has antiviral, anti-tumor, and immunoregulatory activity. Despite many experimental studies, its molecular mechanism of action is not yet fully understood. Here, we performed three independent molecular dynamics simulations (600 ns or more) of a LL-37 peptide in the presence of 256 lipid bilayers with 1-palmitoyl-2-oleoyl-sn-glycero-3-phosphoglycerol (POPG) mimicking bacterial and 1-palmitoyl-2-oleoyl-sn-glycero-3-phosphocholine (POPC) mimicking mammalian membranes. We found that LL-37 can be quickly absorbed onto the POPG bilayer without loss of its helical conformation in the core region and with the helix lying in parallel to the bilayer. The POPG bilayer was deformed. In contrast, LL-37 is slower in reaching the POPC surface and loss much of its helical conformation during the interaction with the bilayer. LL-37 only partially entered the POPC bilayer without significant deformation of the membrane. The observed difference for different bilayers is largely due to the fact that LL-37 is positively charged, POPG is negatively charged, and POPC is neutral. Our simulation results demonstrated the initial stage of disruption of the bacterial membrane by LL-37 in atomic details. Comparison to experimental results on LL-37 and simulation studies in other systems was made.","author":[{"dropping-particle":"","family":"Zhao","given":"Liling","non-dropping-particle":"","parse-names":false,"suffix":""},{"dropping-particle":"","family":"Cao","given":"Zanxia","non-dropping-particle":"","parse-names":false,"suffix":""},{"dropping-particle":"","family":"Bian","given":"Yunqiang","non-dropping-particle":"","parse-names":false,"suffix":""},{"dropping-particle":"","family":"Hu","given":"Guodong","non-dropping-particle":"","parse-names":false,"suffix":""},{"dropping-particle":"","family":"Wang","given":"Jihua","non-dropping-particle":"","parse-names":false,"suffix":""},{"dropping-particle":"","family":"Zhou","given":"Yaoqi","non-dropping-particle":"","parse-names":false,"suffix":""}],"container-title":"International Journal of Molecular Sciences","id":"ITEM-2","issue":"4","issued":{"date-parts":[["2018","4","13"]]},"publisher":"MDPI AG","title":"Molecular dynamics simulations of human antimicrobial peptide LL-37 in model POPC and POPG lipid bilayers","type":"article-journal","volume":"19"},"uris":["http://www.mendeley.com/documents/?uuid=74f716af-c869-3a93-bf70-b5ebc186adcb"]},{"id":"ITEM-3","itemData":{"DOI":"10.1038/s41598-018-37630-3","ISSN":"20452322","PMID":"30718667","abstract":"Antimicrobial peptides (AMPs) are a potential source of new molecules to counter the increase in antimicrobial resistant infections but a better understanding of their properties is required to understand their native function and for effective translation as therapeutics. Details of the mechanism of their interaction with the bacterial plasma membrane are desired since damage or penetration of this structure is considered essential for AMPs activity. Relatively modest modifications to AMPs primary sequence can induce substantial changes in potency and/or spectrum of activity but, hitherto, have not been predicted to substantially alter the mechanism of interaction with the bacterial plasma membrane. Here we use a combination of molecular dynamics simulations, circular dichroism, solid-state NMR and patch clamp to investigate the extent to which temporin B and its analogues can be distinguished both in vitro and in silico on the basis of their interactions with model membranes. Enhancing the hydrophobicity of the N-terminus and cationicity of the C-terminus in temporin B improves its membrane activity and potency against both Gram-negative and Gram-positive bacteria. In contrast, enhancing the cationicity of the N-terminus abrogates its ability to trigger channel conductance and renders it ineffective against Gram-positive bacteria while nevertheless enhancing its potency against Escherichia coli. Our findings suggest even closely related AMPs may target the same bacterium with fundamentally differing mechanisms of action.","author":[{"dropping-particle":"","family":"Manzo","given":"Giorgia","non-dropping-particle":"","parse-names":false,"suffix":""},{"dropping-particle":"","family":"Ferguson","given":"Philip M.","non-dropping-particle":"","parse-names":false,"suffix":""},{"dropping-particle":"","family":"Gustilo","given":"V. Benjamin","non-dropping-particle":"","parse-names":false,"suffix":""},{"dropping-particle":"","family":"Hind","given":"Charlotte K.","non-dropping-particle":"","parse-names":false,"suffix":""},{"dropping-particle":"","family":"Clifford","given":"Melanie","non-dropping-particle":"","parse-names":false,"suffix":""},{"dropping-particle":"","family":"Bui","given":"Tam T.","non-dropping-particle":"","parse-names":false,"suffix":""},{"dropping-particle":"","family":"Drake","given":"Alex F.","non-dropping-particle":"","parse-names":false,"suffix":""},{"dropping-particle":"","family":"Atkinson","given":"R. Andrew","non-dropping-particle":"","parse-names":false,"suffix":""},{"dropping-particle":"","family":"Sutton","given":"J. Mark","non-dropping-particle":"","parse-names":false,"suffix":""},{"dropping-particle":"","family":"Batoni","given":"Giovanna","non-dropping-particle":"","parse-names":false,"suffix":""},{"dropping-particle":"","family":"Lorenz","given":"Christian D.","non-dropping-particle":"","parse-names":false,"suffix":""},{"dropping-particle":"","family":"Phoenix","given":"David A.","non-dropping-particle":"","parse-names":false,"suffix":""},{"dropping-particle":"","family":"James Mason","given":"A.","non-dropping-particle":"","parse-names":false,"suffix":""}],"container-title":"Scientific Reports","id":"ITEM-3","issue":"1","issued":{"date-parts":[["2019","2","4"]]},"page":"1-16","publisher":"Nature Publishing Group","title":"Minor sequence modifications in temporin B cause drastic changes in antibacterial potency and selectivity by fundamentally altering membrane activity","type":"article-journal","volume":"9"},"uris":["http://www.mendeley.com/documents/?uuid=ba0a81d8-aedd-38f7-9c54-37544b375d23"]},{"id":"ITEM-4","itemData":{"DOI":"10.1016/j.bpc.2019.02.005","ISSN":"18734200","PMID":"30836162","abstract":"New ideas and methods are being developed to generate highly designable small functional protein folds beyond the confines of natural structures, from secondary to quaternary level. Highly designable folds can have multiple sequence solutions, which are thermodynamically and kinetically stable. We have previously described how short syndiotactic helices can be exceptionally stable energetically, and how they can be used as a template for designing antibacterial agents. In this work, we have designed four syndiotactic, single turn, amphipathic; cationic 7-mer peptides which are the sequence and structural subset of earlier published 12-mer sequences. We examined the stability of the designed structures and its effects on the biological activity of such short peptide sequences. This was achieved by making objective comparisons between 12-mer and 7-mer sequences in terms of their antibacterial activity. Further, we investigated the mechanistic origins of clearly different bactericidal potency of single (7-mer) and double (12-mer) turn syndiotactic helices using molecular dynamics simulations. Our results suggest that conformationally constrained stable short double turn peptide scaffolds are highly designable, whereas single turn structures are more likely to be disordered. The stability of the designed peptide structure provides a platform for inclusion of multiple sequence variables and defined electrostatic fingerprints. Therefore, a stable peptide scaffold along with pre-defined electrostatic signatures can together be utilized for the design of novel antimicrobial peptides.","author":[{"dropping-particle":"","family":"Hazam","given":"Prakash Kishore","non-dropping-particle":"","parse-names":false,"suffix":""},{"dropping-particle":"","family":"Akhil","given":"R.","non-dropping-particle":"","parse-names":false,"suffix":""},{"dropping-particle":"","family":"Jerath","given":"Gaurav","non-dropping-particle":"","parse-names":false,"suffix":""},{"dropping-particle":"","family":"Saikia","given":"Jahnu","non-dropping-particle":"","parse-names":false,"suffix":""},{"dropping-particle":"","family":"Ramakrishnan","given":"Vibin","non-dropping-particle":"","parse-names":false,"suffix":""}],"container-title":"Biophysical Chemistry","id":"ITEM-4","issued":{"date-parts":[["2019","5","1"]]},"page":"1-8","publisher":"Elsevier B.V.","title":"Topological effects on the designability and bactericidal potency of antimicrobial peptides","type":"article-journal","volume":"248"},"uris":["http://www.mendeley.com/documents/?uuid=9290c746-ddb7-36bf-8631-ff7fde20b2c1"]},{"id":"ITEM-5","itemData":{"DOI":"10.1016/j.jsb.2018.10.003","ISSN":"10958657","PMID":"30336202","abstract":"Structural characterization of BMAP-28(1–18), a potent bovine myeloid antimicrobial peptide can aid in understanding its mechanism of action at molecular level. We report NMR structure of the BMAP-28(1–18) and its mutated analogue mutBMAP18 in SDS micelles. Structural comparison of the peptides bound to SDS micelles and POPE-POPG vesicles using circular dichroism, suggest that structures in the two lipid preparations are similar. Antimicrobial assays show that even though both these peptides adopt helical conformation, BMAP-28(1–18) is more potent than mutBMAP18 in killing bacterial cells. Our EM images clearly indicate that the peptides target the bacterial cell membrane resulting in leakage of its contents. The structural basis for difference in activity between these peptides was investigated by molecular dynamics simulations. Inability of the mutBMAP18 to retain its helical structure in presence of POPE:POPG membrane as opposed to the BMAP-28(1–18) at identical peptide/lipid ratios could be responsible for its decreased activity. Residues Ser5, Arg8 and Arg12 of the BMAP-28(1–18) are crucial for its initial anchoring to the bilayer. We conclude that along with amphipathicity, a stable secondary structure that can promote/initiate membrane anchoring is key in determining membrane destabilization potential of these AMPs. Our findings are a step towards understanding the role of specific residues in antimicrobial activity of BMAP-28(1–18), which will facilitate design of smaller, cost-effective therapeutics and would also help prediction algorithms to expedite screening out variants of the parent peptide with greater accuracy.","author":[{"dropping-particle":"","family":"Agadi","given":"Nutan","non-dropping-particle":"","parse-names":false,"suffix":""},{"dropping-particle":"","family":"Vasudevan","given":"Sheeja","non-dropping-particle":"","parse-names":false,"suffix":""},{"dropping-particle":"","family":"Kumar","given":"Ashutosh","non-dropping-particle":"","parse-names":false,"suffix":""}],"container-title":"Journal of Structural Biology","id":"ITEM-5","issue":"3","issued":{"date-parts":[["2018","12","1"]]},"page":"435-448","publisher":"Academic Press Inc.","title":"Structural insight into the mechanism of action of antimicrobial peptide BMAP-28(1–18) and its analogue mutBMAP18","type":"article-journal","volume":"204"},"uris":["http://www.mendeley.com/documents/?uuid=15f17575-a33f-3cb2-bf67-415ea65747fd"]}],"mendeley":{"formattedCitation":"&lt;sup&gt;53,213–216&lt;/sup&gt;","plainTextFormattedCitation":"53,213–216","previouslyFormattedCitation":"&lt;sup&gt;53,213–216&lt;/sup&gt;"},"properties":{"noteIndex":0},"schema":"https://github.com/citation-style-language/schema/raw/master/csl-citation.json"}</w:instrText>
      </w:r>
      <w:r w:rsidR="005D09E3">
        <w:fldChar w:fldCharType="separate"/>
      </w:r>
      <w:r w:rsidR="00A313B9" w:rsidRPr="00A313B9">
        <w:rPr>
          <w:noProof/>
          <w:vertAlign w:val="superscript"/>
        </w:rPr>
        <w:t>53,213–216</w:t>
      </w:r>
      <w:r w:rsidR="005D09E3">
        <w:fldChar w:fldCharType="end"/>
      </w:r>
      <w:r>
        <w:t>. These simulations allow comparisons to be made about differences in interactions between the AMPs and different membrane compositions, and help determine the effect that the membrane environments have on the AMP structure. For example, it has been shown with conventional united atom MD that the presence of negatively charged lipids (characteristic of bacterial membranes) electrostatically stabilises the ɑ-helix of the positively charged AMP LL-37, and this is absent in the interactions with the zwitterionic mammalian membranes, thus providing a mechanism underlying the ability of the selective targeting of bacterial membranes by LL-37</w:t>
      </w:r>
      <w:r w:rsidR="005D09E3">
        <w:fldChar w:fldCharType="begin" w:fldLock="1"/>
      </w:r>
      <w:r w:rsidR="00576689">
        <w:instrText>ADDIN CSL_CITATION {"citationItems":[{"id":"ITEM-1","itemData":{"DOI":"10.3390/ijms19041186","ISSN":"14220067","PMID":"29652823","abstract":"Cathelicidins are a large family of cationic antimicrobial peptides (AMPs) found in mammals with broad spectrum antimicrobial activity. LL-37 is the sole amphipathic α-helical AMP from human Cathelicidins family. In addition to its bactericidal capability, LL-37 has antiviral, anti-tumor, and immunoregulatory activity. Despite many experimental studies, its molecular mechanism of action is not yet fully understood. Here, we performed three independent molecular dynamics simulations (600 ns or more) of a LL-37 peptide in the presence of 256 lipid bilayers with 1-palmitoyl-2-oleoyl-sn-glycero-3-phosphoglycerol (POPG) mimicking bacterial and 1-palmitoyl-2-oleoyl-sn-glycero-3-phosphocholine (POPC) mimicking mammalian membranes. We found that LL-37 can be quickly absorbed onto the POPG bilayer without loss of its helical conformation in the core region and with the helix lying in parallel to the bilayer. The POPG bilayer was deformed. In contrast, LL-37 is slower in reaching the POPC surface and loss much of its helical conformation during the interaction with the bilayer. LL-37 only partially entered the POPC bilayer without significant deformation of the membrane. The observed difference for different bilayers is largely due to the fact that LL-37 is positively charged, POPG is negatively charged, and POPC is neutral. Our simulation results demonstrated the initial stage of disruption of the bacterial membrane by LL-37 in atomic details. Comparison to experimental results on LL-37 and simulation studies in other systems was made.","author":[{"dropping-particle":"","family":"Zhao","given":"Liling","non-dropping-particle":"","parse-names":false,"suffix":""},{"dropping-particle":"","family":"Cao","given":"Zanxia","non-dropping-particle":"","parse-names":false,"suffix":""},{"dropping-particle":"","family":"Bian","given":"Yunqiang","non-dropping-particle":"","parse-names":false,"suffix":""},{"dropping-particle":"","family":"Hu","given":"Guodong","non-dropping-particle":"","parse-names":false,"suffix":""},{"dropping-particle":"","family":"Wang","given":"Jihua","non-dropping-particle":"","parse-names":false,"suffix":""},{"dropping-particle":"","family":"Zhou","given":"Yaoqi","non-dropping-particle":"","parse-names":false,"suffix":""}],"container-title":"International Journal of Molecular Sciences","id":"ITEM-1","issue":"4","issued":{"date-parts":[["2018","4","13"]]},"publisher":"MDPI AG","title":"Molecular dynamics simulations of human antimicrobial peptide LL-37 in model POPC and POPG lipid bilayers","type":"article-journal","volume":"19"},"uris":["http://www.mendeley.com/documents/?uuid=74f716af-c869-3a93-bf70-b5ebc186adcb"]}],"mendeley":{"formattedCitation":"&lt;sup&gt;213&lt;/sup&gt;","plainTextFormattedCitation":"213","previouslyFormattedCitation":"&lt;sup&gt;213&lt;/sup&gt;"},"properties":{"noteIndex":0},"schema":"https://github.com/citation-style-language/schema/raw/master/csl-citation.json"}</w:instrText>
      </w:r>
      <w:r w:rsidR="005D09E3">
        <w:fldChar w:fldCharType="separate"/>
      </w:r>
      <w:r w:rsidR="00A313B9" w:rsidRPr="00A313B9">
        <w:rPr>
          <w:noProof/>
          <w:vertAlign w:val="superscript"/>
        </w:rPr>
        <w:t>213</w:t>
      </w:r>
      <w:r w:rsidR="005D09E3">
        <w:fldChar w:fldCharType="end"/>
      </w:r>
      <w:r>
        <w:t>. Similarly, conventional atomistic MD has been used to monitor the stability of the NMR-determined structure of Maximin 3, an AMP with known anti-HIV activity, by simulating it in a sodium dodecyl sulfate (SDS) micelle model that mimics the target membrane</w:t>
      </w:r>
      <w:r w:rsidR="005D09E3">
        <w:fldChar w:fldCharType="begin" w:fldLock="1"/>
      </w:r>
      <w:r w:rsidR="00D217EC">
        <w:instrText>ADDIN CSL_CITATION {"citationItems":[{"id":"ITEM-1","itemData":{"DOI":"10.1007/s00249-019-01346-7","ISSN":"14321017","PMID":"30734844","abstract":"Maximin 3 is a 27-residue-long cationic antimicrobial peptide found in the skin secretion and brain of the Chinese red-belly toad Bombina maxima. The peptide is of biological interest as it possesses anti-HIV activity, not found in the other maximin peptides, in addition to antimicrobial, antitumor and spermicidal activities. The three-dimensional structure of maximin 3 was obtained in a 50/50% water/2,2,2-trifluoroethanol-d 3 mixture using two-dimensional NMR spectroscopy. Maximin 3 was found to adopt an α-helical structure from residue G1 to A22, and a coil structure with a helical propensity in the C-terminal tail. The peptide is amphipathic, showing a clear separation between polar and hydrophobic residues. Interactions with sodium dodecyl sulfate micelles, a widely used bacterial membrane-mimicking environment, were modeled using molecular dynamics simulations. The peptide maintained an α-helical conformation, occasionally displaying a flexibility around residues G9 and G16, which is likely responsible for the peptide’s low haemolytic activity. It is found to preferentially adopt a position parallel to the micellar surface, establishing a number of hydrophobic and electrostatic interactions with it.","author":[{"dropping-particle":"","family":"Benetti","given":"Silvia","non-dropping-particle":"","parse-names":false,"suffix":""},{"dropping-particle":"","family":"Timmons","given":"Patrick Brendan","non-dropping-particle":"","parse-names":false,"suffix":""},{"dropping-particle":"","family":"Hewage","given":"Chandralal M.","non-dropping-particle":"","parse-names":false,"suffix":""}],"container-title":"European Biophysics Journal","id":"ITEM-1","issue":"2","issued":{"date-parts":[["2019","3","4"]]},"page":"203-212","publisher":"Springer Verlag","title":"NMR model structure of the antimicrobial peptide maximin 3","type":"article-journal","volume":"48"},"uris":["http://www.mendeley.com/documents/?uuid=e484f10f-5a1e-3649-8e53-8b03c0ccd452"]}],"mendeley":{"formattedCitation":"&lt;sup&gt;53&lt;/sup&gt;","plainTextFormattedCitation":"53","previouslyFormattedCitation":"&lt;sup&gt;53&lt;/sup&gt;"},"properties":{"noteIndex":0},"schema":"https://github.com/citation-style-language/schema/raw/master/csl-citation.json"}</w:instrText>
      </w:r>
      <w:r w:rsidR="005D09E3">
        <w:fldChar w:fldCharType="separate"/>
      </w:r>
      <w:r w:rsidR="0019024E" w:rsidRPr="0019024E">
        <w:rPr>
          <w:noProof/>
          <w:vertAlign w:val="superscript"/>
        </w:rPr>
        <w:t>53</w:t>
      </w:r>
      <w:r w:rsidR="005D09E3">
        <w:fldChar w:fldCharType="end"/>
      </w:r>
      <w:r>
        <w:t>. This revealed that the peptide resides at the micelle interface where the mix of electrostatic and hydrophobic interactions induces a more ordered ɑ-helix than that seen in solution-state NMR</w:t>
      </w:r>
      <w:r w:rsidR="005D09E3">
        <w:fldChar w:fldCharType="begin" w:fldLock="1"/>
      </w:r>
      <w:r w:rsidR="00D217EC">
        <w:instrText>ADDIN CSL_CITATION {"citationItems":[{"id":"ITEM-1","itemData":{"DOI":"10.1007/s00249-019-01346-7","ISSN":"14321017","PMID":"30734844","abstract":"Maximin 3 is a 27-residue-long cationic antimicrobial peptide found in the skin secretion and brain of the Chinese red-belly toad Bombina maxima. The peptide is of biological interest as it possesses anti-HIV activity, not found in the other maximin peptides, in addition to antimicrobial, antitumor and spermicidal activities. The three-dimensional structure of maximin 3 was obtained in a 50/50% water/2,2,2-trifluoroethanol-d 3 mixture using two-dimensional NMR spectroscopy. Maximin 3 was found to adopt an α-helical structure from residue G1 to A22, and a coil structure with a helical propensity in the C-terminal tail. The peptide is amphipathic, showing a clear separation between polar and hydrophobic residues. Interactions with sodium dodecyl sulfate micelles, a widely used bacterial membrane-mimicking environment, were modeled using molecular dynamics simulations. The peptide maintained an α-helical conformation, occasionally displaying a flexibility around residues G9 and G16, which is likely responsible for the peptide’s low haemolytic activity. It is found to preferentially adopt a position parallel to the micellar surface, establishing a number of hydrophobic and electrostatic interactions with it.","author":[{"dropping-particle":"","family":"Benetti","given":"Silvia","non-dropping-particle":"","parse-names":false,"suffix":""},{"dropping-particle":"","family":"Timmons","given":"Patrick Brendan","non-dropping-particle":"","parse-names":false,"suffix":""},{"dropping-particle":"","family":"Hewage","given":"Chandralal M.","non-dropping-particle":"","parse-names":false,"suffix":""}],"container-title":"European Biophysics Journal","id":"ITEM-1","issue":"2","issued":{"date-parts":[["2019","3","4"]]},"page":"203-212","publisher":"Springer Verlag","title":"NMR model structure of the antimicrobial peptide maximin 3","type":"article-journal","volume":"48"},"uris":["http://www.mendeley.com/documents/?uuid=e484f10f-5a1e-3649-8e53-8b03c0ccd452"]}],"mendeley":{"formattedCitation":"&lt;sup&gt;53&lt;/sup&gt;","plainTextFormattedCitation":"53","previouslyFormattedCitation":"&lt;sup&gt;53&lt;/sup&gt;"},"properties":{"noteIndex":0},"schema":"https://github.com/citation-style-language/schema/raw/master/csl-citation.json"}</w:instrText>
      </w:r>
      <w:r w:rsidR="005D09E3">
        <w:fldChar w:fldCharType="separate"/>
      </w:r>
      <w:r w:rsidR="0019024E" w:rsidRPr="0019024E">
        <w:rPr>
          <w:noProof/>
          <w:vertAlign w:val="superscript"/>
        </w:rPr>
        <w:t>53</w:t>
      </w:r>
      <w:r w:rsidR="005D09E3">
        <w:fldChar w:fldCharType="end"/>
      </w:r>
      <w:r>
        <w:t>. In this case, the use of MD in combination with NMR provided additional information about the structure of the peptide in the membrane environment.</w:t>
      </w:r>
    </w:p>
    <w:p w14:paraId="172F358D" w14:textId="77777777" w:rsidR="001529CF" w:rsidRDefault="001529CF">
      <w:pPr>
        <w:pStyle w:val="LO-normal"/>
        <w:jc w:val="both"/>
      </w:pPr>
    </w:p>
    <w:p w14:paraId="09261780" w14:textId="3982E483" w:rsidR="001529CF" w:rsidRDefault="00492337">
      <w:pPr>
        <w:pStyle w:val="LO-normal"/>
        <w:jc w:val="both"/>
      </w:pPr>
      <w:r>
        <w:t xml:space="preserve">Efforts have also been made to use MD as an </w:t>
      </w:r>
      <w:r>
        <w:rPr>
          <w:i/>
        </w:rPr>
        <w:t>ab initio</w:t>
      </w:r>
      <w:r>
        <w:t xml:space="preserve"> peptide folding approach in order to predict AMP structures, which is useful when experimental data is unavailable</w:t>
      </w:r>
      <w:r w:rsidR="005D09E3">
        <w:fldChar w:fldCharType="begin" w:fldLock="1"/>
      </w:r>
      <w:r w:rsidR="00576689">
        <w:instrText>ADDIN CSL_CITATION {"citationItems":[{"id":"ITEM-1","itemData":{"DOI":"10.1021/acs.jpcb.8b06781","ISSN":"15205207","PMID":"30114909","abstract":"Peptides are promising drug candidates with advantageous therapeutic properties. However, their inherent flexibility makes the development of structure-activity relationships difficult. Molecular dynamics simulations have been widely used to study peptide conformations, but they are limited by force field parameters. We explore the ability of nine combinations of commonly used protein, lipid, and water force field models (ff99/tip3p, ff14SB/tip3p, c22/tip3p, c22/tips3p, c36/tip3p, c36/tips3p, c36m/tip3p, c36m/tips3p, and g53a6/spc) in capturing the conformational dynamics of the antimicrobial peptide melittin between the aqueous and model membrane environments. Circular dichroism experiments of melittin displayed a structural transition from a random coil in an aqueous solution to a helix in the presence of a model membrane. Of the protein/lipid/water models that we examined, c22 with the tips3p water model correctly recapitulated the experimentally observed disordered conformations in an aqueous solution and helical conformations in the presence of the model membrane, followed by c36/tips3p. Hydration analysis revealed that the tips3p water model leads to stronger peptide-water interactions, which, in turn, better describe the solvation and its effects on conformational distributions in aqueous and membrane environments. The results of this study reveal the secondary structure preferences of various force fields and emphasize the role of hydration and microenvironment in modulating peptide conformations.","author":[{"dropping-particle":"","family":"Fox","given":"Stephen J.","non-dropping-particle":"","parse-names":false,"suffix":""},{"dropping-particle":"","family":"Lakshminarayanan","given":"Rajamani","non-dropping-particle":"","parse-names":false,"suffix":""},{"dropping-particle":"","family":"Beuerman","given":"Roger W.","non-dropping-particle":"","parse-names":false,"suffix":""},{"dropping-particle":"","family":"Li","given":"Jianguo","non-dropping-particle":"","parse-names":false,"suffix":""},{"dropping-particle":"","family":"Verma","given":"Chandra S.","non-dropping-particle":"","parse-names":false,"suffix":""}],"container-title":"Journal of Physical Chemistry B","id":"ITEM-1","issue":"37","issued":{"date-parts":[["2018","9","20"]]},"page":"8698-8705","publisher":"American Chemical Society","title":"Conformational Transitions of Melittin between Aqueous and Lipid Phases: Comparison of Simulations with Experiments","type":"article-journal","volume":"122"},"uris":["http://www.mendeley.com/documents/?uuid=60024d8e-2a24-37df-982a-d08f0aeaaf54"]},{"id":"ITEM-2","itemData":{"DOI":"10.1016/j.bbamem.2014.04.012","ISSN":"18792642","PMID":"24769159","abstract":"Unbiased molecular simulation is a powerful tool to study the atomic details driving functional structural changes or folding pathways of highly fluid systems, which present great challenges experimentally. Here we apply unbiased long-timescale molecular dynamics simulation to study the ab initio folding and partitioning of melittin, a template amphiphilic membrane active peptide. The simulations reveal that the peptide binds strongly to the lipid bilayer in an unstructured configuration. Interfacial folding results in a localized bilayer deformation. Akin to purely hydrophobic transmembrane segments the surface bound native helical conformer is highly resistant against thermal denaturation. Circular dichroism spectroscopy experiments confirm the strong binding and thermostability of the peptide. The study highlights the utility of molecular dynamics simulations for studying transient mechanisms in fluid lipid bilayer systems. This article is part of a Special Issue entitled: Interfacially Active Peptides and Proteins. Guest Editors: William C. Wimley and Kalina Hristova. © 2014 Published by Elsevier B.V.","author":[{"dropping-particle":"","family":"Chen","given":"Charles H.","non-dropping-particle":"","parse-names":false,"suffix":""},{"dropping-particle":"","family":"Wiedman","given":"Gregory","non-dropping-particle":"","parse-names":false,"suffix":""},{"dropping-particle":"","family":"Khan","given":"Ayesha","non-dropping-particle":"","parse-names":false,"suffix":""},{"dropping-particle":"","family":"Ulmschneider","given":"Martin B.","non-dropping-particle":"","parse-names":false,"suffix":""}],"container-title":"Biochimica et Biophysica Acta - Biomembranes","id":"ITEM-2","issue":"9","issued":{"date-parts":[["2014"]]},"page":"2243-2249","publisher":"Elsevier","title":"Absorption and folding of melittin onto lipid bilayer membranes via unbiased atomic detail microsecond molecular dynamics simulation","type":"article-journal","volume":"1838"},"uris":["http://www.mendeley.com/documents/?uuid=d63d9fed-df14-31a0-938f-e507e7da2459"]}],"mendeley":{"formattedCitation":"&lt;sup&gt;218,219&lt;/sup&gt;","plainTextFormattedCitation":"218,219","previouslyFormattedCitation":"&lt;sup&gt;218,219&lt;/sup&gt;"},"properties":{"noteIndex":0},"schema":"https://github.com/citation-style-language/schema/raw/master/csl-citation.json"}</w:instrText>
      </w:r>
      <w:r w:rsidR="005D09E3">
        <w:fldChar w:fldCharType="separate"/>
      </w:r>
      <w:r w:rsidR="00A313B9" w:rsidRPr="00A313B9">
        <w:rPr>
          <w:noProof/>
          <w:vertAlign w:val="superscript"/>
        </w:rPr>
        <w:t>218,219</w:t>
      </w:r>
      <w:r w:rsidR="005D09E3">
        <w:fldChar w:fldCharType="end"/>
      </w:r>
      <w:r>
        <w:t>. To achieve peptide folding from an extended structure, it is important to implement approaches that enhance conformational sampling because the energy landscape associated with peptide folding is complex and conventional MD is unlikely to reach the timescales necessary to sufficiently sample the process</w:t>
      </w:r>
      <w:r w:rsidR="005D09E3">
        <w:fldChar w:fldCharType="begin" w:fldLock="1"/>
      </w:r>
      <w:r w:rsidR="00522194">
        <w:instrText>ADDIN CSL_CITATION {"citationItems":[{"id":"ITEM-1","itemData":{"DOI":"10.1016/j.bbagen.2014.10.019","ISSN":"18728006","PMID":"25450171","abstract":"Background: Molecular dynamics has emerged as an important research methodology covering systems to the level of millions of atoms. However, insufficient sampling often limits its application. The limitation is due to rough energy landscapes, with many local minima separated by high-energy barriers, which govern the biomolecular motion. Scope of review: In the past few decades methods have been developed that address the sampling problem, such as replica-exchange molecular dynamics, metadynamics and simulated annealing. Here we present an overview over theses sampling methods in an attempt to shed light on which should be selected depending on the type of system property studied. Major conclusions: Enhanced sampling methods have been employed for a broad range of biological systems and the choice of a suitable method is connected to biological and physical characteristics of the system, in particular system size. While metadynamics and replica-exchange molecular dynamics are the most adopted sampling methods to study biomolecular dynamics, simulated annealing is well suited to characterize very flexible systems. The use of annealing methods for a long time was restricted to simulation of small proteins; however, a variant of the method, generalized simulated annealing, can be employed at a relatively low computational cost to large macromolecular complexes. General significance: Molecular dynamics trajectories frequently do not reach all relevant conformational substates, for example those connected with biological function, a problem that can be addressed by employing enhanced sampling algorithms. This article is part of a Special Issue entitled Recent developments of molecular dynamics.","author":[{"dropping-particle":"","family":"Bernardi","given":"Rafael C.","non-dropping-particle":"","parse-names":false,"suffix":""},{"dropping-particle":"","family":"Melo","given":"Marcelo C.R.","non-dropping-particle":"","parse-names":false,"suffix":""},{"dropping-particle":"","family":"Schulten","given":"Klaus","non-dropping-particle":"","parse-names":false,"suffix":""}],"container-title":"Biochimica et Biophysica Acta - General Subjects","id":"ITEM-1","issue":"5","issued":{"date-parts":[["2015","5","1"]]},"page":"872-877","publisher":"Elsevier","title":"Enhanced sampling techniques in molecular dynamics simulations of biological systems","type":"article-journal","volume":"1850"},"uris":["http://www.mendeley.com/documents/?uuid=d4f1f554-5129-3a9a-a36a-ef53fc41e177"]}],"mendeley":{"formattedCitation":"&lt;sup&gt;230&lt;/sup&gt;","plainTextFormattedCitation":"230","previouslyFormattedCitation":"&lt;sup&gt;230&lt;/sup&gt;"},"properties":{"noteIndex":0},"schema":"https://github.com/citation-style-language/schema/raw/master/csl-citation.json"}</w:instrText>
      </w:r>
      <w:r w:rsidR="005D09E3">
        <w:fldChar w:fldCharType="separate"/>
      </w:r>
      <w:r w:rsidR="00A313B9" w:rsidRPr="00A313B9">
        <w:rPr>
          <w:noProof/>
          <w:vertAlign w:val="superscript"/>
        </w:rPr>
        <w:t>230</w:t>
      </w:r>
      <w:r w:rsidR="005D09E3">
        <w:fldChar w:fldCharType="end"/>
      </w:r>
      <w:r>
        <w:t>. HREMD is an enhanced sampling approach frequently used to sample peptide conformations and has proved useful in sampling melittin, an AMP derived from honey-bee venom, on the surface of a phospholipid bilayer, allowing observations to be made about how the structural propensity of the peptide changes as it interacts with the membrane</w:t>
      </w:r>
      <w:r w:rsidR="005D09E3">
        <w:fldChar w:fldCharType="begin" w:fldLock="1"/>
      </w:r>
      <w:r w:rsidR="00576689">
        <w:instrText>ADDIN CSL_CITATION {"citationItems":[{"id":"ITEM-1","itemData":{"DOI":"10.1021/acs.jpcb.8b06781","ISSN":"15205207","PMID":"30114909","abstract":"Peptides are promising drug candidates with advantageous therapeutic properties. However, their inherent flexibility makes the development of structure-activity relationships difficult. Molecular dynamics simulations have been widely used to study peptide conformations, but they are limited by force field parameters. We explore the ability of nine combinations of commonly used protein, lipid, and water force field models (ff99/tip3p, ff14SB/tip3p, c22/tip3p, c22/tips3p, c36/tip3p, c36/tips3p, c36m/tip3p, c36m/tips3p, and g53a6/spc) in capturing the conformational dynamics of the antimicrobial peptide melittin between the aqueous and model membrane environments. Circular dichroism experiments of melittin displayed a structural transition from a random coil in an aqueous solution to a helix in the presence of a model membrane. Of the protein/lipid/water models that we examined, c22 with the tips3p water model correctly recapitulated the experimentally observed disordered conformations in an aqueous solution and helical conformations in the presence of the model membrane, followed by c36/tips3p. Hydration analysis revealed that the tips3p water model leads to stronger peptide-water interactions, which, in turn, better describe the solvation and its effects on conformational distributions in aqueous and membrane environments. The results of this study reveal the secondary structure preferences of various force fields and emphasize the role of hydration and microenvironment in modulating peptide conformations.","author":[{"dropping-particle":"","family":"Fox","given":"Stephen J.","non-dropping-particle":"","parse-names":false,"suffix":""},{"dropping-particle":"","family":"Lakshminarayanan","given":"Rajamani","non-dropping-particle":"","parse-names":false,"suffix":""},{"dropping-particle":"","family":"Beuerman","given":"Roger W.","non-dropping-particle":"","parse-names":false,"suffix":""},{"dropping-particle":"","family":"Li","given":"Jianguo","non-dropping-particle":"","parse-names":false,"suffix":""},{"dropping-particle":"","family":"Verma","given":"Chandra S.","non-dropping-particle":"","parse-names":false,"suffix":""}],"container-title":"Journal of Physical Chemistry B","id":"ITEM-1","issue":"37","issued":{"date-parts":[["2018","9","20"]]},"page":"8698-8705","publisher":"American Chemical Society","title":"Conformational Transitions of Melittin between Aqueous and Lipid Phases: Comparison of Simulations with Experiments","type":"article-journal","volume":"122"},"uris":["http://www.mendeley.com/documents/?uuid=60024d8e-2a24-37df-982a-d08f0aeaaf54"]}],"mendeley":{"formattedCitation":"&lt;sup&gt;218&lt;/sup&gt;","plainTextFormattedCitation":"218","previouslyFormattedCitation":"&lt;sup&gt;218&lt;/sup&gt;"},"properties":{"noteIndex":0},"schema":"https://github.com/citation-style-language/schema/raw/master/csl-citation.json"}</w:instrText>
      </w:r>
      <w:r w:rsidR="005D09E3">
        <w:fldChar w:fldCharType="separate"/>
      </w:r>
      <w:r w:rsidR="00A313B9" w:rsidRPr="00A313B9">
        <w:rPr>
          <w:noProof/>
          <w:vertAlign w:val="superscript"/>
        </w:rPr>
        <w:t>218</w:t>
      </w:r>
      <w:r w:rsidR="005D09E3">
        <w:fldChar w:fldCharType="end"/>
      </w:r>
      <w:r>
        <w:t>. For some helical membrane-active peptides, it has also been shown that elevated simulation temperatures can speed up the kinetics of membrane-insertion and peptide-folding without affecting the thermodynamic minima visited by the peptide within the membrane</w:t>
      </w:r>
      <w:r w:rsidR="005D09E3">
        <w:fldChar w:fldCharType="begin" w:fldLock="1"/>
      </w:r>
      <w:r w:rsidR="00576689">
        <w:instrText>ADDIN CSL_CITATION {"citationItems":[{"id":"ITEM-1","itemData":{"DOI":"10.1021/acs.accounts.7b00613","ISSN":"15204898","PMID":"29667836","abstract":"ConspectusEver since the first molecular mechanics computer simulations of biological molecules became possible, there has been the dream to study all complex biological phenomena in silico, simply bypassing the enormous experimental challenges and their associated costs. For this, two inherent requirements need to be met: First, the time scales achievable in simulations must reach up to the millisecond range and even longer. Second, the computational model must accurately reproduce what is measured experimentally. Despite some recent successes, the general consensus in the field to date has been that neither of these conditions have yet been met and that the dream will be realized, if at all, only in the distant future.In this Account, we show that this view is wrong; instead, we are actually in the middle of the in silico molecular dynamics (MD) revolution, which is reshaping how we think about protein function. The example explored in this Account is a recent advance in the field of membrane-active peptides (MAPs). MD simulations have succeeded in accurately capturing the process of peptide binding, folding, and partitioning into lipid bilayers as well as revealing how channels form spontaneously from polypeptide fragments and conduct ionic and other cargo across membranes, all at atomic resolution. These game-changing advances have been made possible by a combination of steadily advancing computational power, more efficient algorithms and techniques, clever accelerated sampling schemes, and thorough experimental verifications. The great advantage of MD is the spatial and temporal resolution, directly providing a molecular movie of a protein undergoing folding and cycling through a functional process. This is especially important for proteins with transitory functional states, such as pore-forming MAPs.Recent successes are demonstrated here for the large class of antimicrobial peptides (AMPs). These short peptides are an essential part of the nonadaptive immune system for many organisms, ubiquitous in nature, and of particular interest to the pharmaceutical industry in the age of rising bacterial resistance to conventional antibiotic treatments. Unlike integral membrane proteins, AMPs are sufficiently small to allow converged sampling with the unbiased high-temperature sampling methodology outlined here and are relatively easy to handle experimentally. At the same time, AMPs exhibit a wealth of complex and poorly understood interactions with lipid bi…","author":[{"dropping-particle":"","family":"Ulmschneider","given":"Jakob P.","non-dropping-particle":"","parse-names":false,"suffix":""},{"dropping-particle":"","family":"Ulmschneider","given":"Martin B.","non-dropping-particle":"","parse-names":false,"suffix":""}],"container-title":"Accounts of Chemical Research","id":"ITEM-1","issue":"5","issued":{"date-parts":[["2018","5","15"]]},"page":"1106-1116","publisher":"American Chemical Society","title":"Molecular Dynamics Simulations Are Redefining Our View of Peptides Interacting with Biological Membranes","type":"article-journal","volume":"51"},"uris":["http://www.mendeley.com/documents/?uuid=5a518950-2398-36f5-8912-157c24089590"]}],"mendeley":{"formattedCitation":"&lt;sup&gt;224&lt;/sup&gt;","plainTextFormattedCitation":"224","previouslyFormattedCitation":"&lt;sup&gt;224&lt;/sup&gt;"},"properties":{"noteIndex":0},"schema":"https://github.com/citation-style-language/schema/raw/master/csl-citation.json"}</w:instrText>
      </w:r>
      <w:r w:rsidR="005D09E3">
        <w:fldChar w:fldCharType="separate"/>
      </w:r>
      <w:r w:rsidR="00A313B9" w:rsidRPr="00A313B9">
        <w:rPr>
          <w:noProof/>
          <w:vertAlign w:val="superscript"/>
        </w:rPr>
        <w:t>224</w:t>
      </w:r>
      <w:r w:rsidR="005D09E3">
        <w:fldChar w:fldCharType="end"/>
      </w:r>
      <w:r>
        <w:t xml:space="preserve">, in a technique named high-temperature MD (HT-MD). This is possible because, as shown by Ulmschneider </w:t>
      </w:r>
      <w:r>
        <w:rPr>
          <w:i/>
        </w:rPr>
        <w:t>et al.,</w:t>
      </w:r>
      <w:r>
        <w:t xml:space="preserve"> membranes can increase the thermostability of helices and prevent unfolding</w:t>
      </w:r>
      <w:r w:rsidR="005D09E3">
        <w:fldChar w:fldCharType="begin" w:fldLock="1"/>
      </w:r>
      <w:r w:rsidR="00576689">
        <w:instrText>ADDIN CSL_CITATION {"citationItems":[{"id":"ITEM-1","itemData":{"DOI":"10.1021/acs.accounts.7b00613","ISSN":"15204898","PMID":"29667836","abstract":"ConspectusEver since the first molecular mechanics computer simulations of biological molecules became possible, there has been the dream to study all complex biological phenomena in silico, simply bypassing the enormous experimental challenges and their associated costs. For this, two inherent requirements need to be met: First, the time scales achievable in simulations must reach up to the millisecond range and even longer. Second, the computational model must accurately reproduce what is measured experimentally. Despite some recent successes, the general consensus in the field to date has been that neither of these conditions have yet been met and that the dream will be realized, if at all, only in the distant future.In this Account, we show that this view is wrong; instead, we are actually in the middle of the in silico molecular dynamics (MD) revolution, which is reshaping how we think about protein function. The example explored in this Account is a recent advance in the field of membrane-active peptides (MAPs). MD simulations have succeeded in accurately capturing the process of peptide binding, folding, and partitioning into lipid bilayers as well as revealing how channels form spontaneously from polypeptide fragments and conduct ionic and other cargo across membranes, all at atomic resolution. These game-changing advances have been made possible by a combination of steadily advancing computational power, more efficient algorithms and techniques, clever accelerated sampling schemes, and thorough experimental verifications. The great advantage of MD is the spatial and temporal resolution, directly providing a molecular movie of a protein undergoing folding and cycling through a functional process. This is especially important for proteins with transitory functional states, such as pore-forming MAPs.Recent successes are demonstrated here for the large class of antimicrobial peptides (AMPs). These short peptides are an essential part of the nonadaptive immune system for many organisms, ubiquitous in nature, and of particular interest to the pharmaceutical industry in the age of rising bacterial resistance to conventional antibiotic treatments. Unlike integral membrane proteins, AMPs are sufficiently small to allow converged sampling with the unbiased high-temperature sampling methodology outlined here and are relatively easy to handle experimentally. At the same time, AMPs exhibit a wealth of complex and poorly understood interactions with lipid bi…","author":[{"dropping-particle":"","family":"Ulmschneider","given":"Jakob P.","non-dropping-particle":"","parse-names":false,"suffix":""},{"dropping-particle":"","family":"Ulmschneider","given":"Martin B.","non-dropping-particle":"","parse-names":false,"suffix":""}],"container-title":"Accounts of Chemical Research","id":"ITEM-1","issue":"5","issued":{"date-parts":[["2018","5","15"]]},"page":"1106-1116","publisher":"American Chemical Society","title":"Molecular Dynamics Simulations Are Redefining Our View of Peptides Interacting with Biological Membranes","type":"article-journal","volume":"51"},"uris":["http://www.mendeley.com/documents/?uuid=5a518950-2398-36f5-8912-157c24089590"]}],"mendeley":{"formattedCitation":"&lt;sup&gt;224&lt;/sup&gt;","plainTextFormattedCitation":"224","previouslyFormattedCitation":"&lt;sup&gt;224&lt;/sup&gt;"},"properties":{"noteIndex":0},"schema":"https://github.com/citation-style-language/schema/raw/master/csl-citation.json"}</w:instrText>
      </w:r>
      <w:r w:rsidR="005D09E3">
        <w:fldChar w:fldCharType="separate"/>
      </w:r>
      <w:r w:rsidR="00A313B9" w:rsidRPr="00A313B9">
        <w:rPr>
          <w:noProof/>
          <w:vertAlign w:val="superscript"/>
        </w:rPr>
        <w:t>224</w:t>
      </w:r>
      <w:r w:rsidR="005D09E3">
        <w:fldChar w:fldCharType="end"/>
      </w:r>
      <w:r>
        <w:t xml:space="preserve">. Chen </w:t>
      </w:r>
      <w:r>
        <w:rPr>
          <w:i/>
        </w:rPr>
        <w:t xml:space="preserve">et al. </w:t>
      </w:r>
      <w:r>
        <w:t>used simulation temperatures of up to 120ºC to study melittin interacting with a POPC bilayer, allowing the peptide to insert into the membrane and fold into its experimentally-known helical structure within 2 µs</w:t>
      </w:r>
      <w:r w:rsidR="005D09E3">
        <w:fldChar w:fldCharType="begin" w:fldLock="1"/>
      </w:r>
      <w:r w:rsidR="00576689">
        <w:instrText>ADDIN CSL_CITATION {"citationItems":[{"id":"ITEM-1","itemData":{"DOI":"10.1016/j.bbamem.2014.04.012","ISSN":"18792642","PMID":"24769159","abstract":"Unbiased molecular simulation is a powerful tool to study the atomic details driving functional structural changes or folding pathways of highly fluid systems, which present great challenges experimentally. Here we apply unbiased long-timescale molecular dynamics simulation to study the ab initio folding and partitioning of melittin, a template amphiphilic membrane active peptide. The simulations reveal that the peptide binds strongly to the lipid bilayer in an unstructured configuration. Interfacial folding results in a localized bilayer deformation. Akin to purely hydrophobic transmembrane segments the surface bound native helical conformer is highly resistant against thermal denaturation. Circular dichroism spectroscopy experiments confirm the strong binding and thermostability of the peptide. The study highlights the utility of molecular dynamics simulations for studying transient mechanisms in fluid lipid bilayer systems. This article is part of a Special Issue entitled: Interfacially Active Peptides and Proteins. Guest Editors: William C. Wimley and Kalina Hristova. © 2014 Published by Elsevier B.V.","author":[{"dropping-particle":"","family":"Chen","given":"Charles H.","non-dropping-particle":"","parse-names":false,"suffix":""},{"dropping-particle":"","family":"Wiedman","given":"Gregory","non-dropping-particle":"","parse-names":false,"suffix":""},{"dropping-particle":"","family":"Khan","given":"Ayesha","non-dropping-particle":"","parse-names":false,"suffix":""},{"dropping-particle":"","family":"Ulmschneider","given":"Martin B.","non-dropping-particle":"","parse-names":false,"suffix":""}],"container-title":"Biochimica et Biophysica Acta - Biomembranes","id":"ITEM-1","issue":"9","issued":{"date-parts":[["2014"]]},"page":"2243-2249","publisher":"Elsevier","title":"Absorption and folding of melittin onto lipid bilayer membranes via unbiased atomic detail microsecond molecular dynamics simulation","type":"article-journal","volume":"1838"},"uris":["http://www.mendeley.com/documents/?uuid=d63d9fed-df14-31a0-938f-e507e7da2459"]}],"mendeley":{"formattedCitation":"&lt;sup&gt;219&lt;/sup&gt;","plainTextFormattedCitation":"219","previouslyFormattedCitation":"&lt;sup&gt;219&lt;/sup&gt;"},"properties":{"noteIndex":0},"schema":"https://github.com/citation-style-language/schema/raw/master/csl-citation.json"}</w:instrText>
      </w:r>
      <w:r w:rsidR="005D09E3">
        <w:fldChar w:fldCharType="separate"/>
      </w:r>
      <w:r w:rsidR="00A313B9" w:rsidRPr="00A313B9">
        <w:rPr>
          <w:noProof/>
          <w:vertAlign w:val="superscript"/>
        </w:rPr>
        <w:t>219</w:t>
      </w:r>
      <w:r w:rsidR="005D09E3">
        <w:fldChar w:fldCharType="end"/>
      </w:r>
      <w:r>
        <w:t xml:space="preserve">. </w:t>
      </w:r>
    </w:p>
    <w:p w14:paraId="15604299" w14:textId="77777777" w:rsidR="001529CF" w:rsidRDefault="001529CF">
      <w:pPr>
        <w:pStyle w:val="LO-normal"/>
        <w:jc w:val="both"/>
      </w:pPr>
    </w:p>
    <w:p w14:paraId="28E7AACB" w14:textId="2BA9FFC5" w:rsidR="001529CF" w:rsidRDefault="00492337">
      <w:pPr>
        <w:pStyle w:val="LO-normal"/>
        <w:jc w:val="both"/>
      </w:pPr>
      <w:r>
        <w:t>A key issue to consider when performing peptide simulations is the choice of force field. Different force fields model the underlying atomic interactions in different ways and are parameterised based on different datasets, meaning that it is possible that two force fields will not produce the same conformational landscape for the same peptide</w:t>
      </w:r>
      <w:r w:rsidR="005D09E3">
        <w:fldChar w:fldCharType="begin" w:fldLock="1"/>
      </w:r>
      <w:r w:rsidR="00576689">
        <w:instrText>ADDIN CSL_CITATION {"citationItems":[{"id":"ITEM-1","itemData":{"DOI":"10.1021/acs.jpcb.8b06781","ISSN":"15205207","PMID":"30114909","abstract":"Peptides are promising drug candidates with advantageous therapeutic properties. However, their inherent flexibility makes the development of structure-activity relationships difficult. Molecular dynamics simulations have been widely used to study peptide conformations, but they are limited by force field parameters. We explore the ability of nine combinations of commonly used protein, lipid, and water force field models (ff99/tip3p, ff14SB/tip3p, c22/tip3p, c22/tips3p, c36/tip3p, c36/tips3p, c36m/tip3p, c36m/tips3p, and g53a6/spc) in capturing the conformational dynamics of the antimicrobial peptide melittin between the aqueous and model membrane environments. Circular dichroism experiments of melittin displayed a structural transition from a random coil in an aqueous solution to a helix in the presence of a model membrane. Of the protein/lipid/water models that we examined, c22 with the tips3p water model correctly recapitulated the experimentally observed disordered conformations in an aqueous solution and helical conformations in the presence of the model membrane, followed by c36/tips3p. Hydration analysis revealed that the tips3p water model leads to stronger peptide-water interactions, which, in turn, better describe the solvation and its effects on conformational distributions in aqueous and membrane environments. The results of this study reveal the secondary structure preferences of various force fields and emphasize the role of hydration and microenvironment in modulating peptide conformations.","author":[{"dropping-particle":"","family":"Fox","given":"Stephen J.","non-dropping-particle":"","parse-names":false,"suffix":""},{"dropping-particle":"","family":"Lakshminarayanan","given":"Rajamani","non-dropping-particle":"","parse-names":false,"suffix":""},{"dropping-particle":"","family":"Beuerman","given":"Roger W.","non-dropping-particle":"","parse-names":false,"suffix":""},{"dropping-particle":"","family":"Li","given":"Jianguo","non-dropping-particle":"","parse-names":false,"suffix":""},{"dropping-particle":"","family":"Verma","given":"Chandra S.","non-dropping-particle":"","parse-names":false,"suffix":""}],"container-title":"Journal of Physical Chemistry B","id":"ITEM-1","issue":"37","issued":{"date-parts":[["2018","9","20"]]},"page":"8698-8705","publisher":"American Chemical Society","title":"Conformational Transitions of Melittin between Aqueous and Lipid Phases: Comparison of Simulations with Experiments","type":"article-journal","volume":"122"},"uris":["http://www.mendeley.com/documents/?uuid=60024d8e-2a24-37df-982a-d08f0aeaaf54"]}],"mendeley":{"formattedCitation":"&lt;sup&gt;218&lt;/sup&gt;","plainTextFormattedCitation":"218","previouslyFormattedCitation":"&lt;sup&gt;218&lt;/sup&gt;"},"properties":{"noteIndex":0},"schema":"https://github.com/citation-style-language/schema/raw/master/csl-citation.json"}</w:instrText>
      </w:r>
      <w:r w:rsidR="005D09E3">
        <w:fldChar w:fldCharType="separate"/>
      </w:r>
      <w:r w:rsidR="00A313B9" w:rsidRPr="00A313B9">
        <w:rPr>
          <w:noProof/>
          <w:vertAlign w:val="superscript"/>
        </w:rPr>
        <w:t>218</w:t>
      </w:r>
      <w:r w:rsidR="005D09E3">
        <w:fldChar w:fldCharType="end"/>
      </w:r>
      <w:r>
        <w:t xml:space="preserve">. For this reason, it is advisable to test the ability of various force fields in describing the AMP of interest by comparing simulations with experimental data, such as NMR and CD data, as well as to other force fields. Furthermore, it is crucial to note the importance of performing multiple simulation repeats when studying AMP structure, especially when using conventional atomistic MD that is known to struggle to overcome high peptide-folding energy barriers. This also highlights the necessity of starting conventional atomistic AMP simulations from experimental or predicted structures.  </w:t>
      </w:r>
    </w:p>
    <w:p w14:paraId="5A9004F6" w14:textId="77777777" w:rsidR="001529CF" w:rsidRDefault="001529CF">
      <w:pPr>
        <w:pStyle w:val="LO-normal"/>
        <w:jc w:val="both"/>
      </w:pPr>
    </w:p>
    <w:p w14:paraId="621B3BB0" w14:textId="015E9C9E" w:rsidR="001529CF" w:rsidRDefault="00492337">
      <w:pPr>
        <w:pStyle w:val="LO-normal"/>
        <w:jc w:val="both"/>
      </w:pPr>
      <w:r>
        <w:lastRenderedPageBreak/>
        <w:t>Finally, it is useful to note some important trajectory analysis methods used in the study of peptide conformations. In order to obtain meaningful information about the structures present throughout a simulation, it is necessary to define reaction coordinates that describe the property of interest. For example, peptide conformation can be characterised based on the φ and ψ backbone dihedral space</w:t>
      </w:r>
      <w:r w:rsidR="005D09E3">
        <w:fldChar w:fldCharType="begin" w:fldLock="1"/>
      </w:r>
      <w:r w:rsidR="00C44087">
        <w:instrText>ADDIN CSL_CITATION {"citationItems":[{"id":"ITEM-1","itemData":{"DOI":"10.1016/S0022-2836(63)80023-6","ISSN":"00222836","PMID":"13990617","author":[{"dropping-particle":"","family":"Ramachandran","given":"G. N.","non-dropping-particle":"","parse-names":false,"suffix":""},{"dropping-particle":"","family":"Ramakrishnan","given":"C.","non-dropping-particle":"","parse-names":false,"suffix":""},{"dropping-particle":"","family":"Sasisekharan","given":"V.","non-dropping-particle":"","parse-names":false,"suffix":""}],"container-title":"Journal of Molecular Biology","id":"ITEM-1","issue":"1","issued":{"date-parts":[["1963"]]},"page":"95-9","publisher":"J Mol Biol","title":"Stereochemistry of polypeptide chain configurations","type":"article-journal","volume":"7"},"uris":["http://www.mendeley.com/documents/?uuid=f6f93b1a-9fc4-3528-aac0-a92b8258278e"]}],"mendeley":{"formattedCitation":"&lt;sup&gt;251&lt;/sup&gt;","plainTextFormattedCitation":"251","previouslyFormattedCitation":"&lt;sup&gt;251&lt;/sup&gt;"},"properties":{"noteIndex":0},"schema":"https://github.com/citation-style-language/schema/raw/master/csl-citation.json"}</w:instrText>
      </w:r>
      <w:r w:rsidR="005D09E3">
        <w:fldChar w:fldCharType="separate"/>
      </w:r>
      <w:r w:rsidR="00A313B9" w:rsidRPr="00A313B9">
        <w:rPr>
          <w:noProof/>
          <w:vertAlign w:val="superscript"/>
        </w:rPr>
        <w:t>251</w:t>
      </w:r>
      <w:r w:rsidR="005D09E3">
        <w:fldChar w:fldCharType="end"/>
      </w:r>
      <w:r>
        <w:t>. Other coordinates used to define peptide conformations include radius of gyration</w:t>
      </w:r>
      <w:r w:rsidR="005D09E3">
        <w:fldChar w:fldCharType="begin" w:fldLock="1"/>
      </w:r>
      <w:r w:rsidR="00576689">
        <w:instrText>ADDIN CSL_CITATION {"citationItems":[{"id":"ITEM-1","itemData":{"DOI":"10.1021/jp2065612","ISSN":"10895639","PMID":"21961799","abstract":"Effective simulations of proteins, their complexes, and other amino-acid polymers such as peptides or peptoids are critically dependent on the performance of the simulation methods and their ability to map the conformational space of the molecule in question. The most important step in this process is the choice of the coordinates in which the conformational sampling will be executed and their uniqueness regarding the capability to unambiguously determine the energy minimum on the free-energy hypersurface. In the presented study, we show that metadynamics and chosen collective coordinates-the principal moments of the tensors of gyration and inertia, the principal radii of gyration around the principal axes, asphericity, acylindricity, and anisotropy-can be used as a powerful combination to map the conformational space of peptides and proteins. We show that the combination of these coordinates with metadynamics produces a powerful tool for the study of biologically relevant molecules. © 2011 American Chemical Society.","author":[{"dropping-particle":"","family":"Vymětal","given":"Jiří","non-dropping-particle":"","parse-names":false,"suffix":""},{"dropping-particle":"","family":"Vondrášek","given":"Jiří","non-dropping-particle":"","parse-names":false,"suffix":""}],"container-title":"Journal of Physical Chemistry A","id":"ITEM-1","issue":"41","issued":{"date-parts":[["2011","10","20"]]},"page":"11455-11465","publisher":"J Phys Chem A","title":"Gyration- and inertia-tensor-based collective coordinates for metadynamics. Application on the conformational behavior of polyalanine peptides and Trp-cage folding","type":"article-journal","volume":"115"},"uris":["http://www.mendeley.com/documents/?uuid=7490e97e-10bb-3a44-aa8a-37d3a51d64e1"]}],"mendeley":{"formattedCitation":"&lt;sup&gt;252&lt;/sup&gt;","plainTextFormattedCitation":"252","previouslyFormattedCitation":"&lt;sup&gt;252&lt;/sup&gt;"},"properties":{"noteIndex":0},"schema":"https://github.com/citation-style-language/schema/raw/master/csl-citation.json"}</w:instrText>
      </w:r>
      <w:r w:rsidR="005D09E3">
        <w:fldChar w:fldCharType="separate"/>
      </w:r>
      <w:r w:rsidR="00A313B9" w:rsidRPr="00A313B9">
        <w:rPr>
          <w:noProof/>
          <w:vertAlign w:val="superscript"/>
        </w:rPr>
        <w:t>252</w:t>
      </w:r>
      <w:r w:rsidR="005D09E3">
        <w:fldChar w:fldCharType="end"/>
      </w:r>
      <w:r>
        <w:t>, root-mean-squared deviation of atomic positions (RMSD), number of intramolecular hydrogen bonds, residue contacts, helicity and dictionary of protein secondary structure (DSSP) analysis</w:t>
      </w:r>
      <w:r w:rsidR="005D09E3">
        <w:fldChar w:fldCharType="begin" w:fldLock="1"/>
      </w:r>
      <w:r w:rsidR="00576689">
        <w:instrText>ADDIN CSL_CITATION {"citationItems":[{"id":"ITEM-1","itemData":{"DOI":"10.1002/bip.360221211","ISSN":"10970282","PMID":"6667333","abstract":"For a successful analysis of the relation between amino acid sequence and protein structure, an unambiguous and physically meaningful definition of secondary structure is essential. We have developed a set of simple and physically motivated criteria for secondary structure, programmed as a pattern</w:instrText>
      </w:r>
      <w:r w:rsidR="00576689">
        <w:rPr>
          <w:rFonts w:ascii="Cambria Math" w:hAnsi="Cambria Math" w:cs="Cambria Math"/>
        </w:rPr>
        <w:instrText>‐</w:instrText>
      </w:r>
      <w:r w:rsidR="00576689">
        <w:instrText>recognition process of hydrogen</w:instrText>
      </w:r>
      <w:r w:rsidR="00576689">
        <w:rPr>
          <w:rFonts w:ascii="Cambria Math" w:hAnsi="Cambria Math" w:cs="Cambria Math"/>
        </w:rPr>
        <w:instrText>‐</w:instrText>
      </w:r>
      <w:r w:rsidR="00576689">
        <w:instrText>bonded and geometrical features extracted from x</w:instrText>
      </w:r>
      <w:r w:rsidR="00576689">
        <w:rPr>
          <w:rFonts w:ascii="Cambria Math" w:hAnsi="Cambria Math" w:cs="Cambria Math"/>
        </w:rPr>
        <w:instrText>‐</w:instrText>
      </w:r>
      <w:r w:rsidR="00576689">
        <w:instrText>ray coordinates. Cooperative secondary structure is recognized as repeats of the elementary hydrogen</w:instrText>
      </w:r>
      <w:r w:rsidR="00576689">
        <w:rPr>
          <w:rFonts w:ascii="Cambria Math" w:hAnsi="Cambria Math" w:cs="Cambria Math"/>
        </w:rPr>
        <w:instrText>‐</w:instrText>
      </w:r>
      <w:r w:rsidR="00576689">
        <w:instrText>bonding patterns “turn” and “bridge.” Repeating turns are “helices,” repeating bridges are “ladders,” connected ladders are “sheets.” Geometric structure is defined in terms of the concepts torsion and curvature of differential geometry. Local chain “chirality” is the torsional handedness of four consecutive Cα positions and is positive for right</w:instrText>
      </w:r>
      <w:r w:rsidR="00576689">
        <w:rPr>
          <w:rFonts w:ascii="Cambria Math" w:hAnsi="Cambria Math" w:cs="Cambria Math"/>
        </w:rPr>
        <w:instrText>‐</w:instrText>
      </w:r>
      <w:r w:rsidR="00576689">
        <w:instrText>handed helices and negative for ideal twisted β</w:instrText>
      </w:r>
      <w:r w:rsidR="00576689">
        <w:rPr>
          <w:rFonts w:ascii="Cambria Math" w:hAnsi="Cambria Math" w:cs="Cambria Math"/>
        </w:rPr>
        <w:instrText>‐</w:instrText>
      </w:r>
      <w:r w:rsidR="00576689">
        <w:instrText>sheets. Curved pieces are defined as “bends.” Solvent “exposure” is given as the number of water molecules in possible contact with a residue. The end result is a compilation of the primary structure, including SS bonds, secondary structure, and solvent exposure of 62 different globular proteins. The presentation is in linear form: strip graphs for an overall view and strip tables for the details of each of 10.925 residues. The dictionary is also available in computer</w:instrText>
      </w:r>
      <w:r w:rsidR="00576689">
        <w:rPr>
          <w:rFonts w:ascii="Cambria Math" w:hAnsi="Cambria Math" w:cs="Cambria Math"/>
        </w:rPr>
        <w:instrText>‐</w:instrText>
      </w:r>
      <w:r w:rsidR="00576689">
        <w:instrText>readable form for protein structure prediction work. Copyright © 1983 John Wiley &amp; Sons, Inc.","author":[{"dropping-particle":"","family":"Kabsch","given":"Wolfgang","non-dropping-particle":"","parse-names":false,"suffix":""},{"dropping-particle":"","family":"Sander","given":"Christian","non-dropping-particle":"","parse-names":false,"suffix":""}],"container-title":"Biopolymers","id":"ITEM-1","issue":"12","issued":{"date-parts":[["1983"]]},"page":"2577-2637","publisher":"Biopolymers","title":"Dictionary of protein secondary structure: Pattern recognition of hydrogen</w:instrText>
      </w:r>
      <w:r w:rsidR="00576689">
        <w:rPr>
          <w:rFonts w:ascii="Cambria Math" w:hAnsi="Cambria Math" w:cs="Cambria Math"/>
        </w:rPr>
        <w:instrText>‐</w:instrText>
      </w:r>
      <w:r w:rsidR="00576689">
        <w:instrText>bonded and geometrical features","type":"article-journal","volume":"22"},"uris":["http://www.mendeley.com/documents/?uuid=f44ad60a-8ca8-3424-89fa-ec6b81199c41"]}],"mendeley":{"formattedCitation":"&lt;sup&gt;253&lt;/sup&gt;","plainTextFormattedCitation":"253","previouslyFormattedCitation":"&lt;sup&gt;253&lt;/sup&gt;"},"properties":{"noteIndex":0},"schema":"https://github.com/citation-style-language/schema/raw/master/csl-citation.json"}</w:instrText>
      </w:r>
      <w:r w:rsidR="005D09E3">
        <w:fldChar w:fldCharType="separate"/>
      </w:r>
      <w:r w:rsidR="00A313B9" w:rsidRPr="00A313B9">
        <w:rPr>
          <w:noProof/>
          <w:vertAlign w:val="superscript"/>
        </w:rPr>
        <w:t>253</w:t>
      </w:r>
      <w:r w:rsidR="005D09E3">
        <w:fldChar w:fldCharType="end"/>
      </w:r>
      <w:r>
        <w:t>. Once appropriate reaction coordinates are chosen, it is important to monitor their values throughout the simulation to check for convergence. The reaction coordinates can also be used by various clustering methods to identify significant peptide conformations present in the simulation</w:t>
      </w:r>
      <w:r w:rsidR="005D09E3">
        <w:fldChar w:fldCharType="begin" w:fldLock="1"/>
      </w:r>
      <w:r w:rsidR="00576689">
        <w:instrText>ADDIN CSL_CITATION {"citationItems":[{"id":"ITEM-1","itemData":{"DOI":"10.1021/ct700119m","ISSN":"15499618","abstract":"Molecular dynamics simulation methods produce trajectories of atomic positions (and optionally velocities and energies) as a function of time and provide a representation of the sampling of a given molecule's energetically accessible conformational ensemble. As simulations on the 10-100 ns time scale become routine, with sampled configurations stored on the picosecond time scale, such trajectories contain large amounts of data. Data-mining techniques, like clustering, provide one means to group and make sense of the information in the trajectory. In this work, several clustering algorithms were implemented, compared, and utilized to understand MD trajectory data. The development of the algorithms into a freely available C code library, and their application to a simple test example of random (or systematically placed) points in a 2D plane (where the pairwise metric is the distance between points) provide a means to understand the relative performance. Eleven different clustering algorithms were developed, ranging from top-down splitting (hierarchical) and bottom-up aggregating (including single-linkage edge joining, centroid-linkage, average-linkage, complete-linkage, centripetal, and centripetal-complete) to various refinement (means, Bayesian, and self-organizing maps) and tree (COBWEB) algorithms. Systematic testing in the context of MD simulation of various DNA systems (including DNA single strands and the interaction of a minor groove binding drug DB226 with a DNA hairpin) allows a more direct assessment of the relative merits of the distinct clustering algorithms. Additionally, means to assess the relative performance and differences between the algorithms, to dynamically select the initial cluster count, and to achieve faster data mining by \"sieved clustering\" were evaluated. Overall, it was found that there is no one perfect \"one size fits all\" algorithm for clustering MD trajectories and that the results strongly depend on the choice of atoms for the pairwise comparison. Some algorithms tend to produce homogeneously sized clusters, whereas others have a tendency to produce singleton clusters. Issues related to the choice of a pairwise metric, clustering metrics, which atom selection is used for the comparison, and about the relative performance are discussed. Overall, the best performance was observed with the average-linkage, means, and SOM algorithms. If the cluster count is not known in advance, the hierarchical or average-linkage clustering…","author":[{"dropping-particle":"","family":"Shao","given":"Jianyin","non-dropping-particle":"","parse-names":false,"suffix":""},{"dropping-particle":"","family":"Tanner","given":"Stephen W.","non-dropping-particle":"","parse-names":false,"suffix":""},{"dropping-particle":"","family":"Thompson","given":"Nephi","non-dropping-particle":"","parse-names":false,"suffix":""},{"dropping-particle":"","family":"Cheatham","given":"Thomas E.","non-dropping-particle":"","parse-names":false,"suffix":""}],"container-title":"Journal of Chemical Theory and Computation","id":"ITEM-1","issue":"6","issued":{"date-parts":[["2007","11"]]},"page":"2312-2334","publisher":" American Chemical Society ","title":"Clustering molecular dynamics trajectories: 1. Characterizing the performance of different clustering algorithms","type":"article-journal","volume":"3"},"uris":["http://www.mendeley.com/documents/?uuid=86b7e163-ae16-3d5f-9486-e5d262626b48"]}],"mendeley":{"formattedCitation":"&lt;sup&gt;254&lt;/sup&gt;","plainTextFormattedCitation":"254","previouslyFormattedCitation":"&lt;sup&gt;254&lt;/sup&gt;"},"properties":{"noteIndex":0},"schema":"https://github.com/citation-style-language/schema/raw/master/csl-citation.json"}</w:instrText>
      </w:r>
      <w:r w:rsidR="005D09E3">
        <w:fldChar w:fldCharType="separate"/>
      </w:r>
      <w:r w:rsidR="00A313B9" w:rsidRPr="00A313B9">
        <w:rPr>
          <w:noProof/>
          <w:vertAlign w:val="superscript"/>
        </w:rPr>
        <w:t>254</w:t>
      </w:r>
      <w:r w:rsidR="005D09E3">
        <w:fldChar w:fldCharType="end"/>
      </w:r>
      <w:r>
        <w:t xml:space="preserve">. </w:t>
      </w:r>
    </w:p>
    <w:p w14:paraId="49CDC579" w14:textId="77777777" w:rsidR="001529CF" w:rsidRDefault="001529CF">
      <w:pPr>
        <w:pStyle w:val="LO-normal"/>
        <w:jc w:val="both"/>
      </w:pPr>
    </w:p>
    <w:p w14:paraId="761D9A6E" w14:textId="2EAD16D5" w:rsidR="001529CF" w:rsidRDefault="00492337">
      <w:pPr>
        <w:pStyle w:val="LO-normal"/>
        <w:jc w:val="both"/>
      </w:pPr>
      <w:r>
        <w:t>To summarise, there is a well</w:t>
      </w:r>
      <w:r w:rsidR="00734129">
        <w:t>-</w:t>
      </w:r>
      <w:r>
        <w:t>known relationship in biology between form and function, and AMPs make no exception. To understand their shape and structure is to gain insight into their behaviour and ability to interact with membranes. Although there are several spectroscopic techniques that can be used to obtain an experimentally validated structure, these may not be sufficient to obtain detailed mechanistic insights. In this section, we have outlined the computational methods that are commonly used in the literature to complement experimental techniques. Simulations have helped speculate on the solution-phase structures of AMPs and how these structures may change when they interact with membranes. These methods provide the starting structures used in the simulations that aim to understand more complex AMP behaviours, such as aggregation and membrane penetration. In the next sections, we will explain the methods through which these phenomena are studied.</w:t>
      </w:r>
    </w:p>
    <w:p w14:paraId="68BA683E" w14:textId="77777777" w:rsidR="001529CF" w:rsidRDefault="00492337">
      <w:pPr>
        <w:pStyle w:val="Heading3"/>
      </w:pPr>
      <w:bookmarkStart w:id="11" w:name="_26in1rg"/>
      <w:bookmarkEnd w:id="11"/>
      <w:r>
        <w:t>Understanding AMP Aggregation Propensity and its Role in AMP Activity</w:t>
      </w:r>
    </w:p>
    <w:p w14:paraId="523DFD25" w14:textId="4CCEE7D4" w:rsidR="001529CF" w:rsidRDefault="00492337">
      <w:pPr>
        <w:pStyle w:val="LO-normal"/>
        <w:jc w:val="both"/>
      </w:pPr>
      <w:r>
        <w:t>Peptide aggregation results when multiple copies of the same peptide accumulate by interacting and forming clumps or clusters</w:t>
      </w:r>
      <w:r w:rsidR="005D09E3">
        <w:fldChar w:fldCharType="begin" w:fldLock="1"/>
      </w:r>
      <w:r w:rsidR="00C44087">
        <w:instrText>ADDIN CSL_CITATION {"citationItems":[{"id":"ITEM-1","itemData":{"DOI":"10.1038/nrd3050","ISSN":"14741776","PMID":"20190788","abstract":"A growing number of diseases seem to be associated with inappropriate deposition of protein aggregates. Some of these diseases such as Alzheimer's disease and systemic amyloidoses have been recognized for a long time. However, it is now clear that ordered aggregation of pathogenic proteins does not only occur in the extracellular space, but in the cytoplasm and nucleus as well, indicating that many other diseases may also qualify as amyloidoses. The common structural and pathogenic features of these diverse protein aggregation diseases is only now being fully understood, and may provide novel opportunities for overarching therapeutic approaches such as depleting the monomeric precursor protein, inhibiting aggregation, enhancing aggregate clearance or blocking common aggregation-induced cellular toxicity pathways. © 2010 Macmillan Publishers Limited.","author":[{"dropping-particle":"","family":"Aguzzi","given":"Adriano","non-dropping-particle":"","parse-names":false,"suffix":""},{"dropping-particle":"","family":"O'Connor","given":"Tracy","non-dropping-particle":"","parse-names":false,"suffix":""}],"container-title":"Nature Reviews Drug Discovery","id":"ITEM-1","issue":"3","issued":{"date-parts":[["2010","3"]]},"page":"237-248","publisher":"Nature Publishing Group","title":"Protein aggregation diseases: Pathogenicity and therapeutic perspectives","type":"article-journal","volume":"9"},"uris":["http://www.mendeley.com/documents/?uuid=1c7f8858-5f7a-3d44-a283-6f7491f3d848"]}],"mendeley":{"formattedCitation":"&lt;sup&gt;255&lt;/sup&gt;","plainTextFormattedCitation":"255","previouslyFormattedCitation":"&lt;sup&gt;255&lt;/sup&gt;"},"properties":{"noteIndex":0},"schema":"https://github.com/citation-style-language/schema/raw/master/csl-citation.json"}</w:instrText>
      </w:r>
      <w:r w:rsidR="005D09E3">
        <w:fldChar w:fldCharType="separate"/>
      </w:r>
      <w:r w:rsidR="00A313B9" w:rsidRPr="00A313B9">
        <w:rPr>
          <w:noProof/>
          <w:vertAlign w:val="superscript"/>
        </w:rPr>
        <w:t>255</w:t>
      </w:r>
      <w:r w:rsidR="005D09E3">
        <w:fldChar w:fldCharType="end"/>
      </w:r>
      <w:r>
        <w:t>. One of the most well-known examples of peptide aggregation is in amyloidosis diseases, such as Alzheimer’s and Parkinson’s</w:t>
      </w:r>
      <w:r w:rsidR="005D09E3">
        <w:fldChar w:fldCharType="begin" w:fldLock="1"/>
      </w:r>
      <w:r w:rsidR="00576689">
        <w:instrText>ADDIN CSL_CITATION {"citationItems":[{"id":"ITEM-1","itemData":{"DOI":"10.1529/biophysj.107.121061","ISSN":"15420086","PMID":"18263661","abstract":"The early stages of peptide aggregation are currently not accessible by experimental techniques at atomic resolution. In this article, we address this problem through the application of a mixed simulation scheme in which a preliminary coarsegrained Monte Carlo analysis of the free-energy landscape is used to identify representative conformations of the aggregates and subsequent all-atom molecular dynamics simulations are used to analyze in detail possible pathways for the stabilization of oligomers. This protocol was applied to systems consisting of multiple copies of the model peptide GNNQQNY, whose detailed structures in the aggregated state have been recently solved in another study. The analysis of the various trajectories provides dynamical and structural insight into the details of aggregation. In particular, the simulations suggest a hierarchical mechanism characterized by the initial formation of stable parallel β-sheet dimers and identify the formation of the polar zipper motif as a fundamental feature for the stabilization of initial oligomers. Simulation results are consistent with experimentally derived observations and provide an atomically detailed view of the putative initial stages of fibril formation. © 2008 by the Biophysical Society.","author":[{"dropping-particle":"","family":"Meli","given":"Massimiliano","non-dropping-particle":"","parse-names":false,"suffix":""},{"dropping-particle":"","family":"Morra","given":"Giulia","non-dropping-particle":"","parse-names":false,"suffix":""},{"dropping-particle":"","family":"Colombo","given":"Giorgio","non-dropping-particle":"","parse-names":false,"suffix":""}],"container-title":"Biophysical Journal","id":"ITEM-1","issue":"11","issued":{"date-parts":[["2008","6","1"]]},"page":"4414-4426","publisher":"Biophysical Society","title":"Investigating the mechanism of peptide aggregation: Insights from mixed monte carlo-molecular dynamics simulations","type":"article-journal","volume":"94"},"uris":["http://www.mendeley.com/documents/?uuid=cefe9159-974a-3f6d-8610-f0b5dbfbe5fd"]}],"mendeley":{"formattedCitation":"&lt;sup&gt;256&lt;/sup&gt;","plainTextFormattedCitation":"256","previouslyFormattedCitation":"&lt;sup&gt;256&lt;/sup&gt;"},"properties":{"noteIndex":0},"schema":"https://github.com/citation-style-language/schema/raw/master/csl-citation.json"}</w:instrText>
      </w:r>
      <w:r w:rsidR="005D09E3">
        <w:fldChar w:fldCharType="separate"/>
      </w:r>
      <w:r w:rsidR="00A313B9" w:rsidRPr="00A313B9">
        <w:rPr>
          <w:noProof/>
          <w:vertAlign w:val="superscript"/>
        </w:rPr>
        <w:t>256</w:t>
      </w:r>
      <w:r w:rsidR="005D09E3">
        <w:fldChar w:fldCharType="end"/>
      </w:r>
      <w:r>
        <w:t>, which are characterized by assemblies of misfolded proteins into amyloid structures; aggregation is also seen in AMPs</w:t>
      </w:r>
      <w:r w:rsidR="005D09E3">
        <w:fldChar w:fldCharType="begin" w:fldLock="1"/>
      </w:r>
      <w:r w:rsidR="00576689">
        <w:instrText>ADDIN CSL_CITATION {"citationItems":[{"id":"ITEM-1","itemData":{"DOI":"10.1016/S0006-3495(02)75595-1","ISSN":"00063495","PMID":"11964240","abstract":"Some membrane peptides, such as Alamethicin, form barrel-stave aggregates with a broad probability distribution of size (number of peptides in the aggregate). This distribution has been shown to depend on the characteristics of the lipid bilayer. A mechanism for this influence is suggested, in analogy to earlier work on the effects of changes in bilayer composition on conformational equilibria in membrane proteins, that is based on coupling of shifts in the distribution of lateral pressures in the bilayer to depth-dependent changes in the lateral excluded area that accompanies the formation of an aggregate. Thermodynamic analysis is coupled with a simple geometric model of aggregates of kinked cylindrical peptides and with results of previously calculated lateral pressure distributions to predict the effects of changes in bilayer characteristics on aggregate size distributions, in qualitative agreement with experimental results.","author":[{"dropping-particle":"","family":"Cantor","given":"Robert S.","non-dropping-particle":"","parse-names":false,"suffix":""}],"container-title":"Biophysical Journal","id":"ITEM-1","issue":"5","issued":{"date-parts":[["2002","5","1"]]},"page":"2520-2525","publisher":"Biophysical Society","title":"Size distribution of Barrel-Stave aggregates of membrane peptides: Influence of the bilayer lateral pressure profile","type":"article-journal","volume":"82"},"uris":["http://www.mendeley.com/documents/?uuid=7d111070-71b0-316b-8f36-aa071d06e6ae"]}],"mendeley":{"formattedCitation":"&lt;sup&gt;257&lt;/sup&gt;","plainTextFormattedCitation":"257","previouslyFormattedCitation":"&lt;sup&gt;257&lt;/sup&gt;"},"properties":{"noteIndex":0},"schema":"https://github.com/citation-style-language/schema/raw/master/csl-citation.json"}</w:instrText>
      </w:r>
      <w:r w:rsidR="005D09E3">
        <w:fldChar w:fldCharType="separate"/>
      </w:r>
      <w:r w:rsidR="00A313B9" w:rsidRPr="00A313B9">
        <w:rPr>
          <w:noProof/>
          <w:vertAlign w:val="superscript"/>
        </w:rPr>
        <w:t>257</w:t>
      </w:r>
      <w:r w:rsidR="005D09E3">
        <w:fldChar w:fldCharType="end"/>
      </w:r>
      <w:r>
        <w:t xml:space="preserve">. </w:t>
      </w:r>
      <w:r w:rsidR="0085729B">
        <w:t xml:space="preserve">Figure 4 shows in cartoon form some of the supramolecular assemblies that AMPs can form, and discusses their role in activity. </w:t>
      </w:r>
      <w:r>
        <w:t>Understanding when and how AMPs aggregate can shed light on their mode of action</w:t>
      </w:r>
      <w:r w:rsidR="005D09E3">
        <w:fldChar w:fldCharType="begin" w:fldLock="1"/>
      </w:r>
      <w:r w:rsidR="00576689">
        <w:instrText>ADDIN CSL_CITATION {"citationItems":[{"id":"ITEM-1","itemData":{"DOI":"10.1021/acs.biochem.8b00052","ISSN":"15204995","PMID":"29638118","abstract":"Antimicrobial peptides (AMPs) are a promising alternative to antibiotics for mitigating bacterial infections, in light of increasing bacterial resistance to antibiotics. However, predicting, understanding, and controlling the antibacterial activity of AMPs remain a significant challenge. While peptide intramolecular interactions are known to modulate AMP antimicrobial activity, peptide intermolecular interactions remain elusive in their impact on peptide bioactivity. Herein, we test the relationship between AMP intermolecular interactions and antibacterial efficacy by controlling AMP intermolecular hydrophobic and hydrogen bonding interactions. Molecular dynamics simulations and Gibbs free energy calculations in concert with experimental assays show that increasing intermolecular interactions via interpeptide aggregation increases the energy cost for the peptide to embed into the bacterial cell membrane, which in turn decreases the AMP antibacterial activity. Our findings provide a route for predicting and controlling the antibacterial activity of AMPs against Gram-negative bacteria via reductions of intermolecular AMP interactions.","author":[{"dropping-particle":"","family":"Zou","given":"Rongfeng","non-dropping-particle":"","parse-names":false,"suffix":""},{"dropping-particle":"","family":"Zhu","given":"Xiaomin","non-dropping-particle":"","parse-names":false,"suffix":""},{"dropping-particle":"","family":"Tu","given":"Yaoquan","non-dropping-particle":"","parse-names":false,"suffix":""},{"dropping-particle":"","family":"Wu","given":"Junchen","non-dropping-particle":"","parse-names":false,"suffix":""},{"dropping-particle":"","family":"Landry","given":"Markita P.","non-dropping-particle":"","parse-names":false,"suffix":""}],"container-title":"Biochemistry","id":"ITEM-1","issue":"18","issued":{"date-parts":[["2018","5","8"]]},"page":"2606-2610","publisher":"American Chemical Society","title":"Activity of Antimicrobial Peptide Aggregates Decreases with Increased Cell Membrane Embedding Free Energy Cost","type":"article-journal","volume":"57"},"uris":["http://www.mendeley.com/documents/?uuid=e4a6cbc5-e180-3f9e-bad5-926030b94702"]},{"id":"ITEM-2","itemData":{"DOI":"10.1021/bi035187w","ISSN":"00062960","PMID":"14622019","abstract":"The dynamics and aggregation of a β-sheet antimicrobial peptide, protegrin-1 (PG-1), are investigated using solid-state NMR spectroscopy. Chemical shift anisotropies of F12 and V16 carbonyl carbons are uniaxially averaged in 1,2-dilauryl-sn-glycero-3- phosphatidylcholine (DLPC) bilayers but approach rigid-limit values in the thicker 1 -palmitoyl-2-oleoyl-sn-glycerol-3-phosphatidylcholine (POPC) bilayers. The Ca-Ha dipolar coupling of L5 is scaled by a factor of 0.16 in DLPC bilayers but has a near-unity order parameter of 0.96 in POPC bilayers. The larger couplings of PG-1 in POPC bilayers indicate immobilization of the peptide, suggesting that PG-1 forms oligomeric aggregates at the biologically relevant bilayer thickness. Exchange NMR experiments on F12 13CO-labeled PG-1 show that the peptide undergoes slow reorientation with a correlation time of 0.7 ± 0.2 s in POPC bilayers. This long correlation time suggests that in addition to aggregation, geometric constraints in the membrane may also contribute to PG-1 immobilization. The PG-1 aggregates contact both the surface and the hydrophobic center of the POPC bilayer, as determined by 1H spin-diffusion measurements. Thus, solid-state NMR provides a wide range of information about the molecular details of membrane peptide immobilization and aggregation in lipid bilayers.","author":[{"dropping-particle":"","family":"Buffy","given":"Jarrod J.","non-dropping-particle":"","parse-names":false,"suffix":""},{"dropping-particle":"","family":"Waring","given":"Alan J.","non-dropping-particle":"","parse-names":false,"suffix":""},{"dropping-particle":"","family":"Lehrer","given":"Robert I.","non-dropping-particle":"","parse-names":false,"suffix":""},{"dropping-particle":"","family":"Hong","given":"Mei","non-dropping-particle":"","parse-names":false,"suffix":""}],"container-title":"Biochemistry","id":"ITEM-2","issue":"46","issued":{"date-parts":[["2003","11","25"]]},"page":"13725-13734","publisher":" American Chemical Society ","title":"Immobilization and Aggregation of the Antimicrobial Peptide Protegrin-1 in Lipid Bilayers Investigated by Solid-State NMR","type":"article-journal","volume":"42"},"uris":["http://www.mendeley.com/documents/?uuid=dc578275-f3c8-3c56-8ef6-8de067665a29"]}],"mendeley":{"formattedCitation":"&lt;sup&gt;74,258&lt;/sup&gt;","plainTextFormattedCitation":"74,258","previouslyFormattedCitation":"&lt;sup&gt;74,258&lt;/sup&gt;"},"properties":{"noteIndex":0},"schema":"https://github.com/citation-style-language/schema/raw/master/csl-citation.json"}</w:instrText>
      </w:r>
      <w:r w:rsidR="005D09E3">
        <w:fldChar w:fldCharType="separate"/>
      </w:r>
      <w:r w:rsidR="00A313B9" w:rsidRPr="00A313B9">
        <w:rPr>
          <w:noProof/>
          <w:vertAlign w:val="superscript"/>
        </w:rPr>
        <w:t>74,258</w:t>
      </w:r>
      <w:r w:rsidR="005D09E3">
        <w:fldChar w:fldCharType="end"/>
      </w:r>
      <w:r>
        <w:t>,</w:t>
      </w:r>
      <w:r w:rsidR="003F4ECC">
        <w:t xml:space="preserve"> and there are several experimental techniques that</w:t>
      </w:r>
      <w:r w:rsidR="00A826F3">
        <w:t xml:space="preserve"> can be used to probe this behaviour, including, but not limited to, Cryo-TEM</w:t>
      </w:r>
      <w:r w:rsidR="00A826F3">
        <w:fldChar w:fldCharType="begin" w:fldLock="1"/>
      </w:r>
      <w:r w:rsidR="00576689">
        <w:instrText>ADDIN CSL_CITATION {"citationItems":[{"id":"ITEM-1","itemData":{"DOI":"10.1021/acs.biomac.0c00865","ISSN":"15264602","PMID":"32786727","abstract":"Antimicrobial peptides (AMPs) have attracted great interest as they constitute one of the most promising alternatives against drug-resistant infections. Their amphipathic nature not only provides them antimicrobial and immunomodulatory properties but also the ability to self-assemble into supramolecular nanostructures. Here, we propose their use as self-assembling domains to drive hierarchical organization of intrinsically disordered protein polymers (IDPPs). Using a modular approach, hybrid protein-engineered polymers were recombinantly produced, thus combining designer AMPs and a thermoresponsive IDPP, an elastin-like recombinamer (ELR). We exploited the ability of these AMPs and ELRs to self-assemble to develop supramolecular nanomaterials by way of a dual-assembly process. First, the AMPs trigger the formation of nanofibers; then, the thermoresponsiveness of the ELRs enables assembly into fibrillar aggregates. The interplay between the assembly of AMPs and ELRs provides an innovative molecular tool in the development of self-assembling nanosystems with potential use for biotechnological and biomedical applications.","author":[{"dropping-particle":"","family":"Acosta","given":"Sergio","non-dropping-particle":"","parse-names":false,"suffix":""},{"dropping-particle":"","family":"Ye","given":"Zhou","non-dropping-particle":"","parse-names":false,"suffix":""},{"dropping-particle":"","family":"Aparicio","given":"Conrado","non-dropping-particle":"","parse-names":false,"suffix":""},{"dropping-particle":"","family":"Alonso","given":"Matilde","non-dropping-particle":"","parse-names":false,"suffix":""},{"dropping-particle":"","family":"Rodríguez-Cabello","given":"José Carlos","non-dropping-particle":"","parse-names":false,"suffix":""}],"container-title":"Biomacromolecules","id":"ITEM-1","issue":"10","issued":{"date-parts":[["2020","10","12"]]},"page":"4043-4052","publisher":"American Chemical Society","title":"Dual Self-Assembled Nanostructures from Intrinsically Disordered Protein Polymers with LCST Behavior and Antimicrobial Peptides","type":"article-journal","volume":"21"},"uris":["http://www.mendeley.com/documents/?uuid=1755a501-0586-32f3-bbf0-e60a34afe4ed"]}],"mendeley":{"formattedCitation":"&lt;sup&gt;259&lt;/sup&gt;","plainTextFormattedCitation":"259","previouslyFormattedCitation":"&lt;sup&gt;259&lt;/sup&gt;"},"properties":{"noteIndex":0},"schema":"https://github.com/citation-style-language/schema/raw/master/csl-citation.json"}</w:instrText>
      </w:r>
      <w:r w:rsidR="00A826F3">
        <w:fldChar w:fldCharType="separate"/>
      </w:r>
      <w:r w:rsidR="00A313B9" w:rsidRPr="00A313B9">
        <w:rPr>
          <w:noProof/>
          <w:vertAlign w:val="superscript"/>
        </w:rPr>
        <w:t>259</w:t>
      </w:r>
      <w:r w:rsidR="00A826F3">
        <w:fldChar w:fldCharType="end"/>
      </w:r>
      <w:r w:rsidR="00A826F3">
        <w:t>, small-angle scattering</w:t>
      </w:r>
      <w:r w:rsidR="00A826F3">
        <w:fldChar w:fldCharType="begin" w:fldLock="1"/>
      </w:r>
      <w:r w:rsidR="00576689">
        <w:instrText>ADDIN CSL_CITATION {"citationItems":[{"id":"ITEM-1","itemData":{"DOI":"10.1039/c8sm01888j","ISSN":"17446848","PMID":"30358793","abstract":"Using small angle X-ray and neutron scattering (SAXS/SANS) and detailed theoretical modelling we have elucidated the structure of the antimicrobial peptide, indolicidin, and the interaction with model lipid membranes of different anionic lipid compositions mimicking typical charge densities found in the cytoplasmic membrane of bacteria. First, we show that indolicidin displays a predominantly disordered, random chain conformation in solution with a small fraction (≈1%) of fiber-like nanostructures that are not dissolved at higher temperatures. The peptide is shown to strongly interact with the membranes at all charge densities without significantly perturbing the lipid bilayer structure. Instead, the results show that indolicidin inserts into the outer leaflet of the lipid vesicles causing a reduced local order of the lipid packing. This result is supported by an observed change in the melting point of the lipids upon addition of the peptide, as seen by differential scanning calorimetry experiments. The peptide does not to our observation affect the thickness of the membrane or form distinct structural pores in the membrane at physiologically relevant concentrations as has been previously suggested as an important mode of action. Finally, using sophisticated contrast variation SANS, we show that the peptide does not affect the random lateral distribution of anionic lipids in the membrane. Together, these results demonstrate that the structural aspects of the mode of action of antimicrobial peptides can be elucidated in detail using SAS techniques with liposomes as model systems.","author":[{"dropping-particle":"","family":"Nielsen","given":"Josefine Eilsø","non-dropping-particle":"","parse-names":false,"suffix":""},{"dropping-particle":"","family":"Bjørnestad","given":"Victoria Ariel","non-dropping-particle":"","parse-names":false,"suffix":""},{"dropping-particle":"","family":"Lund","given":"Reidar","non-dropping-particle":"","parse-names":false,"suffix":""}],"container-title":"Soft Matter","id":"ITEM-1","issue":"43","issued":{"date-parts":[["2018","11","7"]]},"page":"8750-8763","publisher":"Royal Society of Chemistry","title":"Resolving the structural interactions between antimicrobial peptides and lipid membranes using small-angle scattering methods: The case of indolicidin","type":"article-journal","volume":"14"},"uris":["http://www.mendeley.com/documents/?uuid=39128f9d-ef81-3bc6-b571-2f2a5ed93e21"]}],"mendeley":{"formattedCitation":"&lt;sup&gt;260&lt;/sup&gt;","plainTextFormattedCitation":"260","previouslyFormattedCitation":"&lt;sup&gt;260&lt;/sup&gt;"},"properties":{"noteIndex":0},"schema":"https://github.com/citation-style-language/schema/raw/master/csl-citation.json"}</w:instrText>
      </w:r>
      <w:r w:rsidR="00A826F3">
        <w:fldChar w:fldCharType="separate"/>
      </w:r>
      <w:r w:rsidR="00A313B9" w:rsidRPr="00A313B9">
        <w:rPr>
          <w:noProof/>
          <w:vertAlign w:val="superscript"/>
        </w:rPr>
        <w:t>260</w:t>
      </w:r>
      <w:r w:rsidR="00A826F3">
        <w:fldChar w:fldCharType="end"/>
      </w:r>
      <w:r w:rsidR="00A826F3">
        <w:t xml:space="preserve"> and dynamic light scattering</w:t>
      </w:r>
      <w:r w:rsidR="00A826F3">
        <w:fldChar w:fldCharType="begin" w:fldLock="1"/>
      </w:r>
      <w:r w:rsidR="00576689">
        <w:instrText>ADDIN CSL_CITATION {"citationItems":[{"id":"ITEM-1","itemData":{"DOI":"10.1002/psc.1007","ISSN":"10752617","PMID":"18189339","abstract":"Highly charged peptides are important components of the immune system and belong to an important family of antibiotics. Although their therapeutic activity is known, most of the molecular level mechanisms are controversial. A wide variety of different approaches are usually applied to understand their mechanisms, but light scattering techniques are frequently overlooked. Yet, light scattering is a noninvasive technique that allows insights both on the peptide mechanism of action as well as on the development of new antibiotics. Dynamic light scattering (DLS) and static light scattering (SLS) are used to measure the aggregation process of lipid vesicles upon addition of peptides and molecular properties (shape, molecular weight). The high charge of these peptides allows electrostatic attraction toward charged lipid vesicles, which is studied by zeta potential (ζ-potential) measurements. Copyright © 2008 European Peptide Society and John Wiley &amp; Sons, Ltd.","author":[{"dropping-particle":"","family":"Domingues","given":"Marco M.","non-dropping-particle":"","parse-names":false,"suffix":""},{"dropping-particle":"","family":"Santiago","given":"Patrícia S.","non-dropping-particle":"","parse-names":false,"suffix":""},{"dropping-particle":"","family":"Castanho","given":"Miguel A.R.B.","non-dropping-particle":"","parse-names":false,"suffix":""},{"dropping-particle":"","family":"Santos","given":"Nuno C.","non-dropping-particle":"","parse-names":false,"suffix":""}],"container-title":"Journal of Peptide Science","id":"ITEM-1","issue":"4","issued":{"date-parts":[["2008","4"]]},"page":"394-400","title":"What can light scattering spectroscopy do for membrane-active peptide studies?","type":"article-journal","volume":"14"},"uris":["http://www.mendeley.com/documents/?uuid=b813b9af-fc19-32e4-b260-9f31396eae89"]}],"mendeley":{"formattedCitation":"&lt;sup&gt;261&lt;/sup&gt;","plainTextFormattedCitation":"261","previouslyFormattedCitation":"&lt;sup&gt;261&lt;/sup&gt;"},"properties":{"noteIndex":0},"schema":"https://github.com/citation-style-language/schema/raw/master/csl-citation.json"}</w:instrText>
      </w:r>
      <w:r w:rsidR="00A826F3">
        <w:fldChar w:fldCharType="separate"/>
      </w:r>
      <w:r w:rsidR="00A313B9" w:rsidRPr="00A313B9">
        <w:rPr>
          <w:noProof/>
          <w:vertAlign w:val="superscript"/>
        </w:rPr>
        <w:t>261</w:t>
      </w:r>
      <w:r w:rsidR="00A826F3">
        <w:fldChar w:fldCharType="end"/>
      </w:r>
      <w:r w:rsidR="00A826F3">
        <w:t>.</w:t>
      </w:r>
      <w:r>
        <w:t xml:space="preserve"> </w:t>
      </w:r>
      <w:r w:rsidR="00A826F3">
        <w:t xml:space="preserve">In this endavour, </w:t>
      </w:r>
      <w:r>
        <w:t>computational techniques</w:t>
      </w:r>
      <w:r w:rsidR="00A826F3">
        <w:t xml:space="preserve"> are often used in conjunction with experimental results to rationalise and predict observations</w:t>
      </w:r>
      <w:r w:rsidR="00A826F3">
        <w:fldChar w:fldCharType="begin" w:fldLock="1"/>
      </w:r>
      <w:r w:rsidR="00576689">
        <w:instrText>ADDIN CSL_CITATION {"citationItems":[{"id":"ITEM-1","itemData":{"DOI":"10.1021/acs.jpclett.0c02094","ISSN":"19487185","PMID":"33108730","abstract":"By integrating various simulation and experimental techniques, we discovered that antimicrobial peptides (AMPs) may achieve synergy at an optimal concentration and ratio, which can be caused by aggregation of the synergistic peptides. On multiple time and length scales, our studies obtain novel evidence of how peptide coaggregation in solution can affect the disruption of membranes by synergistic AMPs. Our findings provide crucial details about the complex molecular origins of AMP synergy, which will help guide the future development of synergistic AMPs as well as applications of anti-infective peptide cocktail therapies.","author":[{"dropping-particle":"","family":"Remington","given":"Jacob M.","non-dropping-particle":"","parse-names":false,"suffix":""},{"dropping-particle":"","family":"Liao","given":"Chenyi","non-dropping-particle":"","parse-names":false,"suffix":""},{"dropping-particle":"","family":"Sharafi","given":"Mona","non-dropping-particle":"","parse-names":false,"suffix":""},{"dropping-particle":"","family":"Emma","given":"Emma J.","non-dropping-particle":"","parse-names":false,"suffix":""},{"dropping-particle":"","family":"Ferrell","given":"Jonathon B.","non-dropping-particle":"","parse-names":false,"suffix":""},{"dropping-particle":"","family":"Hondal","given":"Robert J.","non-dropping-particle":"","parse-names":false,"suffix":""},{"dropping-particle":"","family":"Wargo","given":"Matthew J.","non-dropping-particle":"","parse-names":false,"suffix":""},{"dropping-particle":"","family":"Schneebeli","given":"Severin T.","non-dropping-particle":"","parse-names":false,"suffix":""},{"dropping-particle":"","family":"Li","given":"Jianing","non-dropping-particle":"","parse-names":false,"suffix":""}],"container-title":"Journal of Physical Chemistry Letters","id":"ITEM-1","issued":{"date-parts":[["2020"]]},"page":"9501-9506","publisher":"American Chemical Society","title":"Aggregation state of synergistic antimicrobial peptides","type":"article-journal","volume":"11"},"uris":["http://www.mendeley.com/documents/?uuid=3252ac31-c6dc-3c38-9eb8-7bd7f83e732c"]}],"mendeley":{"formattedCitation":"&lt;sup&gt;262&lt;/sup&gt;","plainTextFormattedCitation":"262","previouslyFormattedCitation":"&lt;sup&gt;262&lt;/sup&gt;"},"properties":{"noteIndex":0},"schema":"https://github.com/citation-style-language/schema/raw/master/csl-citation.json"}</w:instrText>
      </w:r>
      <w:r w:rsidR="00A826F3">
        <w:fldChar w:fldCharType="separate"/>
      </w:r>
      <w:r w:rsidR="00A313B9" w:rsidRPr="00A313B9">
        <w:rPr>
          <w:noProof/>
          <w:vertAlign w:val="superscript"/>
        </w:rPr>
        <w:t>262</w:t>
      </w:r>
      <w:r w:rsidR="00A826F3">
        <w:fldChar w:fldCharType="end"/>
      </w:r>
      <w:r w:rsidR="00A826F3">
        <w:t>, offering atomistic-level insight that cannot be accessed by experiment alone. In this section, we present studies that have made good use of simulations to understand the aggregation behaviour of AMPs, and what are the main considerations and challenges for those who wish to venture into this field.</w:t>
      </w:r>
    </w:p>
    <w:p w14:paraId="2F25607D" w14:textId="77777777" w:rsidR="001529CF" w:rsidRDefault="001529CF">
      <w:pPr>
        <w:pStyle w:val="LO-normal"/>
        <w:jc w:val="both"/>
      </w:pPr>
    </w:p>
    <w:p w14:paraId="4F2512CC" w14:textId="191D316E" w:rsidR="00CB3381" w:rsidRDefault="00492337">
      <w:pPr>
        <w:pStyle w:val="LO-normal"/>
        <w:jc w:val="both"/>
      </w:pPr>
      <w:r>
        <w:t xml:space="preserve">A key problem has been understanding the link between AMP aggregation and its ability to penetrate membranes, and associated events such as pore formation. Computational studies are unique here as they can be used to study varying parameters and conditions that would be impossible to control in a laboratory, such as the exact number of peptides that can interact with each other, their charge, the size of the membrane, and so on. This can lead to an atomistic </w:t>
      </w:r>
      <w:r>
        <w:lastRenderedPageBreak/>
        <w:t xml:space="preserve">understanding of what drives aggregation and how it relates to AMP activity. Sengupta </w:t>
      </w:r>
      <w:r>
        <w:rPr>
          <w:i/>
        </w:rPr>
        <w:t>et al.</w:t>
      </w:r>
      <w:r>
        <w:t xml:space="preserve"> established through simulations that for the well-known AMP melittin, aggregation was an important prerequisite for pore formation</w:t>
      </w:r>
      <w:r w:rsidR="005D09E3">
        <w:fldChar w:fldCharType="begin" w:fldLock="1"/>
      </w:r>
      <w:r w:rsidR="00576689">
        <w:instrText>ADDIN CSL_CITATION {"citationItems":[{"id":"ITEM-1","itemData":{"DOI":"10.1016/j.bbamem.2008.06.007","ISSN":"00052736","PMID":"18602889","abstract":"A large variety of antimicrobial peptides have been shown to act, at least in vitro, by poration of the lipid membrane. The nanometre size of these pores, however, complicates their structural characterization by experimental techniques. Here we use molecular dynamics simulations, to study the interaction of a specific class of antimicrobial peptides, melittin, with a dipalmitoylphosphatidylcholine bilayer in atomic detail. We show that transmembrane pores spontaneously form above a critical peptide to lipid ratio. The lipid molecules bend inwards to form a toroidally shaped pore but with only one or two peptides lining the pore. This is in strong contrast to the traditional models of toroidal pores in which the peptides are assumed to adopt a transmembrane orientation. We find that peptide aggregation, either prior or after binding to the membrane surface, is a prerequisite to pore formation. The presence of a stable helical secondary structure of the peptide, however is not. Furthermore, results obtained with modified peptides point to the importance of electrostatic interactions in the poration process. Removing the charges of the basic amino-acid residues of melittin prevents pore formation. It was also found that in the absence of counter ions pores not only form more rapidly but lead to membrane rupture. The rupture process occurs via a novel recursive poration pathway, which we coin the Droste mechanism. © 2008 Elsevier B.V. All rights reserved.","author":[{"dropping-particle":"","family":"Sengupta","given":"Durba","non-dropping-particle":"","parse-names":false,"suffix":""},{"dropping-particle":"","family":"Leontiadou","given":"Hari","non-dropping-particle":"","parse-names":false,"suffix":""},{"dropping-particle":"","family":"Mark","given":"Alan E.","non-dropping-particle":"","parse-names":false,"suffix":""},{"dropping-particle":"","family":"Marrink","given":"Siewert Jan","non-dropping-particle":"","parse-names":false,"suffix":""}],"container-title":"Biochimica et Biophysica Acta - Biomembranes","id":"ITEM-1","issue":"10","issued":{"date-parts":[["2008","10","1"]]},"page":"2308-2317","publisher":"Elsevier","title":"Toroidal pores formed by antimicrobial peptides show significant disorder","type":"article-journal","volume":"1778"},"uris":["http://www.mendeley.com/documents/?uuid=d8eaf61d-0d51-308e-9218-6b2f63d150ad"]}],"mendeley":{"formattedCitation":"&lt;sup&gt;225&lt;/sup&gt;","plainTextFormattedCitation":"225","previouslyFormattedCitation":"&lt;sup&gt;225&lt;/sup&gt;"},"properties":{"noteIndex":0},"schema":"https://github.com/citation-style-language/schema/raw/master/csl-citation.json"}</w:instrText>
      </w:r>
      <w:r w:rsidR="005D09E3">
        <w:fldChar w:fldCharType="separate"/>
      </w:r>
      <w:r w:rsidR="00A313B9" w:rsidRPr="00A313B9">
        <w:rPr>
          <w:noProof/>
          <w:vertAlign w:val="superscript"/>
        </w:rPr>
        <w:t>225</w:t>
      </w:r>
      <w:r w:rsidR="005D09E3">
        <w:fldChar w:fldCharType="end"/>
      </w:r>
      <w:r>
        <w:t>. It was previously reported that a stable helical secondary structure is the conformation with which melittin binds to membranes</w:t>
      </w:r>
      <w:r w:rsidR="005D09E3">
        <w:fldChar w:fldCharType="begin" w:fldLock="1"/>
      </w:r>
      <w:r w:rsidR="00576689">
        <w:instrText>ADDIN CSL_CITATION {"citationItems":[{"id":"ITEM-1","itemData":{"DOI":"10.1016/S0006-3495(00)76784-1","ISSN":"00063495","PMID":"10777736","abstract":"The conformation and dynamics of melittin bound to the dimyristoylphosphatidylcholine (DMPC) bilayer and the magnetic orientation in the lipid bilayer systems were investigated by solid-state 31p and 13C NMR spectroscopy. Using 31P NMR, it was found that melittin-lipid bilayers form magnetically oriented elongated vesicles with the long axis parallel to the magnetic field above the liquid crystalline-gel phase transition temperature (T(m) = 24°C). The conformation, orientation, and dynamics of melittin bound to the membrane were further determined by using this magnetically oriented lipid bilayer system. For this purpose, the 13C NMR spectra of site-specifically 13C-labeled melittin bound to the membrane in the static, fast magic angle spinning (MAS) and slow MAS conditions were measured. Subsequently, we analyzed the 13C chemical shift tensors of carbonyl carbons in the peptide backbone under the conditions where they form an α-helix and reorient rapidly about the average helical axis. Finally, it was found that melittin adopts a transmembrane α-helix whose average axis is parallel to the bilayer normal. The kink angle between the N- and C-terminal helical rods of melittin in the lipid bilayer is ~140°or ~160°, which is larger than the value of 120°determined by x-ray diffraction studies. Pore formation was clearly observed below the T(m) in the initial stage of lysis by microscope. This is considered to be caused by the association of melittin molecules in the lipid bilayer.","author":[{"dropping-particle":"","family":"Naito","given":"Akira","non-dropping-particle":"","parse-names":false,"suffix":""},{"dropping-particle":"","family":"Nagao","given":"Takashi","non-dropping-particle":"","parse-names":false,"suffix":""},{"dropping-particle":"","family":"Norisada","given":"Kazushi","non-dropping-particle":"","parse-names":false,"suffix":""},{"dropping-particle":"","family":"Mizuno","given":"Takashi","non-dropping-particle":"","parse-names":false,"suffix":""},{"dropping-particle":"","family":"Tuzi","given":"Satoru","non-dropping-particle":"","parse-names":false,"suffix":""},{"dropping-particle":"","family":"Saitô","given":"Hazime","non-dropping-particle":"","parse-names":false,"suffix":""}],"container-title":"Biophysical Journal","id":"ITEM-1","issue":"5","issued":{"date-parts":[["2000","5","1"]]},"page":"2405-2417","publisher":"Biophysical Society","title":"Conformation and dynamics of melittin bound to magnetically oriented lipid bilayers by solid-state 31P and 13C NMR spectroscopy","type":"article-journal","volume":"78"},"uris":["http://www.mendeley.com/documents/?uuid=fd11c0c3-6566-3fea-8962-e20a9c9d5801"]}],"mendeley":{"formattedCitation":"&lt;sup&gt;263&lt;/sup&gt;","plainTextFormattedCitation":"263","previouslyFormattedCitation":"&lt;sup&gt;263&lt;/sup&gt;"},"properties":{"noteIndex":0},"schema":"https://github.com/citation-style-language/schema/raw/master/csl-citation.json"}</w:instrText>
      </w:r>
      <w:r w:rsidR="005D09E3">
        <w:fldChar w:fldCharType="separate"/>
      </w:r>
      <w:r w:rsidR="00A313B9" w:rsidRPr="00A313B9">
        <w:rPr>
          <w:noProof/>
          <w:vertAlign w:val="superscript"/>
        </w:rPr>
        <w:t>263</w:t>
      </w:r>
      <w:r w:rsidR="005D09E3">
        <w:fldChar w:fldCharType="end"/>
      </w:r>
      <w:r>
        <w:t xml:space="preserve">, but this study suggested that such a structure is not required for pore formation, and in fact it might not be necessary for antimicrobial activity. Instead, the simulations propose that an increase in local concentration caused by aggregation enhanced the propensity to form pores in the membrane. A similar simulation study by Woo </w:t>
      </w:r>
      <w:r>
        <w:rPr>
          <w:i/>
        </w:rPr>
        <w:t>et al.</w:t>
      </w:r>
      <w:r>
        <w:t xml:space="preserve"> also reached the conclusion that melittin and its mutants form pores through aggregation</w:t>
      </w:r>
      <w:r w:rsidR="005D09E3">
        <w:fldChar w:fldCharType="begin" w:fldLock="1"/>
      </w:r>
      <w:r w:rsidR="00576689">
        <w:instrText>ADDIN CSL_CITATION {"citationItems":[{"id":"ITEM-1","itemData":{"DOI":"10.1039/c6cp06834k","ISSN":"14639076","PMID":"28232995","abstract":"Melittin and its analogue MelP5 (five mutations T10A, R22A, K23A, R24Q, and Q26L of melittin) were simulated with lipid bilayers at different peptide/lipid molar ratios using all-atom and coarse-grained (CG) force fields. In CG simulations, both melittin and MelP5 insert into the bilayer at high concentration, while at low concentration only MelP5 can do so, showing the increased membrane permeability of MelP5 because five mutations weaken the electrostatic repulsion between peptides and strengthen the hydrophobic interactions between peptides and lipid tails, in quantitative agreement with experiments. In particular, aggregation of 6-8 MelP5 leads to pore formation, as also suggested by experiments. All-atom simulations, starting with atomic coordinates converted from the final configurations of CG simulations, show that MelP5 peptides bring more water molecules into the pores than do melittin peptides, indicating that MelP5 peptides form larger pores. Also, MelP5 peptides more effectively disorder lipids and thus increase the lateral mobility of lipids than do melittin peptides, leading to thinner bilayers. These findings indicate that differences of only five sequences can influence peptide aggregation and insertion, and bilayer thickness and dynamics, which helps explain experimental observations of the higher extent of antimicrobial activity and macromolecular leakage for MelP5 than for melittin, and also support experimental suggestions regarding the number of aggregated MelP5 and different effects of melittin and MelP5 on pore formation.","author":[{"dropping-particle":"","family":"Woo","given":"Sun Young","non-dropping-particle":"","parse-names":false,"suffix":""},{"dropping-particle":"","family":"Lee","given":"Hwankyu","non-dropping-particle":"","parse-names":false,"suffix":""}],"container-title":"Physical Chemistry Chemical Physics","id":"ITEM-1","issue":"10","issued":{"date-parts":[["2017","3","8"]]},"page":"7195-7203","publisher":"Royal Society of Chemistry","title":"Aggregation and insertion of melittin and its analogue MelP5 into lipid bilayers at different concentrations: Effects on pore size, bilayer thickness and dynamics","type":"article-journal","volume":"19"},"uris":["http://www.mendeley.com/documents/?uuid=c9080397-d96b-3c18-af47-75a530135025"]}],"mendeley":{"formattedCitation":"&lt;sup&gt;264&lt;/sup&gt;","plainTextFormattedCitation":"264","previouslyFormattedCitation":"&lt;sup&gt;264&lt;/sup&gt;"},"properties":{"noteIndex":0},"schema":"https://github.com/citation-style-language/schema/raw/master/csl-citation.json"}</w:instrText>
      </w:r>
      <w:r w:rsidR="005D09E3">
        <w:fldChar w:fldCharType="separate"/>
      </w:r>
      <w:r w:rsidR="00A313B9" w:rsidRPr="00A313B9">
        <w:rPr>
          <w:noProof/>
          <w:vertAlign w:val="superscript"/>
        </w:rPr>
        <w:t>264</w:t>
      </w:r>
      <w:r w:rsidR="005D09E3">
        <w:fldChar w:fldCharType="end"/>
      </w:r>
      <w:r>
        <w:t xml:space="preserve">. Likewise, Han </w:t>
      </w:r>
      <w:r>
        <w:rPr>
          <w:i/>
        </w:rPr>
        <w:t>et al.</w:t>
      </w:r>
      <w:r>
        <w:t xml:space="preserve"> used simulations to investigate how two different AMPs, PGLa and magainin 2, synergistically aggregate together to penetrate bilayers</w:t>
      </w:r>
      <w:r w:rsidR="005D09E3">
        <w:fldChar w:fldCharType="begin" w:fldLock="1"/>
      </w:r>
      <w:r w:rsidR="00576689">
        <w:instrText>ADDIN CSL_CITATION {"citationItems":[{"id":"ITEM-1","itemData":{"DOI":"10.1039/c4ra08480b","ISSN":"20462069","abstract":"We performed coarse-grained molecular dynamics simulations of antimicrobial peptides PGLa and magainin 2 in lipid bilayers. PGLa peptides or mixtures of PGLa and magainin 2 were initially widely spaced or clustered above the bilayer surface with different heterodimeric orientations (parallel or antiparallel). Simulations show that the presence of magainin 2 promotes more tilting and insertion of PGLa into the bilayer, indicating the synergistic effect. Magainin 2 interact with lipid headgroups and thus stay horizontally on the bilayer surface, while PGLa insert into the bilayer, leading to more tilted conformation, in agreement with recent NMR experiments. In particular, for the systems with the initially antiparallel-oriented heterodimers or with the neutrally mutated magainin 2, much fewer parallel heterodimers form, and PGLa peptides are less tilted and inserted, indicating that the formation of parallel heterodimers is important for the PGLa insertion, as suggested in experiments. Peptides aggregate in the mixture of PGLa and magainin 2, but not in the system without magainin 2, indicating that magainin 2 induce the peptide aggregation, which is required for the pore formation. These simulation findings agree with the experimental observations of the heterodimer formation as well as different positions of PGLa and magainin 2 in the bilayer, which seem to conflict. These conflicting results can be explained by the synergistic mechanism that magainin 2 form parallel heterodimers with PGLa and induce the aggregation of heterodimers, leading to the formation of pores, where magainin 2 tend to interact with the bilayer surface, while PGLa are tilted and inserted into the hydrophobic region of the bilayer. This journal is","author":[{"dropping-particle":"","family":"Han","given":"Eol","non-dropping-particle":"","parse-names":false,"suffix":""},{"dropping-particle":"","family":"Lee","given":"Hwankyu","non-dropping-particle":"","parse-names":false,"suffix":""}],"container-title":"RSC Advances","id":"ITEM-1","issue":"3","issued":{"date-parts":[["2015","12","3"]]},"page":"2047-2055","publisher":"Royal Society of Chemistry","title":"Synergistic effects of magainin 2 and PGLa on their heterodimer formation, aggregation, and insertion into the bilayer","type":"article-journal","volume":"5"},"uris":["http://www.mendeley.com/documents/?uuid=f24a981e-b018-389b-bcbd-c9095f983276"]}],"mendeley":{"formattedCitation":"&lt;sup&gt;228&lt;/sup&gt;","plainTextFormattedCitation":"228","previouslyFormattedCitation":"&lt;sup&gt;228&lt;/sup&gt;"},"properties":{"noteIndex":0},"schema":"https://github.com/citation-style-language/schema/raw/master/csl-citation.json"}</w:instrText>
      </w:r>
      <w:r w:rsidR="005D09E3">
        <w:fldChar w:fldCharType="separate"/>
      </w:r>
      <w:r w:rsidR="00A313B9" w:rsidRPr="00A313B9">
        <w:rPr>
          <w:noProof/>
          <w:vertAlign w:val="superscript"/>
        </w:rPr>
        <w:t>228</w:t>
      </w:r>
      <w:r w:rsidR="005D09E3">
        <w:fldChar w:fldCharType="end"/>
      </w:r>
      <w:r>
        <w:t xml:space="preserve">. </w:t>
      </w:r>
    </w:p>
    <w:p w14:paraId="5C4F0B3A" w14:textId="27A9076C" w:rsidR="00CB3381" w:rsidRDefault="00AF6AE8">
      <w:pPr>
        <w:pStyle w:val="LO-normal"/>
        <w:jc w:val="both"/>
      </w:pPr>
      <w:r>
        <w:rPr>
          <w:noProof/>
          <w:lang w:val="en-SG" w:eastAsia="en-SG" w:bidi="ar-SA"/>
        </w:rPr>
        <mc:AlternateContent>
          <mc:Choice Requires="wpg">
            <w:drawing>
              <wp:anchor distT="0" distB="0" distL="114300" distR="114300" simplePos="0" relativeHeight="251772928" behindDoc="0" locked="0" layoutInCell="1" allowOverlap="1" wp14:anchorId="2F7FE1F1" wp14:editId="162BA288">
                <wp:simplePos x="0" y="0"/>
                <wp:positionH relativeFrom="margin">
                  <wp:align>right</wp:align>
                </wp:positionH>
                <wp:positionV relativeFrom="paragraph">
                  <wp:posOffset>16510</wp:posOffset>
                </wp:positionV>
                <wp:extent cx="5857875" cy="3981450"/>
                <wp:effectExtent l="0" t="0" r="28575" b="57150"/>
                <wp:wrapNone/>
                <wp:docPr id="38" name="Group 38"/>
                <wp:cNvGraphicFramePr/>
                <a:graphic xmlns:a="http://schemas.openxmlformats.org/drawingml/2006/main">
                  <a:graphicData uri="http://schemas.microsoft.com/office/word/2010/wordprocessingGroup">
                    <wpg:wgp>
                      <wpg:cNvGrpSpPr/>
                      <wpg:grpSpPr>
                        <a:xfrm>
                          <a:off x="0" y="0"/>
                          <a:ext cx="5857875" cy="3981450"/>
                          <a:chOff x="0" y="0"/>
                          <a:chExt cx="5857875" cy="3981450"/>
                        </a:xfrm>
                      </wpg:grpSpPr>
                      <wps:wsp>
                        <wps:cNvPr id="6" name="Oval 6"/>
                        <wps:cNvSpPr/>
                        <wps:spPr>
                          <a:xfrm>
                            <a:off x="2152650" y="2162175"/>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 name="Group 43"/>
                        <wpg:cNvGrpSpPr/>
                        <wpg:grpSpPr>
                          <a:xfrm>
                            <a:off x="3705225" y="38100"/>
                            <a:ext cx="1209675" cy="1143000"/>
                            <a:chOff x="0" y="0"/>
                            <a:chExt cx="1209675" cy="1143000"/>
                          </a:xfrm>
                        </wpg:grpSpPr>
                        <wps:wsp>
                          <wps:cNvPr id="29" name="Oval 29"/>
                          <wps:cNvSpPr/>
                          <wps:spPr>
                            <a:xfrm rot="17523203">
                              <a:off x="461963" y="100013"/>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rot="20145216">
                              <a:off x="704850" y="276226"/>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rot="2901420">
                              <a:off x="114300" y="171451"/>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781050" y="533401"/>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rot="219716">
                              <a:off x="0" y="457201"/>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rot="14831292">
                              <a:off x="528638" y="814388"/>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rot="18499946">
                              <a:off x="180975" y="752476"/>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 name="Group 58"/>
                        <wpg:cNvGrpSpPr/>
                        <wpg:grpSpPr>
                          <a:xfrm>
                            <a:off x="1514475" y="247650"/>
                            <a:ext cx="581025" cy="438150"/>
                            <a:chOff x="0" y="0"/>
                            <a:chExt cx="581025" cy="438150"/>
                          </a:xfrm>
                        </wpg:grpSpPr>
                        <wps:wsp>
                          <wps:cNvPr id="24" name="Oval 24"/>
                          <wps:cNvSpPr/>
                          <wps:spPr>
                            <a:xfrm>
                              <a:off x="152400" y="104775"/>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85725" y="209550"/>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76200" y="0"/>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0" y="114300"/>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 name="Group 57"/>
                        <wpg:cNvGrpSpPr/>
                        <wpg:grpSpPr>
                          <a:xfrm>
                            <a:off x="361950" y="1428750"/>
                            <a:ext cx="428625" cy="352425"/>
                            <a:chOff x="0" y="0"/>
                            <a:chExt cx="428625" cy="352425"/>
                          </a:xfrm>
                        </wpg:grpSpPr>
                        <wps:wsp>
                          <wps:cNvPr id="8" name="Oval 8"/>
                          <wps:cNvSpPr/>
                          <wps:spPr>
                            <a:xfrm>
                              <a:off x="0" y="0"/>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0" y="123825"/>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 name="Group 59"/>
                        <wpg:cNvGrpSpPr/>
                        <wpg:grpSpPr>
                          <a:xfrm>
                            <a:off x="3857625" y="2076450"/>
                            <a:ext cx="2000250" cy="314325"/>
                            <a:chOff x="0" y="0"/>
                            <a:chExt cx="2000250" cy="314325"/>
                          </a:xfrm>
                        </wpg:grpSpPr>
                        <wps:wsp>
                          <wps:cNvPr id="34" name="Oval 34"/>
                          <wps:cNvSpPr/>
                          <wps:spPr>
                            <a:xfrm>
                              <a:off x="247650" y="0"/>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44"/>
                          <wps:cNvSpPr/>
                          <wps:spPr>
                            <a:xfrm>
                              <a:off x="0" y="76200"/>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Oval 45"/>
                          <wps:cNvSpPr/>
                          <wps:spPr>
                            <a:xfrm>
                              <a:off x="685800" y="9525"/>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438150" y="85725"/>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1133475" y="9525"/>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Oval 48"/>
                          <wps:cNvSpPr/>
                          <wps:spPr>
                            <a:xfrm>
                              <a:off x="885825" y="85725"/>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 49"/>
                          <wps:cNvSpPr/>
                          <wps:spPr>
                            <a:xfrm>
                              <a:off x="1571625" y="9525"/>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 50"/>
                          <wps:cNvSpPr/>
                          <wps:spPr>
                            <a:xfrm>
                              <a:off x="1323975" y="76200"/>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9" name="Straight Arrow Connector 99"/>
                        <wps:cNvCnPr/>
                        <wps:spPr>
                          <a:xfrm flipH="1" flipV="1">
                            <a:off x="1943100" y="752475"/>
                            <a:ext cx="409575" cy="133350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0" name="Straight Arrow Connector 100"/>
                        <wps:cNvCnPr/>
                        <wps:spPr>
                          <a:xfrm flipV="1">
                            <a:off x="2571750" y="1123950"/>
                            <a:ext cx="1314450" cy="99060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 name="Straight Arrow Connector 98"/>
                        <wps:cNvCnPr/>
                        <wps:spPr>
                          <a:xfrm flipH="1" flipV="1">
                            <a:off x="942975" y="1714500"/>
                            <a:ext cx="1066800" cy="466725"/>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 name="Text Box 2"/>
                        <wps:cNvSpPr txBox="1">
                          <a:spLocks noChangeArrowheads="1"/>
                        </wps:cNvSpPr>
                        <wps:spPr bwMode="auto">
                          <a:xfrm>
                            <a:off x="1428750" y="0"/>
                            <a:ext cx="819150" cy="285115"/>
                          </a:xfrm>
                          <a:prstGeom prst="rect">
                            <a:avLst/>
                          </a:prstGeom>
                          <a:noFill/>
                          <a:ln w="9525">
                            <a:noFill/>
                            <a:miter lim="800000"/>
                            <a:headEnd/>
                            <a:tailEnd/>
                          </a:ln>
                        </wps:spPr>
                        <wps:txbx>
                          <w:txbxContent>
                            <w:p w14:paraId="19EB59EE" w14:textId="4732E4C4" w:rsidR="00C44087" w:rsidRPr="00D53A98" w:rsidRDefault="00C44087" w:rsidP="00E37C68">
                              <w:pPr>
                                <w:rPr>
                                  <w:lang w:val="en-US"/>
                                </w:rPr>
                              </w:pPr>
                              <w:r>
                                <w:rPr>
                                  <w:lang w:val="en-US"/>
                                </w:rPr>
                                <w:t>Oligomer</w:t>
                              </w:r>
                            </w:p>
                          </w:txbxContent>
                        </wps:txbx>
                        <wps:bodyPr rot="0" vert="horz" wrap="square" lIns="91440" tIns="45720" rIns="91440" bIns="45720" anchor="t" anchorCtr="0">
                          <a:spAutoFit/>
                        </wps:bodyPr>
                      </wps:wsp>
                      <wps:wsp>
                        <wps:cNvPr id="104" name="Text Box 2"/>
                        <wps:cNvSpPr txBox="1">
                          <a:spLocks noChangeArrowheads="1"/>
                        </wps:cNvSpPr>
                        <wps:spPr bwMode="auto">
                          <a:xfrm>
                            <a:off x="4895850" y="333375"/>
                            <a:ext cx="752475" cy="285115"/>
                          </a:xfrm>
                          <a:prstGeom prst="rect">
                            <a:avLst/>
                          </a:prstGeom>
                          <a:noFill/>
                          <a:ln w="9525">
                            <a:noFill/>
                            <a:miter lim="800000"/>
                            <a:headEnd/>
                            <a:tailEnd/>
                          </a:ln>
                        </wps:spPr>
                        <wps:txbx>
                          <w:txbxContent>
                            <w:p w14:paraId="483659B5" w14:textId="788F7882" w:rsidR="00C44087" w:rsidRPr="00D53A98" w:rsidRDefault="00C44087" w:rsidP="00E37C68">
                              <w:pPr>
                                <w:rPr>
                                  <w:lang w:val="en-US"/>
                                </w:rPr>
                              </w:pPr>
                              <w:r>
                                <w:rPr>
                                  <w:lang w:val="en-US"/>
                                </w:rPr>
                                <w:t>Vesicle</w:t>
                              </w:r>
                            </w:p>
                          </w:txbxContent>
                        </wps:txbx>
                        <wps:bodyPr rot="0" vert="horz" wrap="square" lIns="91440" tIns="45720" rIns="91440" bIns="45720" anchor="t" anchorCtr="0">
                          <a:spAutoFit/>
                        </wps:bodyPr>
                      </wps:wsp>
                      <wps:wsp>
                        <wps:cNvPr id="217" name="Text Box 2"/>
                        <wps:cNvSpPr txBox="1">
                          <a:spLocks noChangeArrowheads="1"/>
                        </wps:cNvSpPr>
                        <wps:spPr bwMode="auto">
                          <a:xfrm>
                            <a:off x="0" y="1162050"/>
                            <a:ext cx="1266825" cy="285115"/>
                          </a:xfrm>
                          <a:prstGeom prst="rect">
                            <a:avLst/>
                          </a:prstGeom>
                          <a:noFill/>
                          <a:ln w="9525">
                            <a:noFill/>
                            <a:miter lim="800000"/>
                            <a:headEnd/>
                            <a:tailEnd/>
                          </a:ln>
                        </wps:spPr>
                        <wps:txbx>
                          <w:txbxContent>
                            <w:p w14:paraId="65C7F398" w14:textId="5E702089" w:rsidR="00C44087" w:rsidRDefault="00C44087">
                              <w:r>
                                <w:t>Covalent dimer</w:t>
                              </w:r>
                            </w:p>
                          </w:txbxContent>
                        </wps:txbx>
                        <wps:bodyPr rot="0" vert="horz" wrap="square" lIns="91440" tIns="45720" rIns="91440" bIns="45720" anchor="t" anchorCtr="0">
                          <a:spAutoFit/>
                        </wps:bodyPr>
                      </wps:wsp>
                      <wps:wsp>
                        <wps:cNvPr id="105" name="Text Box 2"/>
                        <wps:cNvSpPr txBox="1">
                          <a:spLocks noChangeArrowheads="1"/>
                        </wps:cNvSpPr>
                        <wps:spPr bwMode="auto">
                          <a:xfrm>
                            <a:off x="4514850" y="1857375"/>
                            <a:ext cx="638175" cy="285115"/>
                          </a:xfrm>
                          <a:prstGeom prst="rect">
                            <a:avLst/>
                          </a:prstGeom>
                          <a:noFill/>
                          <a:ln w="9525">
                            <a:noFill/>
                            <a:miter lim="800000"/>
                            <a:headEnd/>
                            <a:tailEnd/>
                          </a:ln>
                        </wps:spPr>
                        <wps:txbx>
                          <w:txbxContent>
                            <w:p w14:paraId="30215422" w14:textId="46FD851C" w:rsidR="00C44087" w:rsidRPr="00D53A98" w:rsidRDefault="00C44087" w:rsidP="00E37C68">
                              <w:pPr>
                                <w:rPr>
                                  <w:lang w:val="en-US"/>
                                </w:rPr>
                              </w:pPr>
                              <w:r>
                                <w:rPr>
                                  <w:lang w:val="en-US"/>
                                </w:rPr>
                                <w:t>Fibril</w:t>
                              </w:r>
                            </w:p>
                          </w:txbxContent>
                        </wps:txbx>
                        <wps:bodyPr rot="0" vert="horz" wrap="square" lIns="91440" tIns="45720" rIns="91440" bIns="45720" anchor="t" anchorCtr="0">
                          <a:spAutoFit/>
                        </wps:bodyPr>
                      </wps:wsp>
                      <wps:wsp>
                        <wps:cNvPr id="97" name="Straight Arrow Connector 97"/>
                        <wps:cNvCnPr/>
                        <wps:spPr>
                          <a:xfrm flipH="1">
                            <a:off x="1619250" y="2362200"/>
                            <a:ext cx="495300" cy="561975"/>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80" name="Group 80"/>
                        <wpg:cNvGrpSpPr/>
                        <wpg:grpSpPr>
                          <a:xfrm>
                            <a:off x="85725" y="2905125"/>
                            <a:ext cx="1638300" cy="600075"/>
                            <a:chOff x="0" y="0"/>
                            <a:chExt cx="1638300" cy="600075"/>
                          </a:xfrm>
                        </wpg:grpSpPr>
                        <wps:wsp>
                          <wps:cNvPr id="62" name="Oval 62"/>
                          <wps:cNvSpPr/>
                          <wps:spPr>
                            <a:xfrm>
                              <a:off x="171450" y="0"/>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171450" y="352425"/>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0" y="171450"/>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457200" y="9525"/>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l 66"/>
                          <wps:cNvSpPr/>
                          <wps:spPr>
                            <a:xfrm>
                              <a:off x="457200" y="361950"/>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Oval 67"/>
                          <wps:cNvSpPr/>
                          <wps:spPr>
                            <a:xfrm>
                              <a:off x="285750" y="180975"/>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Oval 69"/>
                          <wps:cNvSpPr/>
                          <wps:spPr>
                            <a:xfrm>
                              <a:off x="733425" y="19050"/>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Oval 70"/>
                          <wps:cNvSpPr/>
                          <wps:spPr>
                            <a:xfrm>
                              <a:off x="733425" y="361950"/>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Oval 71"/>
                          <wps:cNvSpPr/>
                          <wps:spPr>
                            <a:xfrm>
                              <a:off x="561975" y="190500"/>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Oval 76"/>
                          <wps:cNvSpPr/>
                          <wps:spPr>
                            <a:xfrm>
                              <a:off x="1209675" y="190500"/>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Oval 77"/>
                          <wps:cNvSpPr/>
                          <wps:spPr>
                            <a:xfrm>
                              <a:off x="1000125" y="28575"/>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Oval 78"/>
                          <wps:cNvSpPr/>
                          <wps:spPr>
                            <a:xfrm>
                              <a:off x="1000125" y="371475"/>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Oval 79"/>
                          <wps:cNvSpPr/>
                          <wps:spPr>
                            <a:xfrm>
                              <a:off x="828675" y="200025"/>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 name="Group 96"/>
                        <wpg:cNvGrpSpPr/>
                        <wpg:grpSpPr>
                          <a:xfrm>
                            <a:off x="3362325" y="3400425"/>
                            <a:ext cx="1076325" cy="581025"/>
                            <a:chOff x="0" y="0"/>
                            <a:chExt cx="1076325" cy="581025"/>
                          </a:xfrm>
                        </wpg:grpSpPr>
                        <wps:wsp>
                          <wps:cNvPr id="95" name="Oval 95"/>
                          <wps:cNvSpPr/>
                          <wps:spPr>
                            <a:xfrm>
                              <a:off x="619125" y="257175"/>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1" name="Group 91"/>
                          <wpg:cNvGrpSpPr/>
                          <wpg:grpSpPr>
                            <a:xfrm>
                              <a:off x="133350" y="0"/>
                              <a:ext cx="457200" cy="485775"/>
                              <a:chOff x="0" y="0"/>
                              <a:chExt cx="457200" cy="485775"/>
                            </a:xfrm>
                          </wpg:grpSpPr>
                          <wps:wsp>
                            <wps:cNvPr id="84" name="Hexagon 84"/>
                            <wps:cNvSpPr/>
                            <wps:spPr>
                              <a:xfrm rot="1593901">
                                <a:off x="180975" y="0"/>
                                <a:ext cx="276225" cy="200025"/>
                              </a:xfrm>
                              <a:prstGeom prst="hexagon">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Freeform 85"/>
                            <wps:cNvSpPr/>
                            <wps:spPr>
                              <a:xfrm>
                                <a:off x="0" y="219075"/>
                                <a:ext cx="419100" cy="266700"/>
                              </a:xfrm>
                              <a:custGeom>
                                <a:avLst/>
                                <a:gdLst>
                                  <a:gd name="connsiteX0" fmla="*/ 333375 w 419100"/>
                                  <a:gd name="connsiteY0" fmla="*/ 0 h 266700"/>
                                  <a:gd name="connsiteX1" fmla="*/ 381000 w 419100"/>
                                  <a:gd name="connsiteY1" fmla="*/ 19050 h 266700"/>
                                  <a:gd name="connsiteX2" fmla="*/ 390525 w 419100"/>
                                  <a:gd name="connsiteY2" fmla="*/ 47625 h 266700"/>
                                  <a:gd name="connsiteX3" fmla="*/ 419100 w 419100"/>
                                  <a:gd name="connsiteY3" fmla="*/ 104775 h 266700"/>
                                  <a:gd name="connsiteX4" fmla="*/ 390525 w 419100"/>
                                  <a:gd name="connsiteY4" fmla="*/ 238125 h 266700"/>
                                  <a:gd name="connsiteX5" fmla="*/ 361950 w 419100"/>
                                  <a:gd name="connsiteY5" fmla="*/ 257175 h 266700"/>
                                  <a:gd name="connsiteX6" fmla="*/ 333375 w 419100"/>
                                  <a:gd name="connsiteY6" fmla="*/ 266700 h 266700"/>
                                  <a:gd name="connsiteX7" fmla="*/ 133350 w 419100"/>
                                  <a:gd name="connsiteY7" fmla="*/ 257175 h 266700"/>
                                  <a:gd name="connsiteX8" fmla="*/ 47625 w 419100"/>
                                  <a:gd name="connsiteY8" fmla="*/ 219075 h 266700"/>
                                  <a:gd name="connsiteX9" fmla="*/ 19050 w 419100"/>
                                  <a:gd name="connsiteY9" fmla="*/ 209550 h 266700"/>
                                  <a:gd name="connsiteX10" fmla="*/ 0 w 419100"/>
                                  <a:gd name="connsiteY10" fmla="*/ 180975 h 266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19100" h="266700">
                                    <a:moveTo>
                                      <a:pt x="333375" y="0"/>
                                    </a:moveTo>
                                    <a:cubicBezTo>
                                      <a:pt x="349250" y="6350"/>
                                      <a:pt x="367865" y="8104"/>
                                      <a:pt x="381000" y="19050"/>
                                    </a:cubicBezTo>
                                    <a:cubicBezTo>
                                      <a:pt x="388713" y="25478"/>
                                      <a:pt x="386035" y="38645"/>
                                      <a:pt x="390525" y="47625"/>
                                    </a:cubicBezTo>
                                    <a:cubicBezTo>
                                      <a:pt x="427454" y="121483"/>
                                      <a:pt x="395159" y="32951"/>
                                      <a:pt x="419100" y="104775"/>
                                    </a:cubicBezTo>
                                    <a:cubicBezTo>
                                      <a:pt x="414436" y="156078"/>
                                      <a:pt x="427103" y="201547"/>
                                      <a:pt x="390525" y="238125"/>
                                    </a:cubicBezTo>
                                    <a:cubicBezTo>
                                      <a:pt x="382430" y="246220"/>
                                      <a:pt x="372189" y="252055"/>
                                      <a:pt x="361950" y="257175"/>
                                    </a:cubicBezTo>
                                    <a:cubicBezTo>
                                      <a:pt x="352970" y="261665"/>
                                      <a:pt x="342900" y="263525"/>
                                      <a:pt x="333375" y="266700"/>
                                    </a:cubicBezTo>
                                    <a:cubicBezTo>
                                      <a:pt x="266700" y="263525"/>
                                      <a:pt x="199692" y="264546"/>
                                      <a:pt x="133350" y="257175"/>
                                    </a:cubicBezTo>
                                    <a:cubicBezTo>
                                      <a:pt x="70161" y="250154"/>
                                      <a:pt x="90160" y="240342"/>
                                      <a:pt x="47625" y="219075"/>
                                    </a:cubicBezTo>
                                    <a:cubicBezTo>
                                      <a:pt x="38645" y="214585"/>
                                      <a:pt x="28575" y="212725"/>
                                      <a:pt x="19050" y="209550"/>
                                    </a:cubicBezTo>
                                    <a:lnTo>
                                      <a:pt x="0" y="180975"/>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 name="Group 92"/>
                          <wpg:cNvGrpSpPr/>
                          <wpg:grpSpPr>
                            <a:xfrm rot="10225708">
                              <a:off x="619125" y="95250"/>
                              <a:ext cx="457200" cy="485775"/>
                              <a:chOff x="0" y="0"/>
                              <a:chExt cx="457200" cy="485775"/>
                            </a:xfrm>
                          </wpg:grpSpPr>
                          <wps:wsp>
                            <wps:cNvPr id="93" name="Hexagon 93"/>
                            <wps:cNvSpPr/>
                            <wps:spPr>
                              <a:xfrm rot="1593901">
                                <a:off x="180975" y="0"/>
                                <a:ext cx="276225" cy="200025"/>
                              </a:xfrm>
                              <a:prstGeom prst="hexagon">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Freeform 94"/>
                            <wps:cNvSpPr/>
                            <wps:spPr>
                              <a:xfrm>
                                <a:off x="0" y="219075"/>
                                <a:ext cx="419100" cy="266700"/>
                              </a:xfrm>
                              <a:custGeom>
                                <a:avLst/>
                                <a:gdLst>
                                  <a:gd name="connsiteX0" fmla="*/ 333375 w 419100"/>
                                  <a:gd name="connsiteY0" fmla="*/ 0 h 266700"/>
                                  <a:gd name="connsiteX1" fmla="*/ 381000 w 419100"/>
                                  <a:gd name="connsiteY1" fmla="*/ 19050 h 266700"/>
                                  <a:gd name="connsiteX2" fmla="*/ 390525 w 419100"/>
                                  <a:gd name="connsiteY2" fmla="*/ 47625 h 266700"/>
                                  <a:gd name="connsiteX3" fmla="*/ 419100 w 419100"/>
                                  <a:gd name="connsiteY3" fmla="*/ 104775 h 266700"/>
                                  <a:gd name="connsiteX4" fmla="*/ 390525 w 419100"/>
                                  <a:gd name="connsiteY4" fmla="*/ 238125 h 266700"/>
                                  <a:gd name="connsiteX5" fmla="*/ 361950 w 419100"/>
                                  <a:gd name="connsiteY5" fmla="*/ 257175 h 266700"/>
                                  <a:gd name="connsiteX6" fmla="*/ 333375 w 419100"/>
                                  <a:gd name="connsiteY6" fmla="*/ 266700 h 266700"/>
                                  <a:gd name="connsiteX7" fmla="*/ 133350 w 419100"/>
                                  <a:gd name="connsiteY7" fmla="*/ 257175 h 266700"/>
                                  <a:gd name="connsiteX8" fmla="*/ 47625 w 419100"/>
                                  <a:gd name="connsiteY8" fmla="*/ 219075 h 266700"/>
                                  <a:gd name="connsiteX9" fmla="*/ 19050 w 419100"/>
                                  <a:gd name="connsiteY9" fmla="*/ 209550 h 266700"/>
                                  <a:gd name="connsiteX10" fmla="*/ 0 w 419100"/>
                                  <a:gd name="connsiteY10" fmla="*/ 180975 h 266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19100" h="266700">
                                    <a:moveTo>
                                      <a:pt x="333375" y="0"/>
                                    </a:moveTo>
                                    <a:cubicBezTo>
                                      <a:pt x="349250" y="6350"/>
                                      <a:pt x="367865" y="8104"/>
                                      <a:pt x="381000" y="19050"/>
                                    </a:cubicBezTo>
                                    <a:cubicBezTo>
                                      <a:pt x="388713" y="25478"/>
                                      <a:pt x="386035" y="38645"/>
                                      <a:pt x="390525" y="47625"/>
                                    </a:cubicBezTo>
                                    <a:cubicBezTo>
                                      <a:pt x="427454" y="121483"/>
                                      <a:pt x="395159" y="32951"/>
                                      <a:pt x="419100" y="104775"/>
                                    </a:cubicBezTo>
                                    <a:cubicBezTo>
                                      <a:pt x="414436" y="156078"/>
                                      <a:pt x="427103" y="201547"/>
                                      <a:pt x="390525" y="238125"/>
                                    </a:cubicBezTo>
                                    <a:cubicBezTo>
                                      <a:pt x="382430" y="246220"/>
                                      <a:pt x="372189" y="252055"/>
                                      <a:pt x="361950" y="257175"/>
                                    </a:cubicBezTo>
                                    <a:cubicBezTo>
                                      <a:pt x="352970" y="261665"/>
                                      <a:pt x="342900" y="263525"/>
                                      <a:pt x="333375" y="266700"/>
                                    </a:cubicBezTo>
                                    <a:cubicBezTo>
                                      <a:pt x="266700" y="263525"/>
                                      <a:pt x="199692" y="264546"/>
                                      <a:pt x="133350" y="257175"/>
                                    </a:cubicBezTo>
                                    <a:cubicBezTo>
                                      <a:pt x="70161" y="250154"/>
                                      <a:pt x="90160" y="240342"/>
                                      <a:pt x="47625" y="219075"/>
                                    </a:cubicBezTo>
                                    <a:cubicBezTo>
                                      <a:pt x="38645" y="214585"/>
                                      <a:pt x="28575" y="212725"/>
                                      <a:pt x="19050" y="209550"/>
                                    </a:cubicBezTo>
                                    <a:lnTo>
                                      <a:pt x="0" y="180975"/>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 name="Oval 81"/>
                          <wps:cNvSpPr/>
                          <wps:spPr>
                            <a:xfrm>
                              <a:off x="0" y="219075"/>
                              <a:ext cx="428625" cy="228600"/>
                            </a:xfrm>
                            <a:prstGeom prst="ellipse">
                              <a:avLst/>
                            </a:prstGeom>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 name="Straight Arrow Connector 101"/>
                        <wps:cNvCnPr/>
                        <wps:spPr>
                          <a:xfrm flipV="1">
                            <a:off x="2667000" y="2266950"/>
                            <a:ext cx="1095375"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 name="Straight Arrow Connector 102"/>
                        <wps:cNvCnPr/>
                        <wps:spPr>
                          <a:xfrm>
                            <a:off x="2638425" y="2447925"/>
                            <a:ext cx="857250" cy="99060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6" name="Text Box 2"/>
                        <wps:cNvSpPr txBox="1">
                          <a:spLocks noChangeArrowheads="1"/>
                        </wps:cNvSpPr>
                        <wps:spPr bwMode="auto">
                          <a:xfrm>
                            <a:off x="409575" y="3562350"/>
                            <a:ext cx="1019175" cy="285115"/>
                          </a:xfrm>
                          <a:prstGeom prst="rect">
                            <a:avLst/>
                          </a:prstGeom>
                          <a:noFill/>
                          <a:ln w="9525">
                            <a:noFill/>
                            <a:miter lim="800000"/>
                            <a:headEnd/>
                            <a:tailEnd/>
                          </a:ln>
                        </wps:spPr>
                        <wps:txbx>
                          <w:txbxContent>
                            <w:p w14:paraId="06E869E7" w14:textId="409A7490" w:rsidR="00C44087" w:rsidRPr="00D53A98" w:rsidRDefault="00C44087" w:rsidP="00E37C68">
                              <w:pPr>
                                <w:rPr>
                                  <w:lang w:val="en-US"/>
                                </w:rPr>
                              </w:pPr>
                              <w:r>
                                <w:rPr>
                                  <w:lang w:val="en-US"/>
                                </w:rPr>
                                <w:t>Nanofibres</w:t>
                              </w:r>
                            </w:p>
                          </w:txbxContent>
                        </wps:txbx>
                        <wps:bodyPr rot="0" vert="horz" wrap="square" lIns="91440" tIns="45720" rIns="91440" bIns="45720" anchor="t" anchorCtr="0">
                          <a:spAutoFit/>
                        </wps:bodyPr>
                      </wps:wsp>
                      <wps:wsp>
                        <wps:cNvPr id="107" name="Text Box 2"/>
                        <wps:cNvSpPr txBox="1">
                          <a:spLocks noChangeArrowheads="1"/>
                        </wps:cNvSpPr>
                        <wps:spPr bwMode="auto">
                          <a:xfrm>
                            <a:off x="4514850" y="3390900"/>
                            <a:ext cx="1343025" cy="469900"/>
                          </a:xfrm>
                          <a:prstGeom prst="rect">
                            <a:avLst/>
                          </a:prstGeom>
                          <a:noFill/>
                          <a:ln w="9525">
                            <a:noFill/>
                            <a:miter lim="800000"/>
                            <a:headEnd/>
                            <a:tailEnd/>
                          </a:ln>
                        </wps:spPr>
                        <wps:txbx>
                          <w:txbxContent>
                            <w:p w14:paraId="4345B9FA" w14:textId="19CDA79A" w:rsidR="00C44087" w:rsidRPr="00D53A98" w:rsidRDefault="00C44087" w:rsidP="00E37C68">
                              <w:pPr>
                                <w:rPr>
                                  <w:lang w:val="en-US"/>
                                </w:rPr>
                              </w:pPr>
                              <w:r>
                                <w:rPr>
                                  <w:lang w:val="en-US"/>
                                </w:rPr>
                                <w:t>Liposaccharide aggregate</w:t>
                              </w:r>
                            </w:p>
                          </w:txbxContent>
                        </wps:txbx>
                        <wps:bodyPr rot="0" vert="horz" wrap="square" lIns="91440" tIns="45720" rIns="91440" bIns="45720" anchor="t" anchorCtr="0">
                          <a:spAutoFit/>
                        </wps:bodyPr>
                      </wps:wsp>
                      <wps:wsp>
                        <wps:cNvPr id="108" name="Text Box 2"/>
                        <wps:cNvSpPr txBox="1">
                          <a:spLocks noChangeArrowheads="1"/>
                        </wps:cNvSpPr>
                        <wps:spPr bwMode="auto">
                          <a:xfrm>
                            <a:off x="1962150" y="2466975"/>
                            <a:ext cx="790575" cy="469900"/>
                          </a:xfrm>
                          <a:prstGeom prst="rect">
                            <a:avLst/>
                          </a:prstGeom>
                          <a:noFill/>
                          <a:ln w="9525">
                            <a:noFill/>
                            <a:miter lim="800000"/>
                            <a:headEnd/>
                            <a:tailEnd/>
                          </a:ln>
                        </wps:spPr>
                        <wps:txbx>
                          <w:txbxContent>
                            <w:p w14:paraId="672CEE0D" w14:textId="6CF8EFC2" w:rsidR="00C44087" w:rsidRPr="00D53A98" w:rsidRDefault="00C44087" w:rsidP="00D53A98">
                              <w:pPr>
                                <w:jc w:val="center"/>
                                <w:rPr>
                                  <w:lang w:val="en-US"/>
                                </w:rPr>
                              </w:pPr>
                              <w:r>
                                <w:rPr>
                                  <w:lang w:val="en-US"/>
                                </w:rPr>
                                <w:t>Individual AMP</w:t>
                              </w:r>
                            </w:p>
                          </w:txbxContent>
                        </wps:txbx>
                        <wps:bodyPr rot="0" vert="horz" wrap="square" lIns="91440" tIns="45720" rIns="91440" bIns="45720" anchor="t" anchorCtr="0">
                          <a:spAutoFit/>
                        </wps:bodyPr>
                      </wps:wsp>
                    </wpg:wgp>
                  </a:graphicData>
                </a:graphic>
              </wp:anchor>
            </w:drawing>
          </mc:Choice>
          <mc:Fallback>
            <w:pict>
              <v:group w14:anchorId="2F7FE1F1" id="Group 38" o:spid="_x0000_s1046" style="position:absolute;left:0;text-align:left;margin-left:410.05pt;margin-top:1.3pt;width:461.25pt;height:313.5pt;z-index:251772928;mso-position-horizontal:right;mso-position-horizontal-relative:margin" coordsize="58578,3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">
                <v:oval id="Oval 6" o:spid="_x0000_s1047" style="position:absolute;left:21526;top:21621;width:4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qKsIA&#10;AADaAAAADwAAAGRycy9kb3ducmV2LnhtbESP3YrCMBSE74V9h3AE7zRVRErXKEVYEET822W9PDTH&#10;tticlCRqfXsjLOzlMDPfMPNlZxpxJ+drywrGowQEcWF1zaWC79PXMAXhA7LGxjIpeJKH5eKjN8dM&#10;2wcf6H4MpYgQ9hkqqEJoMyl9UZFBP7ItcfQu1hkMUbpSaoePCDeNnCTJTBqsOS5U2NKqouJ6vBkF&#10;m73Pz+kq77Zj9/xNp7uy+FnvlRr0u/wTRKAu/If/2mutYAbvK/EG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OoqwgAAANoAAAAPAAAAAAAAAAAAAAAAAJgCAABkcnMvZG93&#10;bnJldi54bWxQSwUGAAAAAAQABAD1AAAAhwMAAAAA&#10;" fillcolor="#5b9bd5 [3204]" strokecolor="#44546a [3215]" strokeweight="2.25pt">
                  <v:stroke joinstyle="miter"/>
                </v:oval>
                <v:group id="Group 43" o:spid="_x0000_s1048" style="position:absolute;left:37052;top:381;width:12097;height:11430" coordsize="12096,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oval id="Oval 29" o:spid="_x0000_s1049" style="position:absolute;left:4619;top:1000;width:4286;height:2286;rotation:-44529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lw8UA&#10;AADbAAAADwAAAGRycy9kb3ducmV2LnhtbESPT2sCMRTE70K/Q3iF3jSrFnFXs1JaRC89aKvg7bF5&#10;3T9uXsIm1e23bwTB4zAzv2GWq9604kKdry0rGI8SEMSF1TWXCr6/1sM5CB+QNbaWScEfeVjlT4Ml&#10;ZtpeeUeXfShFhLDPUEEVgsuk9EVFBv3IOuLo/djOYIiyK6Xu8BrhppWTJJlJgzXHhQodvVdUnPe/&#10;RsFnenTtx86/bswhnY/dqTlPZ41SL8/92wJEoD48wvf2ViuYpHD7En+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aXDxQAAANsAAAAPAAAAAAAAAAAAAAAAAJgCAABkcnMv&#10;ZG93bnJldi54bWxQSwUGAAAAAAQABAD1AAAAigMAAAAA&#10;" fillcolor="#5b9bd5 [3204]" strokecolor="#44546a [3215]" strokeweight="2.25pt">
                    <v:stroke joinstyle="miter"/>
                  </v:oval>
                  <v:oval id="Oval 28" o:spid="_x0000_s1050" style="position:absolute;left:7048;top:2762;width:4286;height:2286;rotation:-15890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FPk8AA&#10;AADbAAAADwAAAGRycy9kb3ducmV2LnhtbERPTWsCMRC9F/wPYYTealZBaVejiCD1IEit6HXYjNnF&#10;zWTdpLr21zuHQo+P9z1bdL5WN2pjFdjAcJCBIi6CrdgZOHyv395BxYRssQ5MBh4UYTHvvcwwt+HO&#10;X3TbJ6ckhGOOBsqUmlzrWJTkMQ5CQyzcObQek8DWadviXcJ9rUdZNtEeK5aGEhtalVRc9j/ewGh9&#10;OLnr53Zbpfp8fHyMd+4Xd8a89rvlFFSiLv2L/9wbKz4ZK1/kB+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7FPk8AAAADbAAAADwAAAAAAAAAAAAAAAACYAgAAZHJzL2Rvd25y&#10;ZXYueG1sUEsFBgAAAAAEAAQA9QAAAIUDAAAAAA==&#10;" fillcolor="#5b9bd5 [3204]" strokecolor="#44546a [3215]" strokeweight="2.25pt">
                    <v:stroke joinstyle="miter"/>
                  </v:oval>
                  <v:oval id="Oval 30" o:spid="_x0000_s1051" style="position:absolute;left:1143;top:1714;width:4286;height:2286;rotation:31691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TK8MA&#10;AADbAAAADwAAAGRycy9kb3ducmV2LnhtbERPy2rCQBTdC/2H4RbcmUmVPkgdQzAICm1BG3R7ydwm&#10;oZk7MTPG9O87C8Hl4byX6WhaMVDvGssKnqIYBHFpdcOVguJ7M3sD4TyyxtYyKfgjB+nqYbLERNsr&#10;72k4+EqEEHYJKqi97xIpXVmTQRfZjjhwP7Y36APsK6l7vIZw08p5HL9Igw2Hhho7WtdU/h4uRsHr&#10;6ZQ9H6s8Pmb788ewK/RXfvlUavo4Zu8gPI3+Lr65t1rBIqwPX8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jTK8MAAADbAAAADwAAAAAAAAAAAAAAAACYAgAAZHJzL2Rv&#10;d25yZXYueG1sUEsFBgAAAAAEAAQA9QAAAIgDAAAAAA==&#10;" fillcolor="#5b9bd5 [3204]" strokecolor="#44546a [3215]" strokeweight="2.25pt">
                    <v:stroke joinstyle="miter"/>
                  </v:oval>
                  <v:oval id="Oval 27" o:spid="_x0000_s1052" style="position:absolute;left:7810;top:5334;width:4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xKMQA&#10;AADbAAAADwAAAGRycy9kb3ducmV2LnhtbESP3WrCQBSE74W+w3IK3pmNIhpSVwlCQRDxr6W9PGRP&#10;k9Ds2bC7anx7t1DwcpiZb5jFqjetuJLzjWUF4yQFQVxa3XCl4OP8PspA+ICssbVMCu7kYbV8GSww&#10;1/bGR7qeQiUihH2OCuoQulxKX9Zk0Ce2I47ej3UGQ5SuktrhLcJNKydpOpMGG44LNXa0rqn8PV2M&#10;gu3BF9/Zuuh3Y3f/yqb7qvzcHJQavvbFG4hAfXiG/9sbrWAyh78v8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DMSjEAAAA2wAAAA8AAAAAAAAAAAAAAAAAmAIAAGRycy9k&#10;b3ducmV2LnhtbFBLBQYAAAAABAAEAPUAAACJAwAAAAA=&#10;" fillcolor="#5b9bd5 [3204]" strokecolor="#44546a [3215]" strokeweight="2.25pt">
                    <v:stroke joinstyle="miter"/>
                  </v:oval>
                  <v:oval id="Oval 31" o:spid="_x0000_s1053" style="position:absolute;top:4572;width:4286;height:2286;rotation:23998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GHG8UA&#10;AADbAAAADwAAAGRycy9kb3ducmV2LnhtbESPS4vCQBCE74L/YWhhL6ITHywSHUVcBWFPPhCPTaZN&#10;opmekBlj9NfvCMIei6r6ipotGlOImiqXW1Yw6EcgiBOrc04VHA+b3gSE88gaC8uk4EkOFvN2a4ax&#10;tg/eUb33qQgQdjEqyLwvYyldkpFB17clcfAutjLog6xSqSt8BLgp5DCKvqXBnMNChiWtMkpu+7tR&#10;cPo5T7pr/zw1m239u35dx8PD/azUV6dZTkF4avx/+NPeagWjAby/h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8YcbxQAAANsAAAAPAAAAAAAAAAAAAAAAAJgCAABkcnMv&#10;ZG93bnJldi54bWxQSwUGAAAAAAQABAD1AAAAigMAAAAA&#10;" fillcolor="#5b9bd5 [3204]" strokecolor="#44546a [3215]" strokeweight="2.25pt">
                    <v:stroke joinstyle="miter"/>
                  </v:oval>
                  <v:oval id="Oval 32" o:spid="_x0000_s1054" style="position:absolute;left:5285;top:8144;width:4287;height:2286;rotation:-739323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1MIA&#10;AADbAAAADwAAAGRycy9kb3ducmV2LnhtbESPQWuDQBSE74H+h+UVequrBkK1WUVaAr02Len14b6q&#10;xH0ru1s1/74bCOQ4zMw3zL5ezShmcn6wrCBLUhDErdUDdwq+vw7PLyB8QNY4WiYFF/JQVw+bPZba&#10;LvxJ8zF0IkLYl6igD2EqpfRtTwZ9Yifi6P1aZzBE6TqpHS4RbkaZp+lOGhw4LvQ40VtP7fn4ZxSs&#10;HH7m8/t8WjJ3GYemOOy2RabU0+PavIIItIZ7+Nb+0Aq2OVy/xB8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FfUwgAAANsAAAAPAAAAAAAAAAAAAAAAAJgCAABkcnMvZG93&#10;bnJldi54bWxQSwUGAAAAAAQABAD1AAAAhwMAAAAA&#10;" fillcolor="#5b9bd5 [3204]" strokecolor="#44546a [3215]" strokeweight="2.25pt">
                    <v:stroke joinstyle="miter"/>
                  </v:oval>
                  <v:oval id="Oval 33" o:spid="_x0000_s1055" style="position:absolute;left:1809;top:7524;width:4286;height:2286;rotation:-338608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TvMQA&#10;AADbAAAADwAAAGRycy9kb3ducmV2LnhtbESPQWvCQBSE74L/YXmCN92oUCR1lVAszUEoJhF6fGSf&#10;SWz2bciumv77riB4HGbmG2azG0wrbtS7xrKCxTwCQVxa3XCloMg/Z2sQziNrbC2Tgj9ysNuORxuM&#10;tb3zkW6Zr0SAsItRQe19F0vpypoMurntiIN3tr1BH2RfSd3jPcBNK5dR9CYNNhwWauzoo6byN7sa&#10;BV/HNN8Xh+Ikh58sOSTpJVl+50pNJ0PyDsLT4F/hZzvVClYreHwJP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U7zEAAAA2wAAAA8AAAAAAAAAAAAAAAAAmAIAAGRycy9k&#10;b3ducmV2LnhtbFBLBQYAAAAABAAEAPUAAACJAwAAAAA=&#10;" fillcolor="#5b9bd5 [3204]" strokecolor="#44546a [3215]" strokeweight="2.25pt">
                    <v:stroke joinstyle="miter"/>
                  </v:oval>
                </v:group>
                <v:group id="Group 58" o:spid="_x0000_s1056" style="position:absolute;left:15144;top:2476;width:5811;height:4382" coordsize="5810,4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oval id="Oval 24" o:spid="_x0000_s1057" style="position:absolute;left:1524;top:1047;width:4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vX8UA&#10;AADbAAAADwAAAGRycy9kb3ducmV2LnhtbESPQWvCQBSE74X+h+UVvNVNREqIrhICBaGI1rbU4yP7&#10;moRm34bd1ST/vlsQPA4z8w2z3o6mE1dyvrWsIJ0nIIgrq1uuFXx+vD5nIHxA1thZJgUTedhuHh/W&#10;mGs78DtdT6EWEcI+RwVNCH0upa8aMujntieO3o91BkOUrpba4RDhppOLJHmRBluOCw32VDZU/Z4u&#10;RsHb0RfnrCzGfeqm72x5qKuv3VGp2dNYrEAEGsM9fGvvtILFEv6/x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a9fxQAAANsAAAAPAAAAAAAAAAAAAAAAAJgCAABkcnMv&#10;ZG93bnJldi54bWxQSwUGAAAAAAQABAD1AAAAigMAAAAA&#10;" fillcolor="#5b9bd5 [3204]" strokecolor="#44546a [3215]" strokeweight="2.25pt">
                    <v:stroke joinstyle="miter"/>
                  </v:oval>
                  <v:oval id="Oval 25" o:spid="_x0000_s1058" style="position:absolute;left:857;top:2095;width:4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KxMQA&#10;AADbAAAADwAAAGRycy9kb3ducmV2LnhtbESP3WrCQBSE74W+w3IK3pmNohJSVwlCQRDxr6W9PGRP&#10;k9Ds2bC7anx7t1DwcpiZb5jFqjetuJLzjWUF4yQFQVxa3XCl4OP8PspA+ICssbVMCu7kYbV8GSww&#10;1/bGR7qeQiUihH2OCuoQulxKX9Zk0Ce2I47ej3UGQ5SuktrhLcJNKydpOpcGG44LNXa0rqn8PV2M&#10;gu3BF9/Zuuh3Y3f/yqb7qvzcHJQavvbFG4hAfXiG/9sbrWAyg78v8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dCsTEAAAA2wAAAA8AAAAAAAAAAAAAAAAAmAIAAGRycy9k&#10;b3ducmV2LnhtbFBLBQYAAAAABAAEAPUAAACJAwAAAAA=&#10;" fillcolor="#5b9bd5 [3204]" strokecolor="#44546a [3215]" strokeweight="2.25pt">
                    <v:stroke joinstyle="miter"/>
                  </v:oval>
                  <v:oval id="Oval 13" o:spid="_x0000_s1059" style="position:absolute;left:762;width:4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T9lsIA&#10;AADbAAAADwAAAGRycy9kb3ducmV2LnhtbERP22rCQBB9L/gPywh9azZakZC6ShAEoZR6K+3jkB2T&#10;YHY27G41/r0rCL7N4VxntuhNK87kfGNZwShJQRCXVjdcKTjsV28ZCB+QNbaWScGVPCzmg5cZ5tpe&#10;eEvnXahEDGGfo4I6hC6X0pc1GfSJ7Ygjd7TOYIjQVVI7vMRw08pxmk6lwYZjQ40dLWsqT7t/o+Bz&#10;44u/bFn0XyN3/c0m31X5s94o9Trsiw8QgfrwFD/cax3nv8P9l3i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P2WwgAAANsAAAAPAAAAAAAAAAAAAAAAAJgCAABkcnMvZG93&#10;bnJldi54bWxQSwUGAAAAAAQABAD1AAAAhwMAAAAA&#10;" fillcolor="#5b9bd5 [3204]" strokecolor="#44546a [3215]" strokeweight="2.25pt">
                    <v:stroke joinstyle="miter"/>
                  </v:oval>
                  <v:oval id="Oval 26" o:spid="_x0000_s1060" style="position:absolute;top:1143;width:4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s8MA&#10;AADbAAAADwAAAGRycy9kb3ducmV2LnhtbESPQYvCMBSE74L/ITzBm6aKSOkapQiCIMuqu+IeH82z&#10;LTYvJclq/fcbQfA4zMw3zGLVmUbcyPnasoLJOAFBXFhdc6ng53szSkH4gKyxsUwKHuRhtez3Fphp&#10;e+cD3Y6hFBHCPkMFVQhtJqUvKjLox7Yljt7FOoMhSldK7fAe4aaR0ySZS4M1x4UKW1pXVFyPf0bB&#10;bu/z33Sdd58T9zins6+yOG33Sg0HXf4BIlAX3uFXe6sVTOf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Us8MAAADbAAAADwAAAAAAAAAAAAAAAACYAgAAZHJzL2Rv&#10;d25yZXYueG1sUEsFBgAAAAAEAAQA9QAAAIgDAAAAAA==&#10;" fillcolor="#5b9bd5 [3204]" strokecolor="#44546a [3215]" strokeweight="2.25pt">
                    <v:stroke joinstyle="miter"/>
                  </v:oval>
                </v:group>
                <v:group id="Group 57" o:spid="_x0000_s1061" style="position:absolute;left:3619;top:14287;width:4286;height:3524" coordsize="428625,352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oval id="Oval 8" o:spid="_x0000_s1062" style="position:absolute;width:428625;height:228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bw8EA&#10;AADaAAAADwAAAGRycy9kb3ducmV2LnhtbERPW2vCMBR+H/gfwhnsbaaOMUpnlFIQCkPsvDAfD82x&#10;LWtOShK1/ffmYbDHj+++XI+mFzdyvrOsYDFPQBDXVnfcKDgeNq8pCB+QNfaWScFEHtar2dMSM23v&#10;/E23fWhEDGGfoYI2hCGT0tctGfRzOxBH7mKdwRCha6R2eI/hppdvSfIhDXYcG1ocqGip/t1fjYKv&#10;yufntMjH7cJNP+n7rqlPZaXUy/OYf4IINIZ/8Z+71Ari1ngl3g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X28PBAAAA2gAAAA8AAAAAAAAAAAAAAAAAmAIAAGRycy9kb3du&#10;cmV2LnhtbFBLBQYAAAAABAAEAPUAAACGAwAAAAA=&#10;" fillcolor="#5b9bd5 [3204]" strokecolor="#44546a [3215]" strokeweight="2.25pt">
                    <v:stroke joinstyle="miter"/>
                  </v:oval>
                  <v:oval id="Oval 12" o:spid="_x0000_s1063" style="position:absolute;top:123825;width:428625;height:228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hYDcMA&#10;AADbAAAADwAAAGRycy9kb3ducmV2LnhtbERPyWrDMBC9F/IPYgq51XJCKMa1EkwgECghaRba42BN&#10;bVNrZCTVdv6+KhR6m8dbp9hMphMDOd9aVrBIUhDEldUt1wqul91TBsIHZI2dZVJwJw+b9eyhwFzb&#10;kd9oOIdaxBD2OSpoQuhzKX3VkEGf2J44cp/WGQwRulpqh2MMN51cpumzNNhybGiwp21D1df52yh4&#10;PfnyI9uW02Hh7u/Z6lhXt/1JqfnjVL6ACDSFf/Gfe6/j/CX8/h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hYDcMAAADbAAAADwAAAAAAAAAAAAAAAACYAgAAZHJzL2Rv&#10;d25yZXYueG1sUEsFBgAAAAAEAAQA9QAAAIgDAAAAAA==&#10;" fillcolor="#5b9bd5 [3204]" strokecolor="#44546a [3215]" strokeweight="2.25pt">
                    <v:stroke joinstyle="miter"/>
                  </v:oval>
                </v:group>
                <v:group id="Group 59" o:spid="_x0000_s1064" style="position:absolute;left:38576;top:20764;width:20002;height:3143" coordsize="20002,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oval id="Oval 34" o:spid="_x0000_s1065" style="position:absolute;left:2476;width:4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5gsUA&#10;AADbAAAADwAAAGRycy9kb3ducmV2LnhtbESPQWvCQBSE74X+h+UVvDWbWCkhuoYgFIQiWtuix0f2&#10;mYRm34bdVeO/dwuFHoeZ+YZZlKPpxYWc7ywryJIUBHFtdceNgq/Pt+cchA/IGnvLpOBGHsrl48MC&#10;C22v/EGXfWhEhLAvUEEbwlBI6euWDPrEDsTRO1lnMETpGqkdXiPc9HKapq/SYMdxocWBVi3VP/uz&#10;UfC+89UxX1XjJnO3Qz7bNvX3eqfU5Gms5iACjeE//NdeawUvM/j9En+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DmCxQAAANsAAAAPAAAAAAAAAAAAAAAAAJgCAABkcnMv&#10;ZG93bnJldi54bWxQSwUGAAAAAAQABAD1AAAAigMAAAAA&#10;" fillcolor="#5b9bd5 [3204]" strokecolor="#44546a [3215]" strokeweight="2.25pt">
                    <v:stroke joinstyle="miter"/>
                  </v:oval>
                  <v:oval id="Oval 44" o:spid="_x0000_s1066" style="position:absolute;top:762;width:4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K/8QA&#10;AADbAAAADwAAAGRycy9kb3ducmV2LnhtbESP3WrCQBSE7wu+w3KE3tWNJZQQXSUIglCk/qKXh+wx&#10;CWbPht1V49t3hUIvh5n5hpnOe9OKOznfWFYwHiUgiEurG64UHPbLjwyED8gaW8uk4Eke5rPB2xRz&#10;bR+8pfsuVCJC2OeooA6hy6X0ZU0G/ch2xNG7WGcwROkqqR0+Ity08jNJvqTBhuNCjR0taiqvu5tR&#10;8L3xxTlbFP167J6nLP2pyuNqo9T7sC8mIAL14T/8115pBWkKry/xB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OSv/EAAAA2wAAAA8AAAAAAAAAAAAAAAAAmAIAAGRycy9k&#10;b3ducmV2LnhtbFBLBQYAAAAABAAEAPUAAACJAwAAAAA=&#10;" fillcolor="#5b9bd5 [3204]" strokecolor="#44546a [3215]" strokeweight="2.25pt">
                    <v:stroke joinstyle="miter"/>
                  </v:oval>
                  <v:oval id="Oval 45" o:spid="_x0000_s1067" style="position:absolute;left:6858;top:95;width:4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vZMQA&#10;AADbAAAADwAAAGRycy9kb3ducmV2LnhtbESP3WrCQBSE74W+w3IK3pmNohJSVwlCQRDxr6W9PGRP&#10;k9Ds2bC7anx7t1DwcpiZb5jFqjetuJLzjWUF4yQFQVxa3XCl4OP8PspA+ICssbVMCu7kYbV8GSww&#10;1/bGR7qeQiUihH2OCuoQulxKX9Zk0Ce2I47ej3UGQ5SuktrhLcJNKydpOpcGG44LNXa0rqn8PV2M&#10;gu3BF9/Zuuh3Y3f/yqb7qvzcHJQavvbFG4hAfXiG/9sbrWA6g78v8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C72TEAAAA2wAAAA8AAAAAAAAAAAAAAAAAmAIAAGRycy9k&#10;b3ducmV2LnhtbFBLBQYAAAAABAAEAPUAAACJAwAAAAA=&#10;" fillcolor="#5b9bd5 [3204]" strokecolor="#44546a [3215]" strokeweight="2.25pt">
                    <v:stroke joinstyle="miter"/>
                  </v:oval>
                  <v:oval id="Oval 46" o:spid="_x0000_s1068" style="position:absolute;left:4381;top:857;width:4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xE8MA&#10;AADbAAAADwAAAGRycy9kb3ducmV2LnhtbESPQYvCMBSE74L/ITxhb5oqIqUapQiCsCyr7ooeH82z&#10;LTYvJclq/fcbQfA4zMw3zGLVmUbcyPnasoLxKAFBXFhdc6ng92czTEH4gKyxsUwKHuRhtez3Fphp&#10;e+c93Q6hFBHCPkMFVQhtJqUvKjLoR7Yljt7FOoMhSldK7fAe4aaRkySZSYM1x4UKW1pXVFwPf0bB&#10;587n53Sdd19j9zil0++yOG53Sn0MunwOIlAX3uFXe6sVTGf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xE8MAAADbAAAADwAAAAAAAAAAAAAAAACYAgAAZHJzL2Rv&#10;d25yZXYueG1sUEsFBgAAAAAEAAQA9QAAAIgDAAAAAA==&#10;" fillcolor="#5b9bd5 [3204]" strokecolor="#44546a [3215]" strokeweight="2.25pt">
                    <v:stroke joinstyle="miter"/>
                  </v:oval>
                  <v:oval id="Oval 47" o:spid="_x0000_s1069" style="position:absolute;left:11334;top:95;width:428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zUiMQA&#10;AADbAAAADwAAAGRycy9kb3ducmV2LnhtbESP3WrCQBSE74W+w3IK3pmNIhpSVwlCQRDxr6W9PGRP&#10;k9Ds2bC7anx7t1DwcpiZb5jFqjetuJLzjWUF4yQFQVxa3XCl4OP8PspA+ICssbVMCu7kYbV8GSww&#10;1/bGR7qeQiUihH2OCuoQulxKX9Zk0Ce2I47ej3UGQ5SuktrhLcJNKydpOpMGG44LNXa0rqn8PV2M&#10;gu3BF9/Zuuh3Y3f/yqb7qvzcHJQavvbFG4hAfXiG/9sbrWA6h78v8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c1IjEAAAA2wAAAA8AAAAAAAAAAAAAAAAAmAIAAGRycy9k&#10;b3ducmV2LnhtbFBLBQYAAAAABAAEAPUAAACJAwAAAAA=&#10;" fillcolor="#5b9bd5 [3204]" strokecolor="#44546a [3215]" strokeweight="2.25pt">
                    <v:stroke joinstyle="miter"/>
                  </v:oval>
                  <v:oval id="Oval 48" o:spid="_x0000_s1070" style="position:absolute;left:8858;top:857;width:4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A+sAA&#10;AADbAAAADwAAAGRycy9kb3ducmV2LnhtbERPy4rCMBTdC/MP4Q7MzqYOIqUapQgDggzjE11emmtb&#10;bG5KErX+/WQhuDyc92zRm1bcyfnGsoJRkoIgLq1uuFJw2P8MMxA+IGtsLZOCJ3lYzD8GM8y1ffCW&#10;7rtQiRjCPkcFdQhdLqUvazLoE9sRR+5incEQoaukdviI4aaV32k6kQYbjg01drSsqbzubkbBeuOL&#10;c7Ys+t+Re56y8V9VHlcbpb4++2IKIlAf3uKXe6UVjOPY+CX+AD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NA+sAAAADbAAAADwAAAAAAAAAAAAAAAACYAgAAZHJzL2Rvd25y&#10;ZXYueG1sUEsFBgAAAAAEAAQA9QAAAIUDAAAAAA==&#10;" fillcolor="#5b9bd5 [3204]" strokecolor="#44546a [3215]" strokeweight="2.25pt">
                    <v:stroke joinstyle="miter"/>
                  </v:oval>
                  <v:oval id="Oval 49" o:spid="_x0000_s1071" style="position:absolute;left:15716;top:95;width:4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YcQA&#10;AADbAAAADwAAAGRycy9kb3ducmV2LnhtbESP3WrCQBSE74W+w3IK3pmNRSRNXSUIBUHEv5b28pA9&#10;TUKzZ8PuqvHtXUHwcpiZb5jZojetOJPzjWUF4yQFQVxa3XCl4Ov4OcpA+ICssbVMCq7kYTF/Gcww&#10;1/bCezofQiUihH2OCuoQulxKX9Zk0Ce2I47en3UGQ5SuktrhJcJNK9/SdCoNNhwXauxoWVP5fzgZ&#10;BeudL36zZdFvxu76k022Vfm92ik1fO2LDxCB+vAMP9orrWDyDvcv8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5WHEAAAA2wAAAA8AAAAAAAAAAAAAAAAAmAIAAGRycy9k&#10;b3ducmV2LnhtbFBLBQYAAAAABAAEAPUAAACJAwAAAAA=&#10;" fillcolor="#5b9bd5 [3204]" strokecolor="#44546a [3215]" strokeweight="2.25pt">
                    <v:stroke joinstyle="miter"/>
                  </v:oval>
                  <v:oval id="Oval 50" o:spid="_x0000_s1072" style="position:absolute;left:13239;top:762;width:428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zaIcAA&#10;AADbAAAADwAAAGRycy9kb3ducmV2LnhtbERPy4rCMBTdD/gP4QruxlRxpFSjFEEQhmF8ostLc22L&#10;zU1JMlr/frIQXB7Oe77sTCPu5HxtWcFomIAgLqyuuVRwPKw/UxA+IGtsLJOCJ3lYLnofc8y0ffCO&#10;7vtQihjCPkMFVQhtJqUvKjLoh7YljtzVOoMhQldK7fARw00jx0kylQZrjg0VtrSqqLjt/4yC763P&#10;L+kq735G7nlOJ79lcdpslRr0u3wGIlAX3uKXe6MVfMX18Uv8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ezaIcAAAADbAAAADwAAAAAAAAAAAAAAAACYAgAAZHJzL2Rvd25y&#10;ZXYueG1sUEsFBgAAAAAEAAQA9QAAAIUDAAAAAA==&#10;" fillcolor="#5b9bd5 [3204]" strokecolor="#44546a [3215]" strokeweight="2.25pt">
                    <v:stroke joinstyle="miter"/>
                  </v:oval>
                </v:group>
                <v:shapetype id="_x0000_t32" coordsize="21600,21600" o:spt="32" o:oned="t" path="m,l21600,21600e" filled="f">
                  <v:path arrowok="t" fillok="f" o:connecttype="none"/>
                  <o:lock v:ext="edit" shapetype="t"/>
                </v:shapetype>
                <v:shape id="Straight Arrow Connector 99" o:spid="_x0000_s1073" type="#_x0000_t32" style="position:absolute;left:19431;top:7524;width:4095;height:133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SBwMUAAADbAAAADwAAAGRycy9kb3ducmV2LnhtbESPQWvCQBSE70L/w/IKvUjd2IPWmI2U&#10;ghIQKqai12f2mQSzb0N2Nem/7xaEHoeZ+YZJVoNpxJ06V1tWMJ1EIIgLq2suFRy+16/vIJxH1thY&#10;JgU/5GCVPo0SjLXteU/33JciQNjFqKDyvo2ldEVFBt3EtsTBu9jOoA+yK6XusA9w08i3KJpJgzWH&#10;hQpb+qyouOY3o+A2Pnxt+ux82mX7Mh9as52vj3OlXp6HjyUIT4P/Dz/amVawWMDfl/ADZP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SBwMUAAADbAAAADwAAAAAAAAAA&#10;AAAAAAChAgAAZHJzL2Rvd25yZXYueG1sUEsFBgAAAAAEAAQA+QAAAJMDAAAAAA==&#10;" strokecolor="black [3213]" strokeweight="6pt">
                  <v:stroke endarrow="block" joinstyle="miter"/>
                </v:shape>
                <v:shape id="Straight Arrow Connector 100" o:spid="_x0000_s1074" type="#_x0000_t32" style="position:absolute;left:25717;top:11239;width:13145;height:99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rOeMYAAADcAAAADwAAAGRycy9kb3ducmV2LnhtbESPQWsCQQyF74L/YYjQi9QZqxbZOooI&#10;QgUpqC20t7CT7i7uZJadqa7/3hwK3hLey3tfFqvO1+pCbawCWxiPDCjiPLiKCwufp+3zHFRMyA7r&#10;wGThRhFWy35vgZkLVz7Q5ZgKJSEcM7RQptRkWse8JI9xFBpi0X5D6zHJ2hbatXiVcF/rF2NetceK&#10;paHEhjYl5efjn7cw3HVfw+rnY2bmm+lkP6Pv23kbrH0adOs3UIm69DD/X787wTeCL8/IBHp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aznjGAAAA3AAAAA8AAAAAAAAA&#10;AAAAAAAAoQIAAGRycy9kb3ducmV2LnhtbFBLBQYAAAAABAAEAPkAAACUAwAAAAA=&#10;" strokecolor="black [3213]" strokeweight="6pt">
                  <v:stroke endarrow="block" joinstyle="miter"/>
                </v:shape>
                <v:shape id="Straight Arrow Connector 98" o:spid="_x0000_s1075" type="#_x0000_t32" style="position:absolute;left:9429;top:17145;width:10668;height:46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gkW8MAAADbAAAADwAAAGRycy9kb3ducmV2LnhtbERPy2rCQBTdF/yH4QpuSp20i6ZGR5GC&#10;JSBYEqXd3mauSTBzJ2Qmj/69syh0eTjvzW4yjRioc7VlBc/LCARxYXXNpYLL+fD0BsJ5ZI2NZVLw&#10;Sw5229nDBhNtR85oyH0pQgi7BBVU3reJlK6oyKBb2pY4cFfbGfQBdqXUHY4h3DTyJYpepcGaQ0OF&#10;Lb1XVNzy3ijoHy+njzH9+f5MszKfWnOMD1+xUov5tF+D8DT5f/GfO9UKVmFs+BJ+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IJFvDAAAA2wAAAA8AAAAAAAAAAAAA&#10;AAAAoQIAAGRycy9kb3ducmV2LnhtbFBLBQYAAAAABAAEAPkAAACRAwAAAAA=&#10;" strokecolor="black [3213]" strokeweight="6pt">
                  <v:stroke endarrow="block" joinstyle="miter"/>
                </v:shape>
                <v:shape id="Text Box 2" o:spid="_x0000_s1076" type="#_x0000_t202" style="position:absolute;left:14287;width:8192;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sjsAA&#10;AADcAAAADwAAAGRycy9kb3ducmV2LnhtbERPTWsCMRC9F/ofwhS81USl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YsjsAAAADcAAAADwAAAAAAAAAAAAAAAACYAgAAZHJzL2Rvd25y&#10;ZXYueG1sUEsFBgAAAAAEAAQA9QAAAIUDAAAAAA==&#10;" filled="f" stroked="f">
                  <v:textbox style="mso-fit-shape-to-text:t">
                    <w:txbxContent>
                      <w:p w14:paraId="19EB59EE" w14:textId="4732E4C4" w:rsidR="00C44087" w:rsidRPr="00D53A98" w:rsidRDefault="00C44087" w:rsidP="00E37C68">
                        <w:pPr>
                          <w:rPr>
                            <w:lang w:val="en-US"/>
                          </w:rPr>
                        </w:pPr>
                        <w:r>
                          <w:rPr>
                            <w:lang w:val="en-US"/>
                          </w:rPr>
                          <w:t>Oligomer</w:t>
                        </w:r>
                      </w:p>
                    </w:txbxContent>
                  </v:textbox>
                </v:shape>
                <v:shape id="Text Box 2" o:spid="_x0000_s1077" type="#_x0000_t202" style="position:absolute;left:48958;top:3333;width:7525;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sAA&#10;AADcAAAADwAAAGRycy9kb3ducmV2LnhtbERPTWsCMRC9F/ofwhS81USx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0+sAAAADcAAAADwAAAAAAAAAAAAAAAACYAgAAZHJzL2Rvd25y&#10;ZXYueG1sUEsFBgAAAAAEAAQA9QAAAIUDAAAAAA==&#10;" filled="f" stroked="f">
                  <v:textbox style="mso-fit-shape-to-text:t">
                    <w:txbxContent>
                      <w:p w14:paraId="483659B5" w14:textId="788F7882" w:rsidR="00C44087" w:rsidRPr="00D53A98" w:rsidRDefault="00C44087" w:rsidP="00E37C68">
                        <w:pPr>
                          <w:rPr>
                            <w:lang w:val="en-US"/>
                          </w:rPr>
                        </w:pPr>
                        <w:r>
                          <w:rPr>
                            <w:lang w:val="en-US"/>
                          </w:rPr>
                          <w:t>Vesicle</w:t>
                        </w:r>
                      </w:p>
                    </w:txbxContent>
                  </v:textbox>
                </v:shape>
                <v:shape id="Text Box 2" o:spid="_x0000_s1078" type="#_x0000_t202" style="position:absolute;top:11620;width:12668;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14:paraId="65C7F398" w14:textId="5E702089" w:rsidR="00C44087" w:rsidRDefault="00C44087">
                        <w:r>
                          <w:t>Covalent dimer</w:t>
                        </w:r>
                      </w:p>
                    </w:txbxContent>
                  </v:textbox>
                </v:shape>
                <v:shape id="Text Box 2" o:spid="_x0000_s1079" type="#_x0000_t202" style="position:absolute;left:45148;top:18573;width:6382;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RYcAA&#10;AADcAAAADwAAAGRycy9kb3ducmV2LnhtbERPTWvCQBC9F/oflhF6a3YtWCR1FbEWPPRSTe9DdpoN&#10;zc6G7Gjiv+8WBG/zeJ+z2kyhUxcaUhvZwrwwoIjr6FpuLFSnj+clqCTIDrvIZOFKCTbrx4cVli6O&#10;/EWXozQqh3Aq0YIX6UutU+0pYCpiT5y5nzgElAyHRrsBxxweOv1izKsO2HJu8NjTzlP9ezwHCyJu&#10;O79W+5AO39Pn++hNvcDK2qfZtH0DJTTJXXxzH1yebxbw/0y+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MRYcAAAADcAAAADwAAAAAAAAAAAAAAAACYAgAAZHJzL2Rvd25y&#10;ZXYueG1sUEsFBgAAAAAEAAQA9QAAAIUDAAAAAA==&#10;" filled="f" stroked="f">
                  <v:textbox style="mso-fit-shape-to-text:t">
                    <w:txbxContent>
                      <w:p w14:paraId="30215422" w14:textId="46FD851C" w:rsidR="00C44087" w:rsidRPr="00D53A98" w:rsidRDefault="00C44087" w:rsidP="00E37C68">
                        <w:pPr>
                          <w:rPr>
                            <w:lang w:val="en-US"/>
                          </w:rPr>
                        </w:pPr>
                        <w:r>
                          <w:rPr>
                            <w:lang w:val="en-US"/>
                          </w:rPr>
                          <w:t>Fibril</w:t>
                        </w:r>
                      </w:p>
                    </w:txbxContent>
                  </v:textbox>
                </v:shape>
                <v:shape id="Straight Arrow Connector 97" o:spid="_x0000_s1080" type="#_x0000_t32" style="position:absolute;left:16192;top:23622;width:4953;height:56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1MUAAADbAAAADwAAAGRycy9kb3ducmV2LnhtbESPW4vCMBSE3wX/QzjCvoimut62GkUE&#10;YQURvIG+HZqzbbE5KU1W67/fLAg+DjPzDTNb1KYQd6pcbllBrxuBIE6szjlVcDquOxMQziNrLCyT&#10;gic5WMybjRnG2j54T/eDT0WAsItRQeZ9GUvpkowMuq4tiYP3YyuDPsgqlbrCR4CbQvajaCQN5hwW&#10;MixplVFyO/waBe1NfW7n190wmqwGn9shXZ63tVXqo1UvpyA81f4dfrW/tYKvMfx/CT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k1MUAAADbAAAADwAAAAAAAAAA&#10;AAAAAAChAgAAZHJzL2Rvd25yZXYueG1sUEsFBgAAAAAEAAQA+QAAAJMDAAAAAA==&#10;" strokecolor="black [3213]" strokeweight="6pt">
                  <v:stroke endarrow="block" joinstyle="miter"/>
                </v:shape>
                <v:group id="Group 80" o:spid="_x0000_s1081" style="position:absolute;left:857;top:29051;width:16383;height:6001" coordsize="16383,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oval id="Oval 62" o:spid="_x0000_s1082" style="position:absolute;left:1714;width:4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4rcMMA&#10;AADbAAAADwAAAGRycy9kb3ducmV2LnhtbESPQYvCMBSE74L/ITzBm6aKSOkapQiCIMuqu+IeH82z&#10;LTYvJclq/fcbQfA4zMw3zGLVmUbcyPnasoLJOAFBXFhdc6ng53szSkH4gKyxsUwKHuRhtez3Fphp&#10;e+cD3Y6hFBHCPkMFVQhtJqUvKjLox7Yljt7FOoMhSldK7fAe4aaR0ySZS4M1x4UKW1pXVFyPf0bB&#10;bu/z33Sdd58T9zins6+yOG33Sg0HXf4BIlAX3uFXe6sVzKf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4rcMMAAADbAAAADwAAAAAAAAAAAAAAAACYAgAAZHJzL2Rv&#10;d25yZXYueG1sUEsFBgAAAAAEAAQA9QAAAIgDAAAAAA==&#10;" fillcolor="#5b9bd5 [3204]" strokecolor="#44546a [3215]" strokeweight="2.25pt">
                    <v:stroke joinstyle="miter"/>
                  </v:oval>
                  <v:oval id="Oval 60" o:spid="_x0000_s1083" style="position:absolute;left:1714;top:3524;width:4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AQnMIA&#10;AADbAAAADwAAAGRycy9kb3ducmV2LnhtbERPXWvCMBR9H/gfwhX2NlNlSKlGKQWhMMaqm+jjpblr&#10;y5qbkmS2/vvlYeDj4Xxv95PpxY2c7ywrWC4SEMS11R03Cr4+Dy8pCB+QNfaWScGdPOx3s6ctZtqO&#10;fKTbKTQihrDPUEEbwpBJ6euWDPqFHYgj922dwRCha6R2OMZw08tVkqylwY5jQ4sDFS3VP6dfo+Ct&#10;8vk1LfLpfenul/T1o6nPZaXU83zKNyACTeEh/neXWsE6ro9f4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BCcwgAAANsAAAAPAAAAAAAAAAAAAAAAAJgCAABkcnMvZG93&#10;bnJldi54bWxQSwUGAAAAAAQABAD1AAAAhwMAAAAA&#10;" fillcolor="#5b9bd5 [3204]" strokecolor="#44546a [3215]" strokeweight="2.25pt">
                    <v:stroke joinstyle="miter"/>
                  </v:oval>
                  <v:oval id="Oval 61" o:spid="_x0000_s1084" style="position:absolute;top:1714;width:4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1B8QA&#10;AADbAAAADwAAAGRycy9kb3ducmV2LnhtbESP3WrCQBSE7wu+w3KE3tVNSpEQXSUIglCk1h/08pA9&#10;JsHs2bC7anz7bkHwcpiZb5jpvDetuJHzjWUF6SgBQVxa3XClYL9bfmQgfEDW2FomBQ/yMJ8N3qaY&#10;a3vnX7ptQyUihH2OCuoQulxKX9Zk0I9sRxy9s3UGQ5SuktrhPcJNKz+TZCwNNhwXauxoUVN52V6N&#10;gu+NL07ZoujXqXscs6+fqjysNkq9D/tiAiJQH17hZ3ulFYxT+P8Sf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MtQfEAAAA2wAAAA8AAAAAAAAAAAAAAAAAmAIAAGRycy9k&#10;b3ducmV2LnhtbFBLBQYAAAAABAAEAPUAAACJAwAAAAA=&#10;" fillcolor="#5b9bd5 [3204]" strokecolor="#44546a [3215]" strokeweight="2.25pt">
                    <v:stroke joinstyle="miter"/>
                  </v:oval>
                  <v:oval id="Oval 65" o:spid="_x0000_s1085" style="position:absolute;left:4572;top:95;width:4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BMUA&#10;AADbAAAADwAAAGRycy9kb3ducmV2LnhtbESPQWvCQBSE7wX/w/IEb3WTYiWkriEIgiBStUp7fGRf&#10;k2D2bdjdavz33YLQ4zAz3zCLYjCduJLzrWUF6TQBQVxZ3XKt4PSxfs5A+ICssbNMCu7koViOnhaY&#10;a3vjA12PoRYRwj5HBU0IfS6lrxoy6Ke2J47et3UGQ5SultrhLcJNJ1+SZC4NthwXGuxp1VB1Of4Y&#10;Bdu9L7+yVTnsUnf/zGbvdXXe7JWajIfyDUSgIfyHH+2NVjB/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7MExQAAANsAAAAPAAAAAAAAAAAAAAAAAJgCAABkcnMv&#10;ZG93bnJldi54bWxQSwUGAAAAAAQABAD1AAAAigMAAAAA&#10;" fillcolor="#5b9bd5 [3204]" strokecolor="#44546a [3215]" strokeweight="2.25pt">
                    <v:stroke joinstyle="miter"/>
                  </v:oval>
                  <v:oval id="Oval 66" o:spid="_x0000_s1086" style="position:absolute;left:4572;top:3619;width:4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c8QA&#10;AADbAAAADwAAAGRycy9kb3ducmV2LnhtbESP3WrCQBSE7wu+w3KE3tWNpYQQXSUIglCk1h/08pA9&#10;JsHs2bC7anz7bkHwcpiZb5jpvDetuJHzjWUF41ECgri0uuFKwX63/MhA+ICssbVMCh7kYT4bvE0x&#10;1/bOv3TbhkpECPscFdQhdLmUvqzJoB/Zjjh6Z+sMhihdJbXDe4SbVn4mSSoNNhwXauxoUVN52V6N&#10;gu+NL07ZoujXY/c4Zl8/VXlYbZR6H/bFBESgPrzCz/ZKK0hT+P8Sf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lLXPEAAAA2wAAAA8AAAAAAAAAAAAAAAAAmAIAAGRycy9k&#10;b3ducmV2LnhtbFBLBQYAAAAABAAEAPUAAACJAwAAAAA=&#10;" fillcolor="#5b9bd5 [3204]" strokecolor="#44546a [3215]" strokeweight="2.25pt">
                    <v:stroke joinstyle="miter"/>
                  </v:oval>
                  <v:oval id="Oval 67" o:spid="_x0000_s1087" style="position:absolute;left:2857;top:1809;width:4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I6MUA&#10;AADbAAAADwAAAGRycy9kb3ducmV2LnhtbESPQWvCQBSE74X+h+UVvDWbSLEhuoYgFIQiWtuix0f2&#10;mYRm34bdVeO/dwuFHoeZ+YZZlKPpxYWc7ywryJIUBHFtdceNgq/Pt+cchA/IGnvLpOBGHsrl48MC&#10;C22v/EGXfWhEhLAvUEEbwlBI6euWDPrEDsTRO1lnMETpGqkdXiPc9HKapjNpsOO40OJAq5bqn/3Z&#10;KHjf+eqYr6pxk7nbIX/ZNvX3eqfU5Gms5iACjeE//NdeawWzV/j9En+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YjoxQAAANsAAAAPAAAAAAAAAAAAAAAAAJgCAABkcnMv&#10;ZG93bnJldi54bWxQSwUGAAAAAAQABAD1AAAAigMAAAAA&#10;" fillcolor="#5b9bd5 [3204]" strokecolor="#44546a [3215]" strokeweight="2.25pt">
                    <v:stroke joinstyle="miter"/>
                  </v:oval>
                  <v:oval id="Oval 69" o:spid="_x0000_s1088" style="position:absolute;left:7334;top:190;width:4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5AcUA&#10;AADbAAAADwAAAGRycy9kb3ducmV2LnhtbESP3WrCQBSE7wXfYTlC78zGUiSmrhKEglDEn1ray0P2&#10;mASzZ8PuVuPbu4LQy2FmvmHmy9604kLON5YVTJIUBHFpdcOVguPXxzgD4QOyxtYyKbiRh+ViOJhj&#10;ru2V93Q5hEpECPscFdQhdLmUvqzJoE9sRxy9k3UGQ5SuktrhNcJNK1/TdCoNNhwXauxoVVN5PvwZ&#10;BZ87X/xmq6LfTNztJ3vbVuX3eqfUy6gv3kEE6sN/+NleawXTGTy+x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rkBxQAAANsAAAAPAAAAAAAAAAAAAAAAAJgCAABkcnMv&#10;ZG93bnJldi54bWxQSwUGAAAAAAQABAD1AAAAigMAAAAA&#10;" fillcolor="#5b9bd5 [3204]" strokecolor="#44546a [3215]" strokeweight="2.25pt">
                    <v:stroke joinstyle="miter"/>
                  </v:oval>
                  <v:oval id="Oval 70" o:spid="_x0000_s1089" style="position:absolute;left:7334;top:3619;width:4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GQcAA&#10;AADbAAAADwAAAGRycy9kb3ducmV2LnhtbERPy4rCMBTdD/gP4QruxlSRsVSjFEEQhmF8ostLc22L&#10;zU1JMlr/frIQXB7Oe77sTCPu5HxtWcFomIAgLqyuuVRwPKw/UxA+IGtsLJOCJ3lYLnofc8y0ffCO&#10;7vtQihjCPkMFVQhtJqUvKjLoh7YljtzVOoMhQldK7fARw00jx0nyJQ3WHBsqbGlVUXHb/xkF31uf&#10;X9JV3v2M3POcTn7L4rTZKjXod/kMRKAuvMUv90YrmMb18Uv8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mGQcAAAADbAAAADwAAAAAAAAAAAAAAAACYAgAAZHJzL2Rvd25y&#10;ZXYueG1sUEsFBgAAAAAEAAQA9QAAAIUDAAAAAA==&#10;" fillcolor="#5b9bd5 [3204]" strokecolor="#44546a [3215]" strokeweight="2.25pt">
                    <v:stroke joinstyle="miter"/>
                  </v:oval>
                  <v:oval id="Oval 71" o:spid="_x0000_s1090" style="position:absolute;left:5619;top:1905;width:428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Uj2sUA&#10;AADbAAAADwAAAGRycy9kb3ducmV2LnhtbESPzWrDMBCE74W+g9hCb43sUBrjRA4mEAiU0vyV5rhY&#10;W9vUWhlJdZy3rwKBHIeZ+YZZLEfTiYGcby0rSCcJCOLK6pZrBcfD+iUD4QOyxs4yKbiQh2Xx+LDA&#10;XNsz72jYh1pECPscFTQh9LmUvmrIoJ/Ynjh6P9YZDFG6WmqH5wg3nZwmyZs02HJcaLCnVUPV7/7P&#10;KHjf+vKUrcrxI3WX7+z1s66+Nlulnp/Gcg4i0Bju4Vt7oxXMUrh+iT9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SPaxQAAANsAAAAPAAAAAAAAAAAAAAAAAJgCAABkcnMv&#10;ZG93bnJldi54bWxQSwUGAAAAAAQABAD1AAAAigMAAAAA&#10;" fillcolor="#5b9bd5 [3204]" strokecolor="#44546a [3215]" strokeweight="2.25pt">
                    <v:stroke joinstyle="miter"/>
                  </v:oval>
                  <v:oval id="Oval 76" o:spid="_x0000_s1091" style="position:absolute;left:12096;top:1905;width:428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7rsUA&#10;AADbAAAADwAAAGRycy9kb3ducmV2LnhtbESPQWvCQBSE74X+h+UVvDWbSLEhuoYgFIQiWtuix0f2&#10;mYRm34bdVeO/dwuFHoeZ+YZZlKPpxYWc7ywryJIUBHFtdceNgq/Pt+cchA/IGnvLpOBGHsrl48MC&#10;C22v/EGXfWhEhLAvUEEbwlBI6euWDPrEDsTRO1lnMETpGqkdXiPc9HKapjNpsOO40OJAq5bqn/3Z&#10;KHjf+eqYr6pxk7nbIX/ZNvX3eqfU5Gms5iACjeE//NdeawWvM/j9En+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uuxQAAANsAAAAPAAAAAAAAAAAAAAAAAJgCAABkcnMv&#10;ZG93bnJldi54bWxQSwUGAAAAAAQABAD1AAAAigMAAAAA&#10;" fillcolor="#5b9bd5 [3204]" strokecolor="#44546a [3215]" strokeweight="2.25pt">
                    <v:stroke joinstyle="miter"/>
                  </v:oval>
                  <v:oval id="Oval 77" o:spid="_x0000_s1092" style="position:absolute;left:10001;top:285;width:4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eNcUA&#10;AADbAAAADwAAAGRycy9kb3ducmV2LnhtbESPQWvCQBSE7wX/w/IEb3WTIjWkriEIgiBStUp7fGRf&#10;k2D2bdjdavz33YLQ4zAz3zCLYjCduJLzrWUF6TQBQVxZ3XKt4PSxfs5A+ICssbNMCu7koViOnhaY&#10;a3vjA12PoRYRwj5HBU0IfS6lrxoy6Ke2J47et3UGQ5SultrhLcJNJ1+S5FUabDkuNNjTqqHqcvwx&#10;CrZ7X35lq3LYpe7+mc3e6+q82Ss1GQ/lG4hAQ/gPP9obrWA+h7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B41xQAAANsAAAAPAAAAAAAAAAAAAAAAAJgCAABkcnMv&#10;ZG93bnJldi54bWxQSwUGAAAAAAQABAD1AAAAigMAAAAA&#10;" fillcolor="#5b9bd5 [3204]" strokecolor="#44546a [3215]" strokeweight="2.25pt">
                    <v:stroke joinstyle="miter"/>
                  </v:oval>
                  <v:oval id="Oval 78" o:spid="_x0000_s1093" style="position:absolute;left:10001;top:3714;width:4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R8AA&#10;AADbAAAADwAAAGRycy9kb3ducmV2LnhtbERPy4rCMBTdD/gP4QruxlSRsVSjFEEQhmF8ostLc22L&#10;zU1JMlr/frIQXB7Oe77sTCPu5HxtWcFomIAgLqyuuVRwPKw/UxA+IGtsLJOCJ3lYLnofc8y0ffCO&#10;7vtQihjCPkMFVQhtJqUvKjLoh7YljtzVOoMhQldK7fARw00jx0nyJQ3WHBsqbGlVUXHb/xkF31uf&#10;X9JV3v2M3POcTn7L4rTZKjXod/kMRKAuvMUv90YrmMax8Uv8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KR8AAAADbAAAADwAAAAAAAAAAAAAAAACYAgAAZHJzL2Rvd25y&#10;ZXYueG1sUEsFBgAAAAAEAAQA9QAAAIUDAAAAAA==&#10;" fillcolor="#5b9bd5 [3204]" strokecolor="#44546a [3215]" strokeweight="2.25pt">
                    <v:stroke joinstyle="miter"/>
                  </v:oval>
                  <v:oval id="Oval 79" o:spid="_x0000_s1094" style="position:absolute;left:8286;top:2000;width:428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Mv3MQA&#10;AADbAAAADwAAAGRycy9kb3ducmV2LnhtbESP3WrCQBSE74W+w3KE3unGUmxMXSUIBUGk/qKXh+xp&#10;EsyeDbtbjW/vFgpeDjPzDTOdd6YRV3K+tqxgNExAEBdW11wqOOy/BikIH5A1NpZJwZ08zGcvvSlm&#10;2t54S9ddKEWEsM9QQRVCm0npi4oM+qFtiaP3Y53BEKUrpXZ4i3DTyLckGUuDNceFCltaVFRcdr9G&#10;wWrj83O6yLv1yN1P6ft3WRyXG6Ve+13+CSJQF57h//ZSK/iYwN+X+A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L9zEAAAA2wAAAA8AAAAAAAAAAAAAAAAAmAIAAGRycy9k&#10;b3ducmV2LnhtbFBLBQYAAAAABAAEAPUAAACJAwAAAAA=&#10;" fillcolor="#5b9bd5 [3204]" strokecolor="#44546a [3215]" strokeweight="2.25pt">
                    <v:stroke joinstyle="miter"/>
                  </v:oval>
                </v:group>
                <v:group id="Group 96" o:spid="_x0000_s1095" style="position:absolute;left:33623;top:34004;width:10763;height:5810" coordsize="10763,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oval id="Oval 95" o:spid="_x0000_s1096" style="position:absolute;left:6191;top:2571;width:4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LDI8QA&#10;AADbAAAADwAAAGRycy9kb3ducmV2LnhtbESP3WrCQBSE74W+w3KE3unGUktMXSUIBUGk/qKXh+xp&#10;EsyeDbtbjW/vFgpeDjPzDTOdd6YRV3K+tqxgNExAEBdW11wqOOy/BikIH5A1NpZJwZ08zGcvvSlm&#10;2t54S9ddKEWEsM9QQRVCm0npi4oM+qFtiaP3Y53BEKUrpXZ4i3DTyLck+ZAGa44LFba0qKi47H6N&#10;gtXG5+d0kXfrkbuf0vfvsjguN0q99rv8E0SgLjzD/+2lVjAZw9+X+A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iwyPEAAAA2wAAAA8AAAAAAAAAAAAAAAAAmAIAAGRycy9k&#10;b3ducmV2LnhtbFBLBQYAAAAABAAEAPUAAACJAwAAAAA=&#10;" fillcolor="#5b9bd5 [3204]" strokecolor="#44546a [3215]" strokeweight="2.25pt">
                    <v:stroke joinstyle="miter"/>
                  </v:oval>
                  <v:group id="Group 91" o:spid="_x0000_s1097" style="position:absolute;left:1333;width:4572;height:4857" coordsize="457200,485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4" o:spid="_x0000_s1098" type="#_x0000_t9" style="position:absolute;left:180975;width:276225;height:200025;rotation:174096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J2sMA&#10;AADbAAAADwAAAGRycy9kb3ducmV2LnhtbESPT2vCQBTE7wW/w/IEb3VjEYlp1lCUSq/+ac6P7GsS&#10;m30bs2tM/fSuIPQ4zMxvmDQbTCN66lxtWcFsGoEgLqyuuVRwPHy+xiCcR9bYWCYFf+QgW41eUky0&#10;vfKO+r0vRYCwS1BB5X2bSOmKigy6qW2Jg/djO4M+yK6UusNrgJtGvkXRQhqsOSxU2NK6ouJ3fzEK&#10;lvH39pSX58NGRvq4pOGWu/qk1GQ8fLyD8DT4//Cz/aUVxHN4fA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KJ2sMAAADbAAAADwAAAAAAAAAAAAAAAACYAgAAZHJzL2Rv&#10;d25yZXYueG1sUEsFBgAAAAAEAAQA9QAAAIgDAAAAAA==&#10;" adj="3910" fillcolor="white [3212]" strokecolor="black [3213]" strokeweight="3pt"/>
                    <v:shape id="Freeform 85" o:spid="_x0000_s1099" style="position:absolute;top:219075;width:419100;height:266700;visibility:visible;mso-wrap-style:square;v-text-anchor:middle" coordsize="41910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dMMIA&#10;AADbAAAADwAAAGRycy9kb3ducmV2LnhtbESPQWvCQBSE74X+h+UVequbWlIkuooUG/XYKOjxkX0m&#10;wezbsLs18d+7guBxmJlvmNliMK24kPONZQWfowQEcWl1w5WC/e73YwLCB2SNrWVScCUPi/nrywwz&#10;bXv+o0sRKhEh7DNUUIfQZVL6siaDfmQ74uidrDMYonSV1A77CDetHCfJtzTYcFyosaOfmspz8W8U&#10;nN2QH7df7PL+sMI2LQ4p52ul3t+G5RREoCE8w4/2RiuYpHD/En+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x0wwgAAANsAAAAPAAAAAAAAAAAAAAAAAJgCAABkcnMvZG93&#10;bnJldi54bWxQSwUGAAAAAAQABAD1AAAAhwMAAAAA&#10;" path="m333375,v15875,6350,34490,8104,47625,19050c388713,25478,386035,38645,390525,47625v36929,73858,4634,-14674,28575,57150c414436,156078,427103,201547,390525,238125v-8095,8095,-18336,13930,-28575,19050c352970,261665,342900,263525,333375,266700v-66675,-3175,-133683,-2154,-200025,-9525c70161,250154,90160,240342,47625,219075v-8980,-4490,-19050,-6350,-28575,-9525l,180975e" filled="f" strokecolor="black [3213]" strokeweight="3pt">
                      <v:stroke joinstyle="miter"/>
                      <v:path arrowok="t" o:connecttype="custom" o:connectlocs="333375,0;381000,19050;390525,47625;419100,104775;390525,238125;361950,257175;333375,266700;133350,257175;47625,219075;19050,209550;0,180975" o:connectangles="0,0,0,0,0,0,0,0,0,0,0"/>
                    </v:shape>
                  </v:group>
                  <v:group id="Group 92" o:spid="_x0000_s1100" style="position:absolute;left:6191;top:952;width:4572;height:4858;rotation:11169200fd" coordsize="457200,485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gALyfCAAAA2wAAAA8A&#10;AAAAAAAAAAAAAAAAqgIAAGRycy9kb3ducmV2LnhtbFBLBQYAAAAABAAEAPoAAACZAwAAAAA=&#10;">
                    <v:shape id="Hexagon 93" o:spid="_x0000_s1101" type="#_x0000_t9" style="position:absolute;left:180975;width:276225;height:200025;rotation:174096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Hc8IA&#10;AADbAAAADwAAAGRycy9kb3ducmV2LnhtbESPQWvCQBSE74L/YXmCN92oUDS6iliUXhtTz4/sM4lm&#10;36bZNUn767uC0OMw880wm11vKtFS40rLCmbTCARxZnXJuYL0fJwsQTiPrLGyTAp+yMFuOxxsMNa2&#10;409qE5+LUMIuRgWF93UspcsKMuimtiYO3tU2Bn2QTS51g10oN5WcR9GbNFhyWCiwpkNB2T15GAWr&#10;5dfpdsm/z+8y0umK+t+LK29KjUf9fg3CU+//wy/6QwduAc8v4Q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4odzwgAAANsAAAAPAAAAAAAAAAAAAAAAAJgCAABkcnMvZG93&#10;bnJldi54bWxQSwUGAAAAAAQABAD1AAAAhwMAAAAA&#10;" adj="3910" fillcolor="white [3212]" strokecolor="black [3213]" strokeweight="3pt"/>
                    <v:shape id="Freeform 94" o:spid="_x0000_s1102" style="position:absolute;top:219075;width:419100;height:266700;visibility:visible;mso-wrap-style:square;v-text-anchor:middle" coordsize="41910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dsMA&#10;AADbAAAADwAAAGRycy9kb3ducmV2LnhtbESPQWvCQBSE74L/YXlCb3WjrUWjq0hpUz02Cnp8ZJ9J&#10;MPs27G5N+u+7QsHjMDPfMKtNbxpxI+drywom4wQEcWF1zaWC4+HzeQ7CB2SNjWVS8EseNuvhYIWp&#10;th1/0y0PpYgQ9ikqqEJoUyl9UZFBP7YtcfQu1hkMUbpSaoddhJtGTpPkTRqsOS5U2NJ7RcU1/zEK&#10;rq7PzvsXdll3+sBmlp9mnH0p9TTqt0sQgfrwCP+3d1rB4hXu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udsMAAADbAAAADwAAAAAAAAAAAAAAAACYAgAAZHJzL2Rv&#10;d25yZXYueG1sUEsFBgAAAAAEAAQA9QAAAIgDAAAAAA==&#10;" path="m333375,v15875,6350,34490,8104,47625,19050c388713,25478,386035,38645,390525,47625v36929,73858,4634,-14674,28575,57150c414436,156078,427103,201547,390525,238125v-8095,8095,-18336,13930,-28575,19050c352970,261665,342900,263525,333375,266700v-66675,-3175,-133683,-2154,-200025,-9525c70161,250154,90160,240342,47625,219075v-8980,-4490,-19050,-6350,-28575,-9525l,180975e" filled="f" strokecolor="black [3213]" strokeweight="3pt">
                      <v:stroke joinstyle="miter"/>
                      <v:path arrowok="t" o:connecttype="custom" o:connectlocs="333375,0;381000,19050;390525,47625;419100,104775;390525,238125;361950,257175;333375,266700;133350,257175;47625,219075;19050,209550;0,180975" o:connectangles="0,0,0,0,0,0,0,0,0,0,0"/>
                    </v:shape>
                  </v:group>
                  <v:oval id="Oval 81" o:spid="_x0000_s1103" style="position:absolute;top:2190;width:4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T/cQA&#10;AADbAAAADwAAAGRycy9kb3ducmV2LnhtbESPzWrDMBCE74W8g9hAbo3sEopxoxhjKARCyG9pj4u1&#10;tU2tlZGUxHn7KlDocZiZb5hlMZpeXMn5zrKCdJ6AIK6t7rhRcD69P2cgfEDW2FsmBXfyUKwmT0vM&#10;tb3xga7H0IgIYZ+jgjaEIZfS1y0Z9HM7EEfv2zqDIUrXSO3wFuGmly9J8ioNdhwXWhyoaqn+OV6M&#10;gs3el19ZVY7b1N0/s8WuqT/We6Vm07F8AxFoDP/hv/ZaK8hSeHy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U/3EAAAA2wAAAA8AAAAAAAAAAAAAAAAAmAIAAGRycy9k&#10;b3ducmV2LnhtbFBLBQYAAAAABAAEAPUAAACJAwAAAAA=&#10;" fillcolor="#5b9bd5 [3204]" strokecolor="#44546a [3215]" strokeweight="2.25pt">
                    <v:stroke joinstyle="miter"/>
                  </v:oval>
                </v:group>
                <v:shape id="Straight Arrow Connector 101" o:spid="_x0000_s1104" type="#_x0000_t32" style="position:absolute;left:26670;top:22669;width:1095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r48MAAADcAAAADwAAAGRycy9kb3ducmV2LnhtbERP24rCMBB9F/yHMMK+iCa6KlKNIoKw&#10;C7LgDfRtaMa22ExKk9X69xthwbc5nOvMl40txZ1qXzjWMOgrEMSpMwVnGo6HTW8Kwgdkg6Vj0vAk&#10;D8tFuzXHxLgH7+i+D5mIIewT1JCHUCVS+jQni77vKuLIXV1tMURYZ9LU+IjhtpRDpSbSYsGxIceK&#10;1jmlt/2v1dD9bk7d4vIzVtP16HM7pvPztnFaf3Sa1QxEoCa8xf/uLxPnqwG8no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Wa+PDAAAA3AAAAA8AAAAAAAAAAAAA&#10;AAAAoQIAAGRycy9kb3ducmV2LnhtbFBLBQYAAAAABAAEAPkAAACRAwAAAAA=&#10;" strokecolor="black [3213]" strokeweight="6pt">
                  <v:stroke endarrow="block" joinstyle="miter"/>
                </v:shape>
                <v:shape id="Straight Arrow Connector 102" o:spid="_x0000_s1105" type="#_x0000_t32" style="position:absolute;left:26384;top:24479;width:8572;height:9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VEqr4AAADcAAAADwAAAGRycy9kb3ducmV2LnhtbERPzYrCMBC+C75DGMGbpvYg0jXKsiro&#10;zZ99gKGZTcs2k5pEW9/eCIK3+fh+Z7nubSPu5EPtWMFsmoEgLp2u2Sj4vewmCxAhImtsHJOCBwVY&#10;r4aDJRbadXyi+zkakUI4FKigirEtpAxlRRbD1LXEiftz3mJM0BupPXYp3DYyz7K5tFhzaqiwpZ+K&#10;yv/zzSo4Xk+HLtebbWkewceW5aw3UqnxqP/+AhGpjx/x273XaX6Ww+uZdIFc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1USqvgAAANwAAAAPAAAAAAAAAAAAAAAAAKEC&#10;AABkcnMvZG93bnJldi54bWxQSwUGAAAAAAQABAD5AAAAjAMAAAAA&#10;" strokecolor="black [3213]" strokeweight="6pt">
                  <v:stroke endarrow="block" joinstyle="miter"/>
                </v:shape>
                <v:shape id="Text Box 2" o:spid="_x0000_s1106" type="#_x0000_t202" style="position:absolute;left:4095;top:35623;width:10192;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14:paraId="06E869E7" w14:textId="409A7490" w:rsidR="00C44087" w:rsidRPr="00D53A98" w:rsidRDefault="00C44087" w:rsidP="00E37C68">
                        <w:pPr>
                          <w:rPr>
                            <w:lang w:val="en-US"/>
                          </w:rPr>
                        </w:pPr>
                        <w:r>
                          <w:rPr>
                            <w:lang w:val="en-US"/>
                          </w:rPr>
                          <w:t>Nanofibres</w:t>
                        </w:r>
                      </w:p>
                    </w:txbxContent>
                  </v:textbox>
                </v:shape>
                <v:shape id="Text Box 2" o:spid="_x0000_s1107" type="#_x0000_t202" style="position:absolute;left:45148;top:33909;width:13430;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qjcAA&#10;AADcAAAADwAAAGRycy9kb3ducmV2LnhtbERPTWsCMRC9F/ofwhS81UTBtmyNIq2Ch15qt/dhM24W&#10;N5NlM7rrv28Kgrd5vM9ZrsfQqgv1qYlsYTY1oIir6BquLZQ/u+c3UEmQHbaRycKVEqxXjw9LLFwc&#10;+JsuB6lVDuFUoAUv0hVap8pTwDSNHXHmjrEPKBn2tXY9Djk8tHpuzIsO2HBu8NjRh6fqdDgHCyJu&#10;M7uW25D2v+PX5+BNtcDS2snTuHkHJTTKXXxz712eb17h/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0qjcAAAADcAAAADwAAAAAAAAAAAAAAAACYAgAAZHJzL2Rvd25y&#10;ZXYueG1sUEsFBgAAAAAEAAQA9QAAAIUDAAAAAA==&#10;" filled="f" stroked="f">
                  <v:textbox style="mso-fit-shape-to-text:t">
                    <w:txbxContent>
                      <w:p w14:paraId="4345B9FA" w14:textId="19CDA79A" w:rsidR="00C44087" w:rsidRPr="00D53A98" w:rsidRDefault="00C44087" w:rsidP="00E37C68">
                        <w:pPr>
                          <w:rPr>
                            <w:lang w:val="en-US"/>
                          </w:rPr>
                        </w:pPr>
                        <w:r>
                          <w:rPr>
                            <w:lang w:val="en-US"/>
                          </w:rPr>
                          <w:t>Liposaccharide aggregate</w:t>
                        </w:r>
                      </w:p>
                    </w:txbxContent>
                  </v:textbox>
                </v:shape>
                <v:shape id="Text Box 2" o:spid="_x0000_s1108" type="#_x0000_t202" style="position:absolute;left:19621;top:24669;width:7906;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8IA&#10;AADcAAAADwAAAGRycy9kb3ducmV2LnhtbESPQU/DMAyF70j7D5GRdmPJkIZQWTZNDKQduDDK3WpM&#10;U9E4VWPW7t/jAxI3W+/5vc/b/Zx6c6GxdJk9rFcODHGTQ8eth/rj9e4RTBHkgH1m8nClAvvd4maL&#10;VcgTv9PlLK3REC4VeogiQ2VtaSIlLKs8EKv2lceEouvY2jDipOGpt/fOPdiEHWtDxIGeIzXf55/k&#10;QSQc1tf6JZXT5/x2nKJrNlh7v7ydD09ghGb5N/9dn4LiO6XVZ3QCu/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r7/wgAAANwAAAAPAAAAAAAAAAAAAAAAAJgCAABkcnMvZG93&#10;bnJldi54bWxQSwUGAAAAAAQABAD1AAAAhwMAAAAA&#10;" filled="f" stroked="f">
                  <v:textbox style="mso-fit-shape-to-text:t">
                    <w:txbxContent>
                      <w:p w14:paraId="672CEE0D" w14:textId="6CF8EFC2" w:rsidR="00C44087" w:rsidRPr="00D53A98" w:rsidRDefault="00C44087" w:rsidP="00D53A98">
                        <w:pPr>
                          <w:jc w:val="center"/>
                          <w:rPr>
                            <w:lang w:val="en-US"/>
                          </w:rPr>
                        </w:pPr>
                        <w:r>
                          <w:rPr>
                            <w:lang w:val="en-US"/>
                          </w:rPr>
                          <w:t>Individual AMP</w:t>
                        </w:r>
                      </w:p>
                    </w:txbxContent>
                  </v:textbox>
                </v:shape>
                <w10:wrap anchorx="margin"/>
              </v:group>
            </w:pict>
          </mc:Fallback>
        </mc:AlternateContent>
      </w:r>
    </w:p>
    <w:p w14:paraId="5F6E9838" w14:textId="6F10F58F" w:rsidR="00CB3381" w:rsidRDefault="00CB3381">
      <w:pPr>
        <w:pStyle w:val="LO-normal"/>
        <w:jc w:val="both"/>
      </w:pPr>
    </w:p>
    <w:p w14:paraId="30D2889E" w14:textId="2FE694C3" w:rsidR="00CB3381" w:rsidRDefault="00CB3381">
      <w:pPr>
        <w:pStyle w:val="LO-normal"/>
        <w:jc w:val="both"/>
      </w:pPr>
    </w:p>
    <w:p w14:paraId="17CFDAEF" w14:textId="63410A56" w:rsidR="00CB3381" w:rsidRDefault="00CB3381">
      <w:pPr>
        <w:pStyle w:val="LO-normal"/>
        <w:jc w:val="both"/>
      </w:pPr>
    </w:p>
    <w:p w14:paraId="1C0ECBE2" w14:textId="156E7C61" w:rsidR="00CB3381" w:rsidRDefault="00CB3381">
      <w:pPr>
        <w:pStyle w:val="LO-normal"/>
        <w:jc w:val="both"/>
      </w:pPr>
    </w:p>
    <w:p w14:paraId="7EB05465" w14:textId="50FE7A23" w:rsidR="00CB3381" w:rsidRDefault="00CB3381">
      <w:pPr>
        <w:pStyle w:val="LO-normal"/>
        <w:jc w:val="both"/>
      </w:pPr>
    </w:p>
    <w:p w14:paraId="4DA2A8D7" w14:textId="16D64FAC" w:rsidR="00CB3381" w:rsidRDefault="00CB3381">
      <w:pPr>
        <w:pStyle w:val="LO-normal"/>
        <w:jc w:val="both"/>
      </w:pPr>
    </w:p>
    <w:p w14:paraId="74342D93" w14:textId="7A06A805" w:rsidR="00CB3381" w:rsidRDefault="00CB3381">
      <w:pPr>
        <w:pStyle w:val="LO-normal"/>
        <w:jc w:val="both"/>
      </w:pPr>
    </w:p>
    <w:p w14:paraId="10C548B5" w14:textId="52CCFC4B" w:rsidR="00CB3381" w:rsidRDefault="00CB3381">
      <w:pPr>
        <w:pStyle w:val="LO-normal"/>
        <w:jc w:val="both"/>
      </w:pPr>
    </w:p>
    <w:p w14:paraId="7B82F53B" w14:textId="28BD9538" w:rsidR="00CB3381" w:rsidRDefault="00CB3381">
      <w:pPr>
        <w:pStyle w:val="LO-normal"/>
        <w:jc w:val="both"/>
      </w:pPr>
    </w:p>
    <w:p w14:paraId="6A06E273" w14:textId="2DC761DB" w:rsidR="00CB3381" w:rsidRDefault="00CB3381">
      <w:pPr>
        <w:pStyle w:val="LO-normal"/>
        <w:jc w:val="both"/>
      </w:pPr>
    </w:p>
    <w:p w14:paraId="252A4619" w14:textId="2E2D0A0D" w:rsidR="00CB3381" w:rsidRDefault="00CB3381">
      <w:pPr>
        <w:pStyle w:val="LO-normal"/>
        <w:jc w:val="both"/>
      </w:pPr>
    </w:p>
    <w:p w14:paraId="79AD315F" w14:textId="67649D9F" w:rsidR="005B3D02" w:rsidRDefault="005B3D02">
      <w:pPr>
        <w:pStyle w:val="LO-normal"/>
        <w:jc w:val="both"/>
      </w:pPr>
    </w:p>
    <w:p w14:paraId="5373B0D3" w14:textId="35056178" w:rsidR="005B3D02" w:rsidRDefault="005B3D02">
      <w:pPr>
        <w:pStyle w:val="LO-normal"/>
        <w:jc w:val="both"/>
      </w:pPr>
    </w:p>
    <w:p w14:paraId="18536B1E" w14:textId="013919BD" w:rsidR="005B3D02" w:rsidRDefault="005B3D02">
      <w:pPr>
        <w:pStyle w:val="LO-normal"/>
        <w:jc w:val="both"/>
      </w:pPr>
    </w:p>
    <w:p w14:paraId="534116EB" w14:textId="23BBEA4F" w:rsidR="005B3D02" w:rsidRDefault="005B3D02">
      <w:pPr>
        <w:pStyle w:val="LO-normal"/>
        <w:jc w:val="both"/>
      </w:pPr>
    </w:p>
    <w:p w14:paraId="031917FB" w14:textId="67E429D7" w:rsidR="005B3D02" w:rsidRDefault="005B3D02">
      <w:pPr>
        <w:pStyle w:val="LO-normal"/>
        <w:jc w:val="both"/>
      </w:pPr>
    </w:p>
    <w:p w14:paraId="74B9AD28" w14:textId="779022F1" w:rsidR="005B3D02" w:rsidRDefault="005B3D02">
      <w:pPr>
        <w:pStyle w:val="LO-normal"/>
        <w:jc w:val="both"/>
      </w:pPr>
    </w:p>
    <w:p w14:paraId="1234C17C" w14:textId="7E38DECF" w:rsidR="005B3D02" w:rsidRDefault="005B3D02">
      <w:pPr>
        <w:pStyle w:val="LO-normal"/>
        <w:jc w:val="both"/>
      </w:pPr>
    </w:p>
    <w:p w14:paraId="0CEF7676" w14:textId="58F5B0E2" w:rsidR="005B3D02" w:rsidRDefault="005B3D02">
      <w:pPr>
        <w:pStyle w:val="LO-normal"/>
        <w:jc w:val="both"/>
      </w:pPr>
    </w:p>
    <w:p w14:paraId="67D8E0D2" w14:textId="77777777" w:rsidR="00E37C68" w:rsidRDefault="00E37C68">
      <w:pPr>
        <w:pStyle w:val="LO-normal"/>
        <w:jc w:val="both"/>
      </w:pPr>
    </w:p>
    <w:p w14:paraId="7437E053" w14:textId="5383A2B5" w:rsidR="00E37C68" w:rsidRDefault="00E37C68">
      <w:pPr>
        <w:pStyle w:val="LO-normal"/>
        <w:jc w:val="both"/>
      </w:pPr>
    </w:p>
    <w:p w14:paraId="1EA5CEC9" w14:textId="3482B356" w:rsidR="00E37C68" w:rsidRDefault="00E37C68">
      <w:pPr>
        <w:pStyle w:val="LO-normal"/>
        <w:jc w:val="both"/>
      </w:pPr>
      <w:r>
        <w:t xml:space="preserve">Figure </w:t>
      </w:r>
      <w:r w:rsidR="0085729B">
        <w:t>4</w:t>
      </w:r>
      <w:r>
        <w:t>: A cartoon representation of various possible supramolecular structures available to AMPs through self-assembly</w:t>
      </w:r>
      <w:r>
        <w:fldChar w:fldCharType="begin" w:fldLock="1"/>
      </w:r>
      <w:r w:rsidR="00C44087">
        <w:instrText>ADDIN CSL_CITATION {"citationItems":[{"id":"ITEM-1","itemData":{"DOI":"10.1016/j.cocis.2018.09.002","ISSN":"18790399","abstract":"With a rapidly growing number of bacterial strains displaying resistance against conventional antibiotics, the development of novel types of antimicrobial agents represents an important health challenge. Antimicrobial peptides (AMPs) has attracted interest in this context, as these can be designed to display potent broad-spectrum antimicrobial as well as anti-inflammatory effects, but simultaneously low toxicity against human cells. Much of the work on AMPs has been focused on membrane interactions of monomeric AMPs, and how these can be controlled by peptide design to obtain selective disruption of bacterial membranes. However, a growing body of research has demonstrated that AMPs offer opportunities as antimicrobials beyond this through their self-assembly. An overview is therefore provided of the current understanding of the interplay between AMP aggregation and antimicrobial effects, including the role of oligomerization and self-assembly on membrane interactions and antimicrobial effects, AMP interactions with amyloid-forming peptides/proteins, AMP self-assemblies as antimicrobial biomaterials, and AMP-induced flocculation of bacteria and bacterial lipopolysaccharides as a novel pathway for confinement of infection and inflammation.","author":[{"dropping-particle":"","family":"Malekkhaiat Häffner","given":"Sara","non-dropping-particle":"","parse-names":false,"suffix":""},{"dropping-particle":"","family":"Malmsten","given":"Martin","non-dropping-particle":"","parse-names":false,"suffix":""}],"container-title":"Current Opinion in Colloid and Interface Science","id":"ITEM-1","issued":{"date-parts":[["2018","11","1"]]},"page":"56-79","publisher":"Elsevier Ltd","title":"Influence of self-assembly on the performance of antimicrobial peptides","type":"article-journal","volume":"38"},"uris":["http://www.mendeley.com/documents/?uuid=c51a3dee-d482-3ba7-9b06-943ec2852cbe"]}],"mendeley":{"formattedCitation":"&lt;sup&gt;185&lt;/sup&gt;","plainTextFormattedCitation":"185","previouslyFormattedCitation":"&lt;sup&gt;185&lt;/sup&gt;"},"properties":{"noteIndex":0},"schema":"https://github.com/citation-style-language/schema/raw/master/csl-citation.json"}</w:instrText>
      </w:r>
      <w:r>
        <w:fldChar w:fldCharType="separate"/>
      </w:r>
      <w:r w:rsidR="00C44087" w:rsidRPr="00C44087">
        <w:rPr>
          <w:noProof/>
          <w:vertAlign w:val="superscript"/>
        </w:rPr>
        <w:t>185</w:t>
      </w:r>
      <w:r>
        <w:fldChar w:fldCharType="end"/>
      </w:r>
      <w:r>
        <w:t xml:space="preserve">. Not all AMPs can access all structures: </w:t>
      </w:r>
      <w:r w:rsidR="007312FB">
        <w:t>the formation of a structure</w:t>
      </w:r>
      <w:r>
        <w:t xml:space="preserve"> is highly dependent on sequence, environment and conditions.</w:t>
      </w:r>
      <w:r w:rsidR="002035FC">
        <w:t xml:space="preserve"> Oligomers are aggregates of AMPs of variable size</w:t>
      </w:r>
      <w:r w:rsidR="007A4F4F">
        <w:fldChar w:fldCharType="begin" w:fldLock="1"/>
      </w:r>
      <w:r w:rsidR="00C44087">
        <w:instrText>ADDIN CSL_CITATION {"citationItems":[{"id":"ITEM-1","itemData":{"DOI":"10.1016/j.cocis.2010.05.006","ISSN":"13590294","abstract":"This brief review aims at providing some illustrative examples on the interaction between amphiphilic peptides and phospholipid membranes, an area of significant current interest. Focusing on antimicrobial peptides, factors affecting peptide-membrane interactions are addressed, including effects of peptide length, charge, hydrophobicity, secondary structure, and topology. Effects of membrane composition are also illustrated, including effects of membrane charge, nature of the polar headgroup, and presence of cholesterol and other sterols. Throughout, novel insights on the importance of peptide adsorption density on membrane stability are emphasized, as is the correlation between peptide adsorption, peptide-induced leakage in model liposome systems, peptide-induced lysis of bacteria, and bacteria killing. © 2010 Elsevier Ltd.","author":[{"dropping-particle":"","family":"Strömstedt","given":"Adam A.A.","non-dropping-particle":"","parse-names":false,"suffix":""},{"dropping-particle":"","family":"Ringstad","given":"Lovisa","non-dropping-particle":"","parse-names":false,"suffix":""},{"dropping-particle":"","family":"Schmidtchen","given":"Artur","non-dropping-particle":"","parse-names":false,"suffix":""},{"dropping-particle":"","family":"Malmsten","given":"Martin","non-dropping-particle":"","parse-names":false,"suffix":""}],"container-title":"Current Opinion in Colloid and Interface Science","id":"ITEM-1","issue":"6","issued":{"date-parts":[["2010","12","1"]]},"page":"467-478","publisher":"Elsevier","title":"Interaction between amphiphilic peptides and phospholipid membranes","type":"article-journal","volume":"15"},"uris":["http://www.mendeley.com/documents/?uuid=57357bfb-0511-36e1-b091-f82ef95a4cec"]}],"mendeley":{"formattedCitation":"&lt;sup&gt;265&lt;/sup&gt;","plainTextFormattedCitation":"265","previouslyFormattedCitation":"&lt;sup&gt;265&lt;/sup&gt;"},"properties":{"noteIndex":0},"schema":"https://github.com/citation-style-language/schema/raw/master/csl-citation.json"}</w:instrText>
      </w:r>
      <w:r w:rsidR="007A4F4F">
        <w:fldChar w:fldCharType="separate"/>
      </w:r>
      <w:r w:rsidR="00C44087" w:rsidRPr="00C44087">
        <w:rPr>
          <w:noProof/>
          <w:vertAlign w:val="superscript"/>
        </w:rPr>
        <w:t>265</w:t>
      </w:r>
      <w:r w:rsidR="007A4F4F">
        <w:fldChar w:fldCharType="end"/>
      </w:r>
      <w:r w:rsidR="002035FC">
        <w:t>, and can cause membrane destabilisation via curvature strain or the generation of grain boundaries. Cysteine-linked dimers have also been reported</w:t>
      </w:r>
      <w:r w:rsidR="007A4F4F">
        <w:fldChar w:fldCharType="begin" w:fldLock="1"/>
      </w:r>
      <w:r w:rsidR="00C44087">
        <w:instrText>ADDIN CSL_CITATION {"citationItems":[{"id":"ITEM-1","itemData":{"DOI":"10.1016/j.jcis.2015.09.036","ISSN":"10957103","PMID":"26407061","abstract":"Hypothesis: The remarkable rise in multi-drug resistant Gram-negative bacterial pathogens is a major concern to the well being of humans as well as susceptible plants. In recent years, diseases associated with inflammation and septicemia have already become a global health issue. Therefore, there is a rising demand for the development of novel \"super\" antibiotics. In this context, antimicrobial peptides offer an attractive, alternate therapeutic solution to conventional antibiotics. Experiments: Microbroth dilution assay was performed to investigate the antimicrobial activities of the two designed peptides against Gram negative bacterial pathogens. Fluorescence studies including NPN dye uptake assay, Calcein entrapped vesicle leakage assay, quenching and anisotropy in presence of lipopolysaccharide (LPS) were performed to elucidate binding interactions and enhanced membrane permeabilisation. Hemolytic assay and endotoxin/LPS neutralisation assay were performed to study the hemolytic effects and LPS scavenging abilities of the peptides. High resolution NMR studies were performed to obtain insights into LPS-peptide interaction at the molecular level. Findings: Here, we report more potent analogues of previously designed peptide VG16KRKP, designed through dimerization via Cys-Cys disulphide linkage and N-terminal lipidation. Similar to the parent peptide, VG16KRKP, the modified analogue peptides are non hemolytic in nature, but possessed, 2-10-fold increase in antibacterial activities against E. coli, human pathogen Pseudomonas aeruginosa and the devastating plant pathogen, Xanthomonas campestris pv. campestris as well as membrane permeabilization, and endotoxin neutralization. LPS bound solution structure of both analogues, as determined by NMR spectroscopy, reveal that the conserved hydrophobic triad motif, formed by Trp5, Leu11 and Phe12 is compactly organized and stabilized either by the acyl chain or disulphide bond. This structural constraint accounts for the separation of polar face from the hydrophobic face of the peptides. Our novel peptides designed through Cys-Cys dimerization and N-terminal lipidation, will serve as a template to develop more potent antimicrobials in future, to control plant and human diseases.","author":[{"dropping-particle":"","family":"Datta","given":"Aritreyee","non-dropping-particle":"","parse-names":false,"suffix":""},{"dropping-particle":"","family":"Kundu","given":"Pallob","non-dropping-particle":"","parse-names":false,"suffix":""},{"dropping-particle":"","family":"Bhunia","given":"Anirban","non-dropping-particle":"","parse-names":false,"suffix":""}],"container-title":"Journal of Colloid and Interface Science","id":"ITEM-1","issued":{"date-parts":[["2016","1","1"]]},"page":"335-345","publisher":"Academic Press Inc.","title":"Designing potent antimicrobial peptides by disulphide linked dimerization and N-terminal lipidation to increase antimicrobial activity and membrane perturbation: Structural insights into lipopolysaccharide binding","type":"article-journal","volume":"461"},"uris":["http://www.mendeley.com/documents/?uuid=8dd0c9ea-fa72-3c7d-830c-3565e60e7d9a"]}],"mendeley":{"formattedCitation":"&lt;sup&gt;266&lt;/sup&gt;","plainTextFormattedCitation":"266","previouslyFormattedCitation":"&lt;sup&gt;266&lt;/sup&gt;"},"properties":{"noteIndex":0},"schema":"https://github.com/citation-style-language/schema/raw/master/csl-citation.json"}</w:instrText>
      </w:r>
      <w:r w:rsidR="007A4F4F">
        <w:fldChar w:fldCharType="separate"/>
      </w:r>
      <w:r w:rsidR="00C44087" w:rsidRPr="00C44087">
        <w:rPr>
          <w:noProof/>
          <w:vertAlign w:val="superscript"/>
        </w:rPr>
        <w:t>266</w:t>
      </w:r>
      <w:r w:rsidR="007A4F4F">
        <w:fldChar w:fldCharType="end"/>
      </w:r>
      <w:r w:rsidR="002035FC">
        <w:t xml:space="preserve">, with possible increased antimicrobial activity and lowered toxicity. </w:t>
      </w:r>
      <w:r w:rsidR="000D3EB6">
        <w:t>Vesicles</w:t>
      </w:r>
      <w:r w:rsidR="007A4F4F">
        <w:fldChar w:fldCharType="begin" w:fldLock="1"/>
      </w:r>
      <w:r w:rsidR="00C44087">
        <w:instrText>ADDIN CSL_CITATION {"citationItems":[{"id":"ITEM-1","itemData":{"DOI":"10.1007/s12274-017-1702-4","abstract":"Lipids exhibit an extraordinary polymorphism in self-assembled mesophases, with lamellar phases as the most relevant biological representative. To mimic lipid lamellar phases with amphiphilic designer peptides, seven systematically varied short peptides were engineered. Indeed, four peptide candidates (V 4 D, V 4 WD, V 4 WD 2 , I 4 WD 2) readily self-assembled into lamellae in aqueous solution. Small-angle X-ray scattering (SAXS) patterns revealed ordered lamellar structures with a repeat distance of ~ 4-5 nm. Transmission electron microscopy (TEM) images confirmed the presence of stacked sheets. Two derivatives (V 3 D and V 4 D 2) remained as loose aggregates dispersed in solution; one peptide (L 4 WD 2) formed twisted tapes with internal lamellae and an antiparallel β-type monomer alignment. To understand the interaction of peptides with lipids, they were mixed with phosphatidylcholines. Low peptide concentrations (1.1 mM) induced the formation of a heterogeneous mixture of vesicular structures. Large multilamellar vesicles (MLV, d-spacing ~ 6.3 nm) coexisted with oligo-or unilamellar vesicles (~ 50 nm in diameter) and bicelle-like structures (~ 45 nm length, ~ 18 nm width). High peptide concentrations (11 mM) led to unilamellar vesicles (ULV, diameter ~ 260-280 nm) with a homogeneous mixing of lipids and peptides. SAXS revealed the temperature-dependent fine structure of these ULVs. At 25 ° C the bilayer is in a fully interdigitated state (headgroup-to-headgroup distance d HH ~ 2.9 nm), whereas at 50 ° C this interdigitation opens up (d HH ~ 3.6 nm). Our results highlight the versatility of self-assembled peptide superstructures. Subtle changes in the amino acid composition are key design elements in creating peptide-or lipid-peptide nanostructures with richness in morphology similar to that of naturally occurring lipids.","author":[{"dropping-particle":"","family":"Kornmueller","given":"Karin","non-dropping-particle":"","parse-names":false,"suffix":""},{"dropping-particle":"","family":"Lehofer","given":"Bernhard","non-dropping-particle":"","parse-names":false,"suffix":""},{"dropping-particle":"","family":"Leitinger","given":"Gerd","non-dropping-particle":"","parse-names":false,"suffix":""},{"dropping-particle":"","family":"Amenitsch","given":"Heinz","non-dropping-particle":"","parse-names":false,"suffix":""},{"dropping-particle":"","family":"Prassl","given":"Ruth","non-dropping-particle":"","parse-names":false,"suffix":""}],"container-title":"Nano Research","id":"ITEM-1","issue":"2","issued":{"date-parts":[["2018"]]},"page":"913-928","title":"Peptide self-assembly into lamellar phases and the formation of lipid-peptide nanostructures","type":"article-journal","volume":"11"},"uris":["http://www.mendeley.com/documents/?uuid=c34a4596-09d2-3e22-91af-49c9c9d0e918"]}],"mendeley":{"formattedCitation":"&lt;sup&gt;267&lt;/sup&gt;","plainTextFormattedCitation":"267","previouslyFormattedCitation":"&lt;sup&gt;267&lt;/sup&gt;"},"properties":{"noteIndex":0},"schema":"https://github.com/citation-style-language/schema/raw/master/csl-citation.json"}</w:instrText>
      </w:r>
      <w:r w:rsidR="007A4F4F">
        <w:fldChar w:fldCharType="separate"/>
      </w:r>
      <w:r w:rsidR="00C44087" w:rsidRPr="00C44087">
        <w:rPr>
          <w:noProof/>
          <w:vertAlign w:val="superscript"/>
        </w:rPr>
        <w:t>267</w:t>
      </w:r>
      <w:r w:rsidR="007A4F4F">
        <w:fldChar w:fldCharType="end"/>
      </w:r>
      <w:r w:rsidR="007A4F4F">
        <w:t>, nanofibre</w:t>
      </w:r>
      <w:r w:rsidR="000D3EB6">
        <w:t>s</w:t>
      </w:r>
      <w:r w:rsidR="007A4F4F">
        <w:fldChar w:fldCharType="begin" w:fldLock="1"/>
      </w:r>
      <w:r w:rsidR="00C44087">
        <w:instrText>ADDIN CSL_CITATION {"citationItems":[{"id":"ITEM-1","itemData":{"DOI":"10.1039/c5ra24553b","ISSN":"20462069","abstract":"A significant challenge associated with systemic delivery of cationic antimicrobial peptides and polymers lies in their limited hemocompatibility toward vast numbers of circulating red blood cells (RBCs). Supramolecular assembly of cationic peptides and polymers can be an effective strategy to develop an array of antimicrobial nanomaterials with tunable material structures, stability and thus optimized bioactivity to overcome some of the existing challenges associated with conventional antimicrobials. In this work, we will demonstrate the supramolecular design of self-assembling antimicrobial nanofibers (SAANs) which have tunable supramolecular nanostructures, stability, internal molecular packing and surface chemistry through self-assembly of de novo designed cationic peptides and peptide-PEG conjugates. The interaction of the SAANs with human RBCs was evaluated in a stringent biological assay (beyond a traditional hemolysis assay) where both hemolytic and eryptotic activity were examined to establish a fundamental understanding of the correlation between material structure and hemocompatibility. It was found that although the SAANs showed moderate hemolytic activities, their abilities to induce eryptosis vary significantly and are much more sensitive to the internal molecular packing, supramolecular nanostructure and stability of the nanofiber. Improved hemocompatibility requires PEGylation on stable supramolecular nanofibers composed of a highly organized β-sheet structure while PEG conjugation on weakly packed nanofibers composed of partially denatured β-sheets did not show improvement. The current study reveals the fundamental mechanism involved in the selective hemocompatibility improvement of the SAANs upon PEG conjugation. The structure-activity relationship developed in this study will provide important guidance for the future design of a broader family of peptide and polymer-based assemblies with optimized antimicrobial activity and hemocompatibility.","author":[{"dropping-particle":"","family":"Xu","given":"Dawei","non-dropping-particle":"","parse-names":false,"suffix":""},{"dropping-particle":"","family":"Ran","given":"Qian","non-dropping-particle":"","parse-names":false,"suffix":""},{"dropping-particle":"","family":"Xiang","given":"Yang","non-dropping-particle":"","parse-names":false,"suffix":""},{"dropping-particle":"","family":"Jiang","given":"Linhai","non-dropping-particle":"","parse-names":false,"suffix":""},{"dropping-particle":"","family":"Smith","given":"Britannia M.","non-dropping-particle":"","parse-names":false,"suffix":""},{"dropping-particle":"","family":"Bou-Abdallah","given":"Fadi","non-dropping-particle":"","parse-names":false,"suffix":""},{"dropping-particle":"","family":"Lund","given":"Reidar","non-dropping-particle":"","parse-names":false,"suffix":""},{"dropping-particle":"","family":"Li","given":"Zhongjun","non-dropping-particle":"","parse-names":false,"suffix":""},{"dropping-particle":"","family":"Dong","given":"He","non-dropping-particle":"","parse-names":false,"suffix":""}],"container-title":"RSC Advances","id":"ITEM-1","issue":"19","issued":{"date-parts":[["2016","2","8"]]},"page":"15911-15919","publisher":"Royal Society of Chemistry","title":"Toward hemocompatible self-assembling antimicrobial nanofibers: Understanding the synergistic effect of supramolecular structure and PEGylation on hemocompatibility","type":"article-journal","volume":"6"},"uris":["http://www.mendeley.com/documents/?uuid=1eb01f5e-ab75-3685-96c6-31c67b29b608"]}],"mendeley":{"formattedCitation":"&lt;sup&gt;268&lt;/sup&gt;","plainTextFormattedCitation":"268","previouslyFormattedCitation":"&lt;sup&gt;268&lt;/sup&gt;"},"properties":{"noteIndex":0},"schema":"https://github.com/citation-style-language/schema/raw/master/csl-citation.json"}</w:instrText>
      </w:r>
      <w:r w:rsidR="007A4F4F">
        <w:fldChar w:fldCharType="separate"/>
      </w:r>
      <w:r w:rsidR="00C44087" w:rsidRPr="00C44087">
        <w:rPr>
          <w:noProof/>
          <w:vertAlign w:val="superscript"/>
        </w:rPr>
        <w:t>268</w:t>
      </w:r>
      <w:r w:rsidR="007A4F4F">
        <w:fldChar w:fldCharType="end"/>
      </w:r>
      <w:r w:rsidR="000D3EB6">
        <w:t xml:space="preserve"> and amyloid</w:t>
      </w:r>
      <w:r w:rsidR="007A4F4F">
        <w:t>-like</w:t>
      </w:r>
      <w:r w:rsidR="000D3EB6">
        <w:t xml:space="preserve"> fibrils</w:t>
      </w:r>
      <w:r w:rsidR="007A4F4F">
        <w:fldChar w:fldCharType="begin" w:fldLock="1"/>
      </w:r>
      <w:r w:rsidR="00C44087">
        <w:instrText>ADDIN CSL_CITATION {"citationItems":[{"id":"ITEM-1","itemData":{"DOI":"10.3233/JAD-160517","ISSN":"18758908","PMID":"27392871","abstract":"Amyloid-β (Aβ) peptides generated by the amyloidogenic pathway of amyloid-β protein precursor processing contribute significantly to neurodegeneration characteristic of Alzheimer's disease (AD). The involvement of Aβ peptides in the etiology of AD remains a subject of debate. Data published in the last 6 years by three different groups have added a new twist by revealing that Aβ peptides could act as antimicrobial peptides (AMP) in in vitro assays against some common and clinically relevant microorganisms, inhibit replication of seasonal and pandemic strains of influenza A and HSV-1 virus. These observations are of significance with respect to the notion that pathogens may be important contributors to the development of AD, particularly in the case of herpes simplex virus (HSV) infection, which often resides in the same cerebral sites where AD arises. Here, we review the data that support the interpretation that Aβ peptides behave as AMP, with an emphasis on studies concerning HSV-1 and a putative molecular mechanism that suggests that interactions between Aβ peptides and the HSV-1 fusogenic protein gB lead to impairment of HSV-1 infectivity by preventing the virus from fusing with the plasma membrane. A number of avenues for future research are suggested.","author":[{"dropping-particle":"","family":"Bourgade","given":"Karine","non-dropping-particle":"","parse-names":false,"suffix":""},{"dropping-particle":"","family":"Dupuis","given":"Gilles","non-dropping-particle":"","parse-names":false,"suffix":""},{"dropping-particle":"","family":"Frost","given":"Eric H.","non-dropping-particle":"","parse-names":false,"suffix":""},{"dropping-particle":"","family":"Fülöp","given":"Tamàs","non-dropping-particle":"","parse-names":false,"suffix":""}],"container-title":"Journal of Alzheimer's Disease","id":"ITEM-1","issue":"3","issued":{"date-parts":[["2016","1","1"]]},"page":"859-878","publisher":"IOS Press","title":"Anti-Viral Properties of Amyloid-β Peptides","type":"article-journal","volume":"54"},"uris":["http://www.mendeley.com/documents/?uuid=82ae9228-e855-34fe-8265-d14bb251c94e"]}],"mendeley":{"formattedCitation":"&lt;sup&gt;269&lt;/sup&gt;","plainTextFormattedCitation":"269","previouslyFormattedCitation":"&lt;sup&gt;269&lt;/sup&gt;"},"properties":{"noteIndex":0},"schema":"https://github.com/citation-style-language/schema/raw/master/csl-citation.json"}</w:instrText>
      </w:r>
      <w:r w:rsidR="007A4F4F">
        <w:fldChar w:fldCharType="separate"/>
      </w:r>
      <w:r w:rsidR="00C44087" w:rsidRPr="00C44087">
        <w:rPr>
          <w:noProof/>
          <w:vertAlign w:val="superscript"/>
        </w:rPr>
        <w:t>269</w:t>
      </w:r>
      <w:r w:rsidR="007A4F4F">
        <w:fldChar w:fldCharType="end"/>
      </w:r>
      <w:r w:rsidR="000D3EB6">
        <w:t xml:space="preserve"> are more complex self-assembly products that can impart additional properties such as improved delivery and hemocompatibility. Finally, AMPs can form assemblies with other molecules such as</w:t>
      </w:r>
      <w:r w:rsidR="00D71AE2">
        <w:t xml:space="preserve"> bacterial</w:t>
      </w:r>
      <w:r w:rsidR="000D3EB6">
        <w:t xml:space="preserve"> liposaccharides</w:t>
      </w:r>
      <w:r w:rsidR="007A4F4F">
        <w:fldChar w:fldCharType="begin" w:fldLock="1"/>
      </w:r>
      <w:r w:rsidR="00C44087">
        <w:instrText>ADDIN CSL_CITATION {"citationItems":[{"id":"ITEM-1","itemData":{"DOI":"10.1016/j.cocis.2013.06.003","ISSN":"13590294","abstract":"Peptide and protein interactions with (lipo)polysaccharides are important in various biological contexts, including lipoprotein deposition at proteoglycan-covered endothelial surfaces in atherosclerosis, lectin functionality, and the interaction of antimicrobial and anti-inflammatory peptides and proteins with (lipo)polysaccharides. The latter of these areas, which is the topic of this review, has attracted considerable interest during the last few years, since antimicrobial peptides may offer novel therapeutic opportunities in an era of growing problems with antibiotic resistance, and persisting problems with both acute and chronic inflammation. In the present overview, physicochemical factors affecting peptide interactions with bacterial (lipo)polysaccharides are discussed, both in solution and at membrane interfaces. In doing so, an attempt is made to illustrate how physicochemical factors affect the antimicrobial and anti-endotoxic functionality of such peptides, and how knowledge on this can be translated into therapeutic opportunities, e.g., in sepsis. © 2013 Elsevier Ltd.","author":[{"dropping-particle":"","family":"Schmidtchen","given":"Artur","non-dropping-particle":"","parse-names":false,"suffix":""},{"dropping-particle":"","family":"Malmsten","given":"Martin","non-dropping-particle":"","parse-names":false,"suffix":""}],"container-title":"Current Opinion in Colloid and Interface Science","id":"ITEM-1","issue":"5","issued":{"date-parts":[["2013","10","1"]]},"page":"381-392","publisher":"Elsevier","title":"Peptide interactions with bacterial lipopolysaccharides","type":"article-journal","volume":"18"},"uris":["http://www.mendeley.com/documents/?uuid=0404c313-05a3-3ef2-ad4d-620f352f8bbd"]}],"mendeley":{"formattedCitation":"&lt;sup&gt;270&lt;/sup&gt;","plainTextFormattedCitation":"270","previouslyFormattedCitation":"&lt;sup&gt;270&lt;/sup&gt;"},"properties":{"noteIndex":0},"schema":"https://github.com/citation-style-language/schema/raw/master/csl-citation.json"}</w:instrText>
      </w:r>
      <w:r w:rsidR="007A4F4F">
        <w:fldChar w:fldCharType="separate"/>
      </w:r>
      <w:r w:rsidR="00C44087" w:rsidRPr="00C44087">
        <w:rPr>
          <w:noProof/>
          <w:vertAlign w:val="superscript"/>
        </w:rPr>
        <w:t>270</w:t>
      </w:r>
      <w:r w:rsidR="007A4F4F">
        <w:fldChar w:fldCharType="end"/>
      </w:r>
      <w:r w:rsidR="000D3EB6">
        <w:t xml:space="preserve">, </w:t>
      </w:r>
      <w:r w:rsidR="007312FB">
        <w:t>which can give rise to antimicrobial effects.</w:t>
      </w:r>
    </w:p>
    <w:p w14:paraId="59FAA798" w14:textId="30E245B1" w:rsidR="00E37C68" w:rsidRDefault="00E37C68">
      <w:pPr>
        <w:pStyle w:val="LO-normal"/>
        <w:jc w:val="both"/>
      </w:pPr>
    </w:p>
    <w:p w14:paraId="6DD82447" w14:textId="5355BA59" w:rsidR="001529CF" w:rsidRDefault="00492337">
      <w:pPr>
        <w:pStyle w:val="LO-normal"/>
        <w:jc w:val="both"/>
      </w:pPr>
      <w:r>
        <w:lastRenderedPageBreak/>
        <w:t xml:space="preserve">However, not all computational studies of AMP aggregation require the presence of a membrane, even if pore formation is the focus of the investigation. Marinova </w:t>
      </w:r>
      <w:r>
        <w:rPr>
          <w:i/>
        </w:rPr>
        <w:t>et al.</w:t>
      </w:r>
      <w:r>
        <w:t>, for example, note how computational AMP-bilayer studies may start from systems featuring only a single AMP interacting with a lipid bilayer</w:t>
      </w:r>
      <w:r w:rsidR="008174BA">
        <w:fldChar w:fldCharType="begin" w:fldLock="1"/>
      </w:r>
      <w:r w:rsidR="00C44087">
        <w:instrText>ADDIN CSL_CITATION {"citationItems":[{"id":"ITEM-1","itemData":{"DOI":"10.1038/ncomms13535","ISSN":"20411723","PMID":"27874004","abstract":"Many antimicrobial peptides (AMPs) selectively target and form pores in microbial membranes. However, the mechanisms of membrane targeting, pore formation and function remain elusive. Here we report an experimentally guided unbiased simulation methodology that yields the mechanism of spontaneous pore assembly for the AMP maculatin at atomic resolution. Rather than a single pore, maculatin forms an ensemble of structurally diverse temporarily functional low-oligomeric pores, which mimic integral membrane protein channels in structure. These pores continuously form and dissociate in the membrane. Membrane permeabilization is dominated by hexa-, hepta-and octamers, which conduct water, ions and small dyes. Pores form by consecutive addition of individual helices to a transmembrane helix or helix bundle, in contrast to current poration models. The diversity of the pore architectures-formed by a single sequence-may be a key feature in preventing bacterial resistance and could explain why sequence-function relationships in AMPs remain elusive.","author":[{"dropping-particle":"","family":"Wang","given":"Yukun","non-dropping-particle":"","parse-names":false,"suffix":""},{"dropping-particle":"","family":"Chen","given":"Charles H.","non-dropping-particle":"","parse-names":false,"suffix":""},{"dropping-particle":"","family":"Hu","given":"Dan","non-dropping-particle":"","parse-names":false,"suffix":""},{"dropping-particle":"","family":"Ulmschneider","given":"Martin B.","non-dropping-particle":"","parse-names":false,"suffix":""},{"dropping-particle":"","family":"Ulmschneider","given":"Jakob P.","non-dropping-particle":"","parse-names":false,"suffix":""}],"container-title":"Nature Communications","id":"ITEM-1","issue":"1","issued":{"date-parts":[["2016","11","22"]]},"page":"1-9","publisher":"Nature Publishing Group","title":"Spontaneous formation of structurally diverse membrane channel architectures from a single antimicrobial peptide","type":"article-journal","volume":"7"},"uris":["http://www.mendeley.com/documents/?uuid=e0aa1e23-2255-374b-839a-c6a79f40278e"]},{"id":"ITEM-2","itemData":{"DOI":"10.1016/j.bpj.2014.02.031","ISSN":"15420086","PMID":"24739184","abstract":"We use all-atom molecular dynamics simulations on a massive scale to compute the standard binding free energy of the 13-residue antimicrobial peptide indolicidin to a lipid bilayer. The analysis of statistical convergence reveals systematic sampling errors that correlate with reorganization of the bilayer on the microsecond timescale and persist throughout a total of 1.4 ms of sampling. Consistent with experimental observations, indolicidin induces membrane thinning, although the simulations significantly overestimate the lipophilicity of the peptide. © 2014 Biophysical Society.","author":[{"dropping-particle":"","family":"Neale","given":"Chris","non-dropping-particle":"","parse-names":false,"suffix":""},{"dropping-particle":"","family":"Hsu","given":"Jenny C.Y.","non-dropping-particle":"","parse-names":false,"suffix":""},{"dropping-particle":"","family":"Yip","given":"Christopher M.","non-dropping-particle":"","parse-names":false,"suffix":""},{"dropping-particle":"","family":"Pomès","given":"Régis","non-dropping-particle":"","parse-names":false,"suffix":""}],"container-title":"Biophysical Journal","id":"ITEM-2","issue":"8","issued":{"date-parts":[["2014","4","15"]]},"page":"L29-31","publisher":"Biophysical Society","title":"Indolicidin binding induces thinning of a lipid bilayer","type":"article-journal","volume":"106"},"uris":["http://www.mendeley.com/documents/?uuid=ca0f0235-69a8-3baf-9d68-997865296319"]},{"id":"ITEM-3","itemData":{"DOI":"10.1016/j.peptides.2015.03.003","ISSN":"18735169","PMID":"25805002","abstract":"A new antimicrobial peptide, herein named Stigmurin, was selected based on a transcriptomic analysis of the Brazilian yellow scorpion Tityus stigmurus venom gland, an underexplored source for toxic peptides with possible biotechnological applications. Stigmurin was investigated in silico, by circular dichroism (CD) spectroscopy, and in vitro. The CD spectra suggested that this peptide interacts with membranes, changing its conformation in the presence of an amphipathic environment, with predominance of random coil and beta-sheet structures. Stigmurin exhibited antibacterial and antifungal activity, with minimal inhibitory concentrations ranging from 8.7 to 69.5 μM. It was also showed that Stigmurin is toxic against SiHa and Vero E6 cell lines. The results suggest that Stigmurin can be considered a potential anti-infective drug.","author":[{"dropping-particle":"","family":"Melo","given":"Edinara Targino","non-dropping-particle":"De","parse-names":false,"suffix":""},{"dropping-particle":"","family":"Estrela","given":"Andréia Bergamo","non-dropping-particle":"","parse-names":false,"suffix":""},{"dropping-particle":"","family":"Santos","given":"Elizabeth Cristina Gomes","non-dropping-particle":"","parse-names":false,"suffix":""},{"dropping-particle":"","family":"Machado","given":"Paula Renata Lima","non-dropping-particle":"","parse-names":false,"suffix":""},{"dropping-particle":"","family":"Farias","given":"Kleber Juvenal Silva","non-dropping-particle":"","parse-names":false,"suffix":""},{"dropping-particle":"","family":"Torres","given":"Taffarel Melo","non-dropping-particle":"","parse-names":false,"suffix":""},{"dropping-particle":"","family":"Carvalho","given":"Enéas","non-dropping-particle":"","parse-names":false,"suffix":""},{"dropping-particle":"","family":"Lima","given":"João Paulo Matos Santos","non-dropping-particle":"","parse-names":false,"suffix":""},{"dropping-particle":"","family":"Silva-Júnior","given":"Arnóbio Antonio","non-dropping-particle":"","parse-names":false,"suffix":""},{"dropping-particle":"","family":"Barbosa","given":"Euzébio Guimarães","non-dropping-particle":"","parse-names":false,"suffix":""},{"dropping-particle":"","family":"Fernandes-Pedrosa","given":"Matheus De Freitas","non-dropping-particle":"","parse-names":false,"suffix":""}],"container-title":"Peptides","id":"ITEM-3","issued":{"date-parts":[["2015","6","1"]]},"page":"3-10","publisher":"Elsevier Inc.","title":"Structural characterization of a novel peptide with antimicrobial activity from the venom gland of the scorpion Tityus stigmurus: Stigmurin","type":"article-journal","volume":"68"},"uris":["http://www.mendeley.com/documents/?uuid=297f0c7d-c6d8-3ab2-9df2-ad960f56e251"]}],"mendeley":{"formattedCitation":"&lt;sup&gt;184,240,271&lt;/sup&gt;","plainTextFormattedCitation":"184,240,271","previouslyFormattedCitation":"&lt;sup&gt;184,240,271&lt;/sup&gt;"},"properties":{"noteIndex":0},"schema":"https://github.com/citation-style-language/schema/raw/master/csl-citation.json"}</w:instrText>
      </w:r>
      <w:r w:rsidR="008174BA">
        <w:fldChar w:fldCharType="separate"/>
      </w:r>
      <w:r w:rsidR="00C44087" w:rsidRPr="00C44087">
        <w:rPr>
          <w:noProof/>
          <w:vertAlign w:val="superscript"/>
        </w:rPr>
        <w:t>184,240,271</w:t>
      </w:r>
      <w:r w:rsidR="008174BA">
        <w:fldChar w:fldCharType="end"/>
      </w:r>
      <w:r>
        <w:t>, but that may not be the form adopted when they interact with the membrane. Using indolicidin as a model AMP and employing CG simulations</w:t>
      </w:r>
      <w:r w:rsidR="008174BA">
        <w:fldChar w:fldCharType="begin" w:fldLock="1"/>
      </w:r>
      <w:r w:rsidR="00576689">
        <w:instrText>ADDIN CSL_CITATION {"citationItems":[{"id":"ITEM-1","itemData":{"DOI":"10.1007/978-3-319-97277-0_21","ISSN":"1860949X","abstract":"Understanding the mechanism of action of antimicrobial peptides (AMPs) on bacterial cells requires detailed knowledge of how AMPs interact with bacterial membranes. Our hypothesis is that the peptides do not interact with the membrane as monomers, but rather form clusters, that collectively approach the cell and attack the membrane. In this paper we investigate the behavior of the antimicrobial peptide indolicidin in solution, prior to their interaction with the bacterial membrane, by means of coarse grain molecular dynamics simulations (CG-MD). We show that indolicidin in particular and, probably, charged linear AMPs in general tend to aggregate in solution, forming globular amphipathic clusters with a central hydrophobic core. The dependence of the clusters size on the peptide concentration and on the temperature is studied, as well as the influence of the finite size of the simulation box. Our results manifest the investigation of the AMPs behavior in solution prior to membrane impact as an indispensable element in revealing the mechanism of their antimicrobial activity.","author":[{"dropping-particle":"","family":"Marinova","given":"Rositsa","non-dropping-particle":"","parse-names":false,"suffix":""},{"dropping-particle":"","family":"Petkov","given":"Peicho","non-dropping-particle":"","parse-names":false,"suffix":""},{"dropping-particle":"","family":"Ilieva","given":"Nevena","non-dropping-particle":"","parse-names":false,"suffix":""},{"dropping-particle":"","family":"Lilkova","given":"Elena","non-dropping-particle":"","parse-names":false,"suffix":""},{"dropping-particle":"","family":"Litov","given":"Leandar","non-dropping-particle":"","parse-names":false,"suffix":""}],"container-title":"Studies in Computational Intelligence","id":"ITEM-1","issued":{"date-parts":[["2019","12","20"]]},"page":"257-265","publisher":"Springer Verlag","title":"Molecular dynamics study of the solution behaviour of antimicrobial peptide indolicidin","type":"chapter","volume":"793"},"uris":["http://www.mendeley.com/documents/?uuid=11ff9ba8-2231-3d4d-9abf-09fcb6946e7c"]}],"mendeley":{"formattedCitation":"&lt;sup&gt;229&lt;/sup&gt;","plainTextFormattedCitation":"229","previouslyFormattedCitation":"&lt;sup&gt;229&lt;/sup&gt;"},"properties":{"noteIndex":0},"schema":"https://github.com/citation-style-language/schema/raw/master/csl-citation.json"}</w:instrText>
      </w:r>
      <w:r w:rsidR="008174BA">
        <w:fldChar w:fldCharType="separate"/>
      </w:r>
      <w:r w:rsidR="00A313B9" w:rsidRPr="00A313B9">
        <w:rPr>
          <w:noProof/>
          <w:vertAlign w:val="superscript"/>
        </w:rPr>
        <w:t>229</w:t>
      </w:r>
      <w:r w:rsidR="008174BA">
        <w:fldChar w:fldCharType="end"/>
      </w:r>
      <w:r>
        <w:t>, they investigated the behaviour of the peptide in solution, determining that it forms aggregates very quickly with an average size of 14 monomers per cluster, which could be even larger depending on the simulation conditions. This is an important observation, as it informs any further studies of the peptide with bilayers by determining the most likely structure adopted by the AMP when interacting with the membrane, and therefore the most adequate starting point for any such simulation. A similar study into the solution behaviour of melittin</w:t>
      </w:r>
      <w:r w:rsidR="008174BA">
        <w:fldChar w:fldCharType="begin" w:fldLock="1"/>
      </w:r>
      <w:r w:rsidR="00576689">
        <w:instrText>ADDIN CSL_CITATION {"citationItems":[{"id":"ITEM-1","itemData":{"DOI":"10.1021/acs.jpcb.5b03254","ISSN":"15205207","PMID":"26208115","abstract":"Melittin is a natural peptide that aggregates in aqueous solutions with paradigmatic monomer-to-tetramer and coil-to-helix transitions. Since little is known about the molecular mechanisms of melittin aggregation in solution, we simulated its self-aggregation process under various conditions. After confirming the stability of a melittin tetramer in solution, we observed-for the first time in atomistic detail-that four separated melittin monomers aggregate into a tetramer. Our simulated dependence of melittin aggregation on peptide concentration, temperature, and ionic strength is in good agreement with prior experiments. We propose that melittin mainly self-aggregates via a mechanism involving the sequential addition of monomers, which is supported by both qualitative and quantitative evidence obtained from unbiased and metadynamics simulations. Moreover, by combining computer simulations and a theory of the electrical double layer, we provide evidence to suggest why melittin aggregation in solution likely stops at the tetramer, rather than forming higher-order oligomers. Overall, our study not only explains prior experimental results at the molecular level but also provides quantitative mechanistic information that may guide the engineering of melittin for higher efficacy and safety.","author":[{"dropping-particle":"","family":"Liao","given":"Chenyi","non-dropping-particle":"","parse-names":false,"suffix":""},{"dropping-particle":"","family":"Esai Selvan","given":"Myvizhi","non-dropping-particle":"","parse-names":false,"suffix":""},{"dropping-particle":"","family":"Zhao","given":"Jun","non-dropping-particle":"","parse-names":false,"suffix":""},{"dropping-particle":"","family":"Slimovitch","given":"Jonathan L.","non-dropping-particle":"","parse-names":false,"suffix":""},{"dropping-particle":"","family":"Schneebeli","given":"Severin T.","non-dropping-particle":"","parse-names":false,"suffix":""},{"dropping-particle":"","family":"Shelley","given":"Mee","non-dropping-particle":"","parse-names":false,"suffix":""},{"dropping-particle":"","family":"Shelley","given":"John C.","non-dropping-particle":"","parse-names":false,"suffix":""},{"dropping-particle":"","family":"Li","given":"Jianing","non-dropping-particle":"","parse-names":false,"suffix":""}],"container-title":"Journal of Physical Chemistry B","id":"ITEM-1","issue":"33","issued":{"date-parts":[["2015","8","20"]]},"page":"10390-10398","publisher":"American Chemical Society","title":"Melittin Aggregation in Aqueous Solutions: Insight from Molecular Dynamics Simulations","type":"article-journal","volume":"119"},"uris":["http://www.mendeley.com/documents/?uuid=764a5b9d-eda2-372f-b2dc-6f2ea9f220a8"]}],"mendeley":{"formattedCitation":"&lt;sup&gt;226&lt;/sup&gt;","plainTextFormattedCitation":"226","previouslyFormattedCitation":"&lt;sup&gt;226&lt;/sup&gt;"},"properties":{"noteIndex":0},"schema":"https://github.com/citation-style-language/schema/raw/master/csl-citation.json"}</w:instrText>
      </w:r>
      <w:r w:rsidR="008174BA">
        <w:fldChar w:fldCharType="separate"/>
      </w:r>
      <w:r w:rsidR="00A313B9" w:rsidRPr="00A313B9">
        <w:rPr>
          <w:noProof/>
          <w:vertAlign w:val="superscript"/>
        </w:rPr>
        <w:t>226</w:t>
      </w:r>
      <w:r w:rsidR="008174BA">
        <w:fldChar w:fldCharType="end"/>
      </w:r>
      <w:r>
        <w:t xml:space="preserve"> found that it preferentially forms tetramers in solution; these aggregates need to be considered when investigating membrane-bound conformations, as the presence of multiple peptides may affect their secondary structures</w:t>
      </w:r>
      <w:r w:rsidR="008174BA">
        <w:fldChar w:fldCharType="begin" w:fldLock="1"/>
      </w:r>
      <w:r w:rsidR="00576689">
        <w:instrText>ADDIN CSL_CITATION {"citationItems":[{"id":"ITEM-1","itemData":{"DOI":"10.1021/acs.jpcb.5b07375","ISSN":"15205207","PMID":"26561987","abstract":"Model membranes composed of various lipid mixtures can segregate into liquid-ordered (Lo) and liquid-disordered (Ld) phases. In this study, lipid vesicles composed of mainly Lo or Ld phases as well as complex lipid systems representing the cytosolic leaflet of the myelin membrane were characterized by fluorescence resonance energy transfer with a donor/acceptor pair that preferentially partitioned into Lo or Ld phases, respectively. The fluidity of the lipid systems containing &gt;30% cholesterol was modulated in the presence of the amphipathic peptide melittin. With all the studied lipid systems, melittin attained an α-helical conformation as determined by CD spectroscopy and attained varying degrees of membrane association and penetration as determined by intrinsic Trp fluorescence. The other protein domain utilized was a putative amphipathic helical peptide derived from the cytosolic C-terminal sequence of proteolipid protein (PLP) which is the most abundant protein in the myelin membrane. The C-terminal PLP peptide transitioned from a random coil to an α-helix in the presence of trifluoroethanol. Upon interacting with each of lipid vesicle system, the PLP peptide also folded into a helix; however, at high concentrations of the peptide with fluid lipid systems, associated helices transmuted into a β-sheet conformer. The membrane-associated aggregation of the cytosolic C-termini could be a mechanism by which the transmembrane PLP multimerizes in the myelin membrane.","author":[{"dropping-particle":"","family":"Appadu","given":"Ashtina","non-dropping-particle":"","parse-names":false,"suffix":""},{"dropping-particle":"","family":"Jelokhani-Niaraki","given":"Masoud","non-dropping-particle":"","parse-names":false,"suffix":""},{"dropping-particle":"","family":"DeBruin","given":"Lillian","non-dropping-particle":"","parse-names":false,"suffix":""}],"container-title":"Journal of Physical Chemistry B","id":"ITEM-1","issue":"47","issued":{"date-parts":[["2015","11","12"]]},"page":"14821-14830","publisher":"American Chemical Society","title":"Conformational Changes and Association of Membrane-Interacting Peptides in Myelin Membrane Models: A Case of the C-Terminal Peptide of Proteolipid Protein and the Antimicrobial Peptide Melittin","type":"article-journal","volume":"119"},"uris":["http://www.mendeley.com/documents/?uuid=0f60aa49-bab1-3292-8448-8b7224cfd67e"]}],"mendeley":{"formattedCitation":"&lt;sup&gt;243&lt;/sup&gt;","plainTextFormattedCitation":"243","previouslyFormattedCitation":"&lt;sup&gt;243&lt;/sup&gt;"},"properties":{"noteIndex":0},"schema":"https://github.com/citation-style-language/schema/raw/master/csl-citation.json"}</w:instrText>
      </w:r>
      <w:r w:rsidR="008174BA">
        <w:fldChar w:fldCharType="separate"/>
      </w:r>
      <w:r w:rsidR="00A313B9" w:rsidRPr="00A313B9">
        <w:rPr>
          <w:noProof/>
          <w:vertAlign w:val="superscript"/>
        </w:rPr>
        <w:t>243</w:t>
      </w:r>
      <w:r w:rsidR="008174BA">
        <w:fldChar w:fldCharType="end"/>
      </w:r>
      <w:r>
        <w:t>. These observations, however, need to be considered carefully, as the relationship between the behaviour in aqueous solution and the membrane-bound conformation may not be universal for all AMPs: for example, based on mathematical models</w:t>
      </w:r>
      <w:r w:rsidR="008174BA">
        <w:fldChar w:fldCharType="begin" w:fldLock="1"/>
      </w:r>
      <w:r w:rsidR="00C44087">
        <w:instrText>ADDIN CSL_CITATION {"citationItems":[{"id":"ITEM-1","itemData":{"DOI":"10.1016/0005-2736(86)90412-8","ISSN":"00052736","PMID":"3756150","abstract":"Interaction of the pore-forming antibiotic alamethicin with small unilamellar vesicles of dioleoylphosphatidylcholine has been studied by means of circular dichroism. The data strongly suggest that alamethicin does not bind to the surface of the vesicles but incorporates into the lipid phase to a fairly large extent. Furthermore, aggregation of the peptide in the membrane is apparent from the existence of a 'critical concentration'. Quantitative evaluation and interpretation of the data rest on a quite generally applicable thermodynamic analysis. The underlying phenomenon is treated in terms of a partition equilibrium between the aqueous and lipid media. In the bilayer phase non-ideal interactions (described by appropriate activity coefficients) as well as aggregate formation are considered. Using this approach the relebant parameters of the alamethicin-lipid system have been determined (yielding, in particular, a partition coefficient of 1.3 · 103 for the monomeric peptide and a critical aqueous sconcentration of 2.5 μM). Finally, the possible relebance of these results for the voltage-dependent gating of alamethicin is briefly pointed out. © 1986.","author":[{"dropping-particle":"","family":"Schwarz","given":"Gerhard","non-dropping-particle":"","parse-names":false,"suffix":""},{"dropping-particle":"","family":"Stankowski","given":"Stefan","non-dropping-particle":"","parse-names":false,"suffix":""},{"dropping-particle":"","family":"Rizzo","given":"Vincenzo","non-dropping-particle":"","parse-names":false,"suffix":""}],"container-title":"BBA - Biomembranes","id":"ITEM-1","issue":"C","issued":{"date-parts":[["1986","1","1"]]},"page":"141-151","publisher":"Elsevier","title":"Thermodynamic analysis of incorporation and aggregation in a membrane: Application to the pore-forming peptide alamethicin","type":"article-journal","volume":"861"},"uris":["http://www.mendeley.com/documents/?uuid=2747c1d8-a587-301b-8796-c865433d7a04"]}],"mendeley":{"formattedCitation":"&lt;sup&gt;272&lt;/sup&gt;","plainTextFormattedCitation":"272","previouslyFormattedCitation":"&lt;sup&gt;272&lt;/sup&gt;"},"properties":{"noteIndex":0},"schema":"https://github.com/citation-style-language/schema/raw/master/csl-citation.json"}</w:instrText>
      </w:r>
      <w:r w:rsidR="008174BA">
        <w:fldChar w:fldCharType="separate"/>
      </w:r>
      <w:r w:rsidR="00C44087" w:rsidRPr="00C44087">
        <w:rPr>
          <w:noProof/>
          <w:vertAlign w:val="superscript"/>
        </w:rPr>
        <w:t>272</w:t>
      </w:r>
      <w:r w:rsidR="008174BA">
        <w:fldChar w:fldCharType="end"/>
      </w:r>
      <w:r>
        <w:t>, alamethicin may be monomeric in solution and form aggregates only in the presence of membranes; protegrin-1 is known to form fibrils in solution</w:t>
      </w:r>
      <w:r w:rsidR="008174BA">
        <w:fldChar w:fldCharType="begin" w:fldLock="1"/>
      </w:r>
      <w:r w:rsidR="00C44087">
        <w:instrText>ADDIN CSL_CITATION {"citationItems":[{"id":"ITEM-1","itemData":{"DOI":"10.1016/j.bpj.2011.01.072","ISSN":"15420086","abstract":"Protegrin-1 (PG-1) is an 18 residues long, cysteine-rich βsheet antimicrobial peptide (AMP). PG-1 induces strong cytotoxic activities on cell membrane and acts as a potent antibiotic agent. Earlier we reported that its cytotoxicity is mediated by its channel-forming ability. In this study, we have examined the amyloidogenic fibril formation properties of PG-1 in comparison with a well-defined amyloid, the amyloid-β (Aβ1-42) peptide. We have used atomic force microscopy (AFM) and thioflavin-T staining to investigate the kinetics of PG-1 fibrils growth and molecular dynamics simulations to elucidate the underlying mechanism. AFM images of PG-1 on a highly hydrophilic surface (mica) show fibrils with morphological similarities to Aβ1-42 fibrils. Real-time AFM imaging of fibril growth suggests that PG-1 fibril growth follows a relatively fast kinetics compared to the Aβ1-42 fibrils. The AFM results are in close agreement with results from thioflavin-T staining data. Furthermore, the results indicate that PG-1 forms fibrils in solution. Significantly, in contrast, we do not detect fibrillar structures of PG-1 on an anionic lipid bilayer 2-dioleoyl-sn-glycero- 3-phospho-L-serine/1-palmitoyl-2-oleoyl-sn-glycero-3-phosphoethanolamine; only small PG-1 oligomers can be observed. Molecular dynamics simulations are able to identify the presence of these small oligomers on the membrane bilayer. Thus, our current results show that cytotoxic AMP PG-1 is amyloidogenic and capable of forming fibrils. Overall, comparing βrich AMPs and amyloids such as Aβ, in addition to cytotoxicity and amyloidogenicity, they share a common structural motif, and are channel forming. These combined properties support a functional relationship between amyloidogenic peptides and βsheet-rich cytolytic AMPs, suggesting that amyloids channels may have an antimicrobial function. © 2011 by the Biophysical Society.","author":[{"dropping-particle":"","family":"Jang","given":"Hyunbum","non-dropping-particle":"","parse-names":false,"suffix":""},{"dropping-particle":"","family":"Arce","given":"Fernando Teran","non-dropping-particle":"","parse-names":false,"suffix":""},{"dropping-particle":"","family":"Mustata","given":"Mirela","non-dropping-particle":"","parse-names":false,"suffix":""},{"dropping-particle":"","family":"Ramachandran","given":"Srinivasan","non-dropping-particle":"","parse-names":false,"suffix":""},{"dropping-particle":"","family":"Capone","given":"Ricardo","non-dropping-particle":"","parse-names":false,"suffix":""},{"dropping-particle":"","family":"Nussinov","given":"Ruth","non-dropping-particle":"","parse-names":false,"suffix":""},{"dropping-particle":"","family":"Lal","given":"Ratnesh","non-dropping-particle":"","parse-names":false,"suffix":""}],"container-title":"Biophysical Journal","id":"ITEM-1","issue":"7","issued":{"date-parts":[["2011","4","6"]]},"page":"1775-1783","publisher":"Biophysical Society","title":"Antimicrobial protegrin-1 forms amyloid-like fibrils with rapid kinetics suggesting a functional link","type":"article-journal","volume":"100"},"uris":["http://www.mendeley.com/documents/?uuid=4441822f-3bbd-31db-a41e-3ebea0864c3d"]}],"mendeley":{"formattedCitation":"&lt;sup&gt;273&lt;/sup&gt;","plainTextFormattedCitation":"273","previouslyFormattedCitation":"&lt;sup&gt;273&lt;/sup&gt;"},"properties":{"noteIndex":0},"schema":"https://github.com/citation-style-language/schema/raw/master/csl-citation.json"}</w:instrText>
      </w:r>
      <w:r w:rsidR="008174BA">
        <w:fldChar w:fldCharType="separate"/>
      </w:r>
      <w:r w:rsidR="00C44087" w:rsidRPr="00C44087">
        <w:rPr>
          <w:noProof/>
          <w:vertAlign w:val="superscript"/>
        </w:rPr>
        <w:t>273</w:t>
      </w:r>
      <w:r w:rsidR="008174BA">
        <w:fldChar w:fldCharType="end"/>
      </w:r>
      <w:r>
        <w:t>, but to interact with micelles as a dimer</w:t>
      </w:r>
      <w:r w:rsidR="008174BA">
        <w:fldChar w:fldCharType="begin" w:fldLock="1"/>
      </w:r>
      <w:r w:rsidR="00C44087">
        <w:instrText>ADDIN CSL_CITATION {"citationItems":[{"id":"ITEM-1","itemData":{"DOI":"10.1016/S0014-5793(97)01579-2","ISSN":"00145793","PMID":"9468319","abstract":"Protegrins are members of a family of five Cys-rich naturally occurring cationic antimicrobial peptides. The NMR solution structure of protegrin-1 (PG-1) has been previously determined as a monomeric β-hairpin both in water and in dimethylsulfoside solution. Proteins are bactericidal peptides but their mechanism of action is still unknown. In order to investigate the structural basis of their cytotoxicity we studied the effect of lipid micelles on the structure of PG-1. The NMR study reported in the present work indicates that PG-1 adopts a dimeric structure when it binds to dodecylphosphocholine micelles. Moreover, the amide proton exchange study suggests the possibility of an association between several dimers.","author":[{"dropping-particle":"","family":"Roumestand","given":"Christian","non-dropping-particle":"","parse-names":false,"suffix":""},{"dropping-particle":"","family":"Louis","given":"Valérie","non-dropping-particle":"","parse-names":false,"suffix":""},{"dropping-particle":"","family":"Aumelas","given":"André","non-dropping-particle":"","parse-names":false,"suffix":""},{"dropping-particle":"","family":"Grassy","given":"Gérard","non-dropping-particle":"","parse-names":false,"suffix":""},{"dropping-particle":"","family":"Calas","given":"Bernard","non-dropping-particle":"","parse-names":false,"suffix":""},{"dropping-particle":"","family":"Chavanieu","given":"Alain","non-dropping-particle":"","parse-names":false,"suffix":""}],"container-title":"FEBS Letters","id":"ITEM-1","issue":"3","issued":{"date-parts":[["1998","1","16"]]},"page":"263-267","publisher":"FEBS Lett","title":"Oligomerization of protegrin-1 in the presence of DPC micelles. A proton high-resolution NMR study","type":"article-journal","volume":"421"},"uris":["http://www.mendeley.com/documents/?uuid=1053a5da-e50d-32fd-8fdb-caaa955122f0"]}],"mendeley":{"formattedCitation":"&lt;sup&gt;274&lt;/sup&gt;","plainTextFormattedCitation":"274","previouslyFormattedCitation":"&lt;sup&gt;274&lt;/sup&gt;"},"properties":{"noteIndex":0},"schema":"https://github.com/citation-style-language/schema/raw/master/csl-citation.json"}</w:instrText>
      </w:r>
      <w:r w:rsidR="008174BA">
        <w:fldChar w:fldCharType="separate"/>
      </w:r>
      <w:r w:rsidR="00C44087" w:rsidRPr="00C44087">
        <w:rPr>
          <w:noProof/>
          <w:vertAlign w:val="superscript"/>
        </w:rPr>
        <w:t>274</w:t>
      </w:r>
      <w:r w:rsidR="008174BA">
        <w:fldChar w:fldCharType="end"/>
      </w:r>
      <w:r>
        <w:t>. Further computational studies suggest that protegrin-1 needs to form structures comprising of 8 to 10 peptides to have AMP activity</w:t>
      </w:r>
      <w:r w:rsidR="008174BA">
        <w:fldChar w:fldCharType="begin" w:fldLock="1"/>
      </w:r>
      <w:r w:rsidR="00C44087">
        <w:instrText>ADDIN CSL_CITATION {"citationItems":[{"id":"ITEM-1","itemData":{"DOI":"10.1002/psc.2992","ISSN":"10991387","PMID":"28382709","abstract":"Protegrin-1 is a widely studied 18-residue β-hairpin antimicrobial peptide. Evidence suggests that it acts via a β-barrel pore formation mechanism, but the exact number of peptides comprising the pore state is unknown. In this study, we performed molecular dynamics simulations of β-barrels of protegrin and three related mutants (v14v16l, v14v16a, and r4n) in NCNC parallel topology in implicit membrane pores of varying radius and curvature for oligomeric numbers 6–14. We then identified the optimal pore radius and curvature values for all constructs and determined the total effective energy and the translational and rotational entropic losses. These, along with an estimate of membrane deformation free energy from experimental line tension values, provided an estimate of the overall energetics of formation of each pore state. The results indicated that oligomeric numbers 7–13 are generally stable, allowing the possibility of a heterogeneous pore state. The optimal oligomeric state for protegrin is the nonamer, shifting to higher numbers for the mutants. Protegrin, v14v16l, and r4n are stable as membrane-inserted β-barrels, but v14v16a seems much less so because of its decreased hydrophobicity. Copyright © 2017 European Peptide Society and John Wiley &amp; Sons, Ltd.","author":[{"dropping-particle":"","family":"Lipkin","given":"Richard","non-dropping-particle":"","parse-names":false,"suffix":""},{"dropping-particle":"","family":"Lazaridis","given":"Themis","non-dropping-particle":"","parse-names":false,"suffix":""}],"container-title":"Journal of Peptide Science","id":"ITEM-1","issue":"4","issued":{"date-parts":[["2017","4","1"]]},"page":"334-345","publisher":"John Wiley and Sons Ltd","title":"Computational prediction of the optimal oligomeric state for membrane-inserted β-barrels of protegrin-1 and related mutants","type":"article-journal","volume":"23"},"uris":["http://www.mendeley.com/documents/?uuid=eef01391-f150-369f-9d4f-c9efb3fd8690"]}],"mendeley":{"formattedCitation":"&lt;sup&gt;275&lt;/sup&gt;","plainTextFormattedCitation":"275","previouslyFormattedCitation":"&lt;sup&gt;275&lt;/sup&gt;"},"properties":{"noteIndex":0},"schema":"https://github.com/citation-style-language/schema/raw/master/csl-citation.json"}</w:instrText>
      </w:r>
      <w:r w:rsidR="008174BA">
        <w:fldChar w:fldCharType="separate"/>
      </w:r>
      <w:r w:rsidR="00C44087" w:rsidRPr="00C44087">
        <w:rPr>
          <w:noProof/>
          <w:vertAlign w:val="superscript"/>
        </w:rPr>
        <w:t>275</w:t>
      </w:r>
      <w:r w:rsidR="008174BA">
        <w:fldChar w:fldCharType="end"/>
      </w:r>
      <w:r>
        <w:t>.</w:t>
      </w:r>
    </w:p>
    <w:p w14:paraId="17F49E26" w14:textId="77777777" w:rsidR="001529CF" w:rsidRDefault="001529CF">
      <w:pPr>
        <w:pStyle w:val="LO-normal"/>
        <w:jc w:val="both"/>
      </w:pPr>
    </w:p>
    <w:p w14:paraId="1E63D014" w14:textId="0BBCE63B" w:rsidR="001529CF" w:rsidRDefault="00492337">
      <w:pPr>
        <w:pStyle w:val="LO-normal"/>
        <w:jc w:val="both"/>
      </w:pPr>
      <w:r>
        <w:t>There is also a host of enhanced sampling techniques reported in the literature that can be used to further, complement or aid studies of AMP aggregation, as well as integration with advanced experimental data. A simple and direct thermodynamic parameter to characterize the peptide aggregation propensity is the dimerization free energy (e.g., the potential of mean force), which has been extensively studied using MD simulations</w:t>
      </w:r>
      <w:r w:rsidR="00BB5140">
        <w:fldChar w:fldCharType="begin" w:fldLock="1"/>
      </w:r>
      <w:r w:rsidR="00C44087">
        <w:instrText>ADDIN CSL_CITATION {"citationItems":[{"id":"ITEM-1","itemData":{"DOI":"10.1016/j.bpj.2008.11.076","ISSN":"15420086","PMID":"19486660","abstract":"Helical β-peptides have been shown to fold into well-defined structures. In aqueous solution, some β-peptides selfassemble into nanoscale fibers, aggregates, and liquid crystalline phases. Molecular simulations, at an atomistic level, are used to examine, in a systematic manner, the interactions between distinct β-peptide molecules. The relationship between side-chain chemistry (and position along the backbone) and, in particular, aggregation behaviors, is assessed by calculating the potential of mean force or dimerization free energy of two peptides in explicit water. The free energy profiles as a function of separation for helical, amphiphilic β-peptides are consistent with experimental observations, and help explain the origins of aggregate or fiber formation in solution. Close examination of the energetic and entropic contributions to the free energy reveals that, depending on the position of certain side groups along the molecule, the tendency of two peptides to aggregate can be driven by entropy or by energy, respectively. In contrast to findings from previous works that employed a coarse representation of the solvent, it is shown that water-peptide interactions play key roles in the association behavior of β-peptides. © 2009 by the Biophysical Society.","author":[{"dropping-particle":"","family":"Miller","given":"Clark A.","non-dropping-particle":"","parse-names":false,"suffix":""},{"dropping-particle":"","family":"Gellman","given":"Samuel H.","non-dropping-particle":"","parse-names":false,"suffix":""},{"dropping-particle":"","family":"Abbott","given":"Nicholas L.","non-dropping-particle":"","parse-names":false,"suffix":""},{"dropping-particle":"","family":"Pablo","given":"Juan J.","non-dropping-particle":"De","parse-names":false,"suffix":""}],"container-title":"Biophysical Journal","id":"ITEM-1","issue":"11","issued":{"date-parts":[["2009","6","3"]]},"page":"4349-4362","publisher":"Biophysical Society","title":"Association of helical β-peptides and their aggregation behavior from the potential of mean force in explicit solvent","type":"article-journal","volume":"96"},"uris":["http://www.mendeley.com/documents/?uuid=c42f87f0-70b5-3d8c-90b2-a5b792bf3150"]},{"id":"ITEM-2","itemData":{"DOI":"10.1021/ja050767x","ISSN":"00027863","PMID":"16190716","abstract":"The mechanisms by which amyloidogenic peptides and proteins form soluble toxic oligomers remain elusive. We have studied the formation of partially ordered tetramers and well-ordered octamers of an amyloidogenic hexapeptide NFGAIL (residues 22-27 of the human islet amyloid polypeptide) in our previous work. Continuing the effort, we here probe the β-sheet elongation process by a combined total of 2.0 μs molecular dynamics simulations with explicit solvent. In a set of 10 simulations with the peptides restrained to the extended conformation, we observed that the main growth mode was elongation along the β-sheet hydrogen bonds through primarily a two-stage process. Driven by hydrophobic forces, the peptides initially attached to the surface of the ordered oligomer, moved quickly to the β-sheet edges, and formed stable β-sheet hydrogen bonds. Addition of peptides to the existing oligomer notably improved the order of the peptide aggregate in which labile outer layer β-sheets were stabilized, which provides good templates for further elongation. These simulations suggested that elongation along the β-sheet hydrogen bonds occurs at the intermediate stage when low-weight oligomers start to form. We did not observe significant preference toward either parallel or antiparallel β-sheets at the elongation stage for this peptide. In another set of 10 unrestrained simulations, the dominant growth mode was disordered aggregation. Taken together, these results offered a glimpse at the molecular events leading to the formation of ordered and disordered low-weight oligomers. © 2005 American Chemical Society.","author":[{"dropping-particle":"","family":"Wu","given":"Chun","non-dropping-particle":"","parse-names":false,"suffix":""},{"dropping-particle":"","family":"Lei","given":"Hongxing","non-dropping-particle":"","parse-names":false,"suffix":""},{"dropping-particle":"","family":"Duan","given":"Yong","non-dropping-particle":"","parse-names":false,"suffix":""}],"container-title":"Journal of the American Chemical Society","id":"ITEM-2","issue":"39","issued":{"date-parts":[["2005","10","5"]]},"page":"13530-13537","publisher":" American Chemical Society ","title":"Elongation of ordered peptide aggregate of an amyloidogenic hexapeptide NFGAIL observed in molecular dynamics simulations with explicit solvent","type":"article-journal","volume":"127"},"uris":["http://www.mendeley.com/documents/?uuid=c6ca4bf3-d14a-30bb-abf0-6f5324abe701"]}],"mendeley":{"formattedCitation":"&lt;sup&gt;276,277&lt;/sup&gt;","plainTextFormattedCitation":"276,277","previouslyFormattedCitation":"&lt;sup&gt;276,277&lt;/sup&gt;"},"properties":{"noteIndex":0},"schema":"https://github.com/citation-style-language/schema/raw/master/csl-citation.json"}</w:instrText>
      </w:r>
      <w:r w:rsidR="00BB5140">
        <w:fldChar w:fldCharType="separate"/>
      </w:r>
      <w:r w:rsidR="00C44087" w:rsidRPr="00C44087">
        <w:rPr>
          <w:noProof/>
          <w:vertAlign w:val="superscript"/>
        </w:rPr>
        <w:t>276,277</w:t>
      </w:r>
      <w:r w:rsidR="00BB5140">
        <w:fldChar w:fldCharType="end"/>
      </w:r>
      <w:r>
        <w:t xml:space="preserve">. Moreover, information from experimental systems can be used to feed information useful for setting up more realistic simulations. Wang </w:t>
      </w:r>
      <w:r>
        <w:rPr>
          <w:i/>
        </w:rPr>
        <w:t>et al.</w:t>
      </w:r>
      <w:r>
        <w:t xml:space="preserve"> monitored the leakage of fluorescent dyes from membranes in the presence of AMP maculatin using fluorescence spectroscopy, in order to estimate the number of peptides in a pore</w:t>
      </w:r>
      <w:r w:rsidR="00BB5140">
        <w:fldChar w:fldCharType="begin" w:fldLock="1"/>
      </w:r>
      <w:r w:rsidR="00576689">
        <w:instrText>ADDIN CSL_CITATION {"citationItems":[{"id":"ITEM-1","itemData":{"DOI":"10.1038/ncomms13535","ISSN":"20411723","PMID":"27874004","abstract":"Many antimicrobial peptides (AMPs) selectively target and form pores in microbial membranes. However, the mechanisms of membrane targeting, pore formation and function remain elusive. Here we report an experimentally guided unbiased simulation methodology that yields the mechanism of spontaneous pore assembly for the AMP maculatin at atomic resolution. Rather than a single pore, maculatin forms an ensemble of structurally diverse temporarily functional low-oligomeric pores, which mimic integral membrane protein channels in structure. These pores continuously form and dissociate in the membrane. Membrane permeabilization is dominated by hexa-, hepta-and octamers, which conduct water, ions and small dyes. Pores form by consecutive addition of individual helices to a transmembrane helix or helix bundle, in contrast to current poration models. The diversity of the pore architectures-formed by a single sequence-may be a key feature in preventing bacterial resistance and could explain why sequence-function relationships in AMPs remain elusive.","author":[{"dropping-particle":"","family":"Wang","given":"Yukun","non-dropping-particle":"","parse-names":false,"suffix":""},{"dropping-particle":"","family":"Chen","given":"Charles H.","non-dropping-particle":"","parse-names":false,"suffix":""},{"dropping-particle":"","family":"Hu","given":"Dan","non-dropping-particle":"","parse-names":false,"suffix":""},{"dropping-particle":"","family":"Ulmschneider","given":"Martin B.","non-dropping-particle":"","parse-names":false,"suffix":""},{"dropping-particle":"","family":"Ulmschneider","given":"Jakob P.","non-dropping-particle":"","parse-names":false,"suffix":""}],"container-title":"Nature Communications","id":"ITEM-1","issue":"1","issued":{"date-parts":[["2016","11","22"]]},"page":"1-9","publisher":"Nature Publishing Group","title":"Spontaneous formation of structurally diverse membrane channel architectures from a single antimicrobial peptide","type":"article-journal","volume":"7"},"uris":["http://www.mendeley.com/documents/?uuid=e0aa1e23-2255-374b-839a-c6a79f40278e"]}],"mendeley":{"formattedCitation":"&lt;sup&gt;240&lt;/sup&gt;","plainTextFormattedCitation":"240","previouslyFormattedCitation":"&lt;sup&gt;240&lt;/sup&gt;"},"properties":{"noteIndex":0},"schema":"https://github.com/citation-style-language/schema/raw/master/csl-citation.json"}</w:instrText>
      </w:r>
      <w:r w:rsidR="00BB5140">
        <w:fldChar w:fldCharType="separate"/>
      </w:r>
      <w:r w:rsidR="00A313B9" w:rsidRPr="00A313B9">
        <w:rPr>
          <w:noProof/>
          <w:vertAlign w:val="superscript"/>
        </w:rPr>
        <w:t>240</w:t>
      </w:r>
      <w:r w:rsidR="00BB5140">
        <w:fldChar w:fldCharType="end"/>
      </w:r>
      <w:r>
        <w:t xml:space="preserve">, and this  was subsequently used to guide the initiation of computational simulations. They discovered that maculatin can form several subtly different pore structures depending on the number of peptides in the aggregate, which may be an explanation for its resilience against bacterial AMP resistance. Similarly, Zou </w:t>
      </w:r>
      <w:r>
        <w:rPr>
          <w:i/>
        </w:rPr>
        <w:t>et al.</w:t>
      </w:r>
      <w:r>
        <w:t xml:space="preserve"> have complemented experiments of magainin II bound with differing numbers of guanines with steered dynamics and umbrella sampling (US) simulations in order to determine the energy cost of embedding peptides into membranes</w:t>
      </w:r>
      <w:r w:rsidR="00BB5140">
        <w:fldChar w:fldCharType="begin" w:fldLock="1"/>
      </w:r>
      <w:r w:rsidR="00D217EC">
        <w:instrText>ADDIN CSL_CITATION {"citationItems":[{"id":"ITEM-1","itemData":{"DOI":"10.1021/acs.biochem.8b00052","ISSN":"15204995","PMID":"29638118","abstract":"Antimicrobial peptides (AMPs) are a promising alternative to antibiotics for mitigating bacterial infections, in light of increasing bacterial resistance to antibiotics. However, predicting, understanding, and controlling the antibacterial activity of AMPs remain a significant challenge. While peptide intramolecular interactions are known to modulate AMP antimicrobial activity, peptide intermolecular interactions remain elusive in their impact on peptide bioactivity. Herein, we test the relationship between AMP intermolecular interactions and antibacterial efficacy by controlling AMP intermolecular hydrophobic and hydrogen bonding interactions. Molecular dynamics simulations and Gibbs free energy calculations in concert with experimental assays show that increasing intermolecular interactions via interpeptide aggregation increases the energy cost for the peptide to embed into the bacterial cell membrane, which in turn decreases the AMP antibacterial activity. Our findings provide a route for predicting and controlling the antibacterial activity of AMPs against Gram-negative bacteria via reductions of intermolecular AMP interactions.","author":[{"dropping-particle":"","family":"Zou","given":"Rongfeng","non-dropping-particle":"","parse-names":false,"suffix":""},{"dropping-particle":"","family":"Zhu","given":"Xiaomin","non-dropping-particle":"","parse-names":false,"suffix":""},{"dropping-particle":"","family":"Tu","given":"Yaoquan","non-dropping-particle":"","parse-names":false,"suffix":""},{"dropping-particle":"","family":"Wu","given":"Junchen","non-dropping-particle":"","parse-names":false,"suffix":""},{"dropping-particle":"","family":"Landry","given":"Markita P.","non-dropping-particle":"","parse-names":false,"suffix":""}],"container-title":"Biochemistry","id":"ITEM-1","issue":"18","issued":{"date-parts":[["2018","5","8"]]},"page":"2606-2610","publisher":"American Chemical Society","title":"Activity of Antimicrobial Peptide Aggregates Decreases with Increased Cell Membrane Embedding Free Energy Cost","type":"article-journal","volume":"57"},"uris":["http://www.mendeley.com/documents/?uuid=e4a6cbc5-e180-3f9e-bad5-926030b94702"]}],"mendeley":{"formattedCitation":"&lt;sup&gt;74&lt;/sup&gt;","plainTextFormattedCitation":"74","previouslyFormattedCitation":"&lt;sup&gt;74&lt;/sup&gt;"},"properties":{"noteIndex":0},"schema":"https://github.com/citation-style-language/schema/raw/master/csl-citation.json"}</w:instrText>
      </w:r>
      <w:r w:rsidR="00BB5140">
        <w:fldChar w:fldCharType="separate"/>
      </w:r>
      <w:r w:rsidR="0019024E" w:rsidRPr="0019024E">
        <w:rPr>
          <w:noProof/>
          <w:vertAlign w:val="superscript"/>
        </w:rPr>
        <w:t>74</w:t>
      </w:r>
      <w:r w:rsidR="00BB5140">
        <w:fldChar w:fldCharType="end"/>
      </w:r>
      <w:r>
        <w:t>; these studies established a relationship between the number of bound guanines, aggregation propensity and antimicrobial activity. This relationship is hinted at in the literature for two other AMPs, PSMα3</w:t>
      </w:r>
      <w:r w:rsidR="00BB5140">
        <w:fldChar w:fldCharType="begin" w:fldLock="1"/>
      </w:r>
      <w:r w:rsidR="00C44087">
        <w:instrText>ADDIN CSL_CITATION {"citationItems":[{"id":"ITEM-1","itemData":{"DOI":"10.1096/fj.13-232041","ISSN":"15306860","PMID":"24008753","abstract":"Phenol-soluble modulins (PSMs) are a family of peptides with multiple functions in staphylococcal pathogenesis. To gain insight into the structural features affecting PSM functions, we analyzed an alanine substitution library of PSMα3, a strongly cytolytic and proinflammatory PSM of Staphylococcus aureus with a significant contribution to S. aureus virulence. Lysine residues were essential for both receptor-dependent proinflammatory and receptor-independent cytolytic activities. Both phenotypes also required additional structural features, with the C terminus being crucial for receptor activation. Biofilm formation was affected mostly by hydrophobic amino acid positions, suggesting that the capacity to disrupt hydrophobic interactions is responsible for the effect of PSMs on biofilm structure. Antimicrobial activity, absent from natural PSMα3, could be created by the exchange of large hydrophobic side chains, indicating that PSMα3 has evolved to exhibit cytolytic rather than antimicrobial activity. In addition to gaining insight into the structure-function relationship in PSMs, our study identifies nontoxic PSMα3 derivatives for active vaccination strategies and lays the foundation for future efforts aimed to understand the biological role of PSM recognition by innate host defense.","author":[{"dropping-particle":"","family":"Cheung","given":"Gordon Y.C.","non-dropping-particle":"","parse-names":false,"suffix":""},{"dropping-particle":"","family":"Kretschmer","given":"Dorothee","non-dropping-particle":"","parse-names":false,"suffix":""},{"dropping-particle":"","family":"Queck","given":"Shu Y.","non-dropping-particle":"","parse-names":false,"suffix":""},{"dropping-particle":"","family":"Joo","given":"Hwang Soo","non-dropping-particle":"","parse-names":false,"suffix":""},{"dropping-particle":"","family":"Wang","given":"Rong","non-dropping-particle":"","parse-names":false,"suffix":""},{"dropping-particle":"","family":"Duong","given":"Anthony C.","non-dropping-particle":"","parse-names":false,"suffix":""},{"dropping-particle":"","family":"Nguyen","given":"Thuan H.","non-dropping-particle":"","parse-names":false,"suffix":""},{"dropping-particle":"","family":"Bach","given":"Thanh Huy L.","non-dropping-particle":"","parse-names":false,"suffix":""},{"dropping-particle":"","family":"Porter","given":"Adeline R.","non-dropping-particle":"","parse-names":false,"suffix":""},{"dropping-particle":"","family":"DeLeo","given":"Frank R.","non-dropping-particle":"","parse-names":false,"suffix":""},{"dropping-particle":"","family":"Peschel","given":"Andreas","non-dropping-particle":"","parse-names":false,"suffix":""},{"dropping-particle":"","family":"Otto","given":"Michael","non-dropping-particle":"","parse-names":false,"suffix":""}],"container-title":"FASEB Journal","id":"ITEM-1","issue":"1","issued":{"date-parts":[["2014"]]},"page":"153-161","publisher":"FASEB","title":"Insight into structure-function relationship in phenol-soluble modulins using an alanine screen of the phenol-soluble modulin (PSM) α3 peptide","type":"article-journal","volume":"28"},"uris":["http://www.mendeley.com/documents/?uuid=f0776ace-7841-33b5-aff7-20ace690734c"]}],"mendeley":{"formattedCitation":"&lt;sup&gt;278&lt;/sup&gt;","plainTextFormattedCitation":"278","previouslyFormattedCitation":"&lt;sup&gt;278&lt;/sup&gt;"},"properties":{"noteIndex":0},"schema":"https://github.com/citation-style-language/schema/raw/master/csl-citation.json"}</w:instrText>
      </w:r>
      <w:r w:rsidR="00BB5140">
        <w:fldChar w:fldCharType="separate"/>
      </w:r>
      <w:r w:rsidR="00C44087" w:rsidRPr="00C44087">
        <w:rPr>
          <w:noProof/>
          <w:vertAlign w:val="superscript"/>
        </w:rPr>
        <w:t>278</w:t>
      </w:r>
      <w:r w:rsidR="00BB5140">
        <w:fldChar w:fldCharType="end"/>
      </w:r>
      <w:r>
        <w:t xml:space="preserve"> and Temporin L</w:t>
      </w:r>
      <w:r w:rsidR="00BB5140">
        <w:fldChar w:fldCharType="begin" w:fldLock="1"/>
      </w:r>
      <w:r w:rsidR="00C44087">
        <w:instrText>ADDIN CSL_CITATION {"citationItems":[{"id":"ITEM-1","itemData":{"DOI":"10.1021/jm1012853","ISSN":"00222623","PMID":"21319749","abstract":"Temporins are naturally occurring peptides with promising features, which could lead to the development of new drugs. Temporin-1Tl (TL) is the strongest antimicrobial peptide, but it is toxic on human erythrocytes and this fact makes the design of synthetic analogues with a higher therapeutic index vital.We studied the structure-activity relationships of a library of TL derivatives focusing on the correlation between the α-helix content of the peptides, the nature of their cationic residues, and their antibacterial/antiyeast/ hemolytic activities. We found that the percentage of helicity of TL analogues is directly correlated to their hemolytic activity but not to their antimicrobial activity. In addition, we found that the nature of positively charged residues can affect the biological properties of TL without changing the peptide's helicity. It is noteworthy that a single amino acid substitution can prevent the antimicrobial activity of TL, making it a lytic peptide presumably due to its self-association. Last, we identified a novel analogue with properties that make it an attractive topic for future research. © 2011 American Chemical Society.","author":[{"dropping-particle":"","family":"Mangoni","given":"Maria Luisa","non-dropping-particle":"","parse-names":false,"suffix":""},{"dropping-particle":"","family":"Carotenuto","given":"Alfonso","non-dropping-particle":"","parse-names":false,"suffix":""},{"dropping-particle":"","family":"Auriemma","given":"Luigia","non-dropping-particle":"","parse-names":false,"suffix":""},{"dropping-particle":"","family":"Saviello","given":"Maria Rosaria","non-dropping-particle":"","parse-names":false,"suffix":""},{"dropping-particle":"","family":"Campiglia","given":"Pietro","non-dropping-particle":"","parse-names":false,"suffix":""},{"dropping-particle":"","family":"Gomez-Monterrey","given":"Isabel","non-dropping-particle":"","parse-names":false,"suffix":""},{"dropping-particle":"","family":"Malfi","given":"Stefania","non-dropping-particle":"","parse-names":false,"suffix":""},{"dropping-particle":"","family":"Marcellini","given":"Ludovica","non-dropping-particle":"","parse-names":false,"suffix":""},{"dropping-particle":"","family":"Barra","given":"Donatella","non-dropping-particle":"","parse-names":false,"suffix":""},{"dropping-particle":"","family":"Novellino","given":"Ettore","non-dropping-particle":"","parse-names":false,"suffix":""},{"dropping-particle":"","family":"Grieco","given":"Paolo","non-dropping-particle":"","parse-names":false,"suffix":""}],"container-title":"Journal of Medicinal Chemistry","id":"ITEM-1","issue":"5","issued":{"date-parts":[["2011","3","10"]]},"page":"1298-1307","publisher":"American Chemical Society","title":"Structure-activity relationship, conformational and biological studies of temporin l analogues","type":"article-journal","volume":"54"},"uris":["http://www.mendeley.com/documents/?uuid=02952e92-16b2-39d3-af31-10611c8fccba"]}],"mendeley":{"formattedCitation":"&lt;sup&gt;279&lt;/sup&gt;","plainTextFormattedCitation":"279","previouslyFormattedCitation":"&lt;sup&gt;279&lt;/sup&gt;"},"properties":{"noteIndex":0},"schema":"https://github.com/citation-style-language/schema/raw/master/csl-citation.json"}</w:instrText>
      </w:r>
      <w:r w:rsidR="00BB5140">
        <w:fldChar w:fldCharType="separate"/>
      </w:r>
      <w:r w:rsidR="00C44087" w:rsidRPr="00C44087">
        <w:rPr>
          <w:noProof/>
          <w:vertAlign w:val="superscript"/>
        </w:rPr>
        <w:t>279</w:t>
      </w:r>
      <w:r w:rsidR="00BB5140">
        <w:fldChar w:fldCharType="end"/>
      </w:r>
      <w:r>
        <w:t>, which suggests that the guanine modification might be a generalizable approach towards improving antimicrobial activity. Another enhanced sampling technique is metadynamics, which is used to “artificially” expand the potential energy landscape explored by the simulation, and was employed by Liao et al. to understand the pathways of aggregation for model AMP melittin, and study how these relate to membrane binding</w:t>
      </w:r>
      <w:r w:rsidR="00BB5140">
        <w:fldChar w:fldCharType="begin" w:fldLock="1"/>
      </w:r>
      <w:r w:rsidR="00576689">
        <w:instrText>ADDIN CSL_CITATION {"citationItems":[{"id":"ITEM-1","itemData":{"DOI":"10.1021/acs.jpcb.5b03254","ISSN":"15205207","PMID":"26208115","abstract":"Melittin is a natural peptide that aggregates in aqueous solutions with paradigmatic monomer-to-tetramer and coil-to-helix transitions. Since little is known about the molecular mechanisms of melittin aggregation in solution, we simulated its self-aggregation process under various conditions. After confirming the stability of a melittin tetramer in solution, we observed-for the first time in atomistic detail-that four separated melittin monomers aggregate into a tetramer. Our simulated dependence of melittin aggregation on peptide concentration, temperature, and ionic strength is in good agreement with prior experiments. We propose that melittin mainly self-aggregates via a mechanism involving the sequential addition of monomers, which is supported by both qualitative and quantitative evidence obtained from unbiased and metadynamics simulations. Moreover, by combining computer simulations and a theory of the electrical double layer, we provide evidence to suggest why melittin aggregation in solution likely stops at the tetramer, rather than forming higher-order oligomers. Overall, our study not only explains prior experimental results at the molecular level but also provides quantitative mechanistic information that may guide the engineering of melittin for higher efficacy and safety.","author":[{"dropping-particle":"","family":"Liao","given":"Chenyi","non-dropping-particle":"","parse-names":false,"suffix":""},{"dropping-particle":"","family":"Esai Selvan","given":"Myvizhi","non-dropping-particle":"","parse-names":false,"suffix":""},{"dropping-particle":"","family":"Zhao","given":"Jun","non-dropping-particle":"","parse-names":false,"suffix":""},{"dropping-particle":"","family":"Slimovitch","given":"Jonathan L.","non-dropping-particle":"","parse-names":false,"suffix":""},{"dropping-particle":"","family":"Schneebeli","given":"Severin T.","non-dropping-particle":"","parse-names":false,"suffix":""},{"dropping-particle":"","family":"Shelley","given":"Mee","non-dropping-particle":"","parse-names":false,"suffix":""},{"dropping-particle":"","family":"Shelley","given":"John C.","non-dropping-particle":"","parse-names":false,"suffix":""},{"dropping-particle":"","family":"Li","given":"Jianing","non-dropping-particle":"","parse-names":false,"suffix":""}],"container-title":"Journal of Physical Chemistry B","id":"ITEM-1","issue":"33","issued":{"date-parts":[["2015","8","20"]]},"page":"10390-10398","publisher":"American Chemical Society","title":"Melittin Aggregation in Aqueous Solutions: Insight from Molecular Dynamics Simulations","type":"article-journal","volume":"119"},"uris":["http://www.mendeley.com/documents/?uuid=764a5b9d-eda2-372f-b2dc-6f2ea9f220a8"]}],"mendeley":{"formattedCitation":"&lt;sup&gt;226&lt;/sup&gt;","plainTextFormattedCitation":"226","previouslyFormattedCitation":"&lt;sup&gt;226&lt;/sup&gt;"},"properties":{"noteIndex":0},"schema":"https://github.com/citation-style-language/schema/raw/master/csl-citation.json"}</w:instrText>
      </w:r>
      <w:r w:rsidR="00BB5140">
        <w:fldChar w:fldCharType="separate"/>
      </w:r>
      <w:r w:rsidR="00A313B9" w:rsidRPr="00A313B9">
        <w:rPr>
          <w:noProof/>
          <w:vertAlign w:val="superscript"/>
        </w:rPr>
        <w:t>226</w:t>
      </w:r>
      <w:r w:rsidR="00BB5140">
        <w:fldChar w:fldCharType="end"/>
      </w:r>
      <w:r>
        <w:t>.</w:t>
      </w:r>
    </w:p>
    <w:p w14:paraId="7632528C" w14:textId="77777777" w:rsidR="001529CF" w:rsidRDefault="001529CF">
      <w:pPr>
        <w:pStyle w:val="LO-normal"/>
        <w:jc w:val="both"/>
      </w:pPr>
    </w:p>
    <w:p w14:paraId="0395C969" w14:textId="06116DA7" w:rsidR="001529CF" w:rsidRDefault="00492337">
      <w:pPr>
        <w:pStyle w:val="LO-normal"/>
        <w:jc w:val="both"/>
      </w:pPr>
      <w:r>
        <w:lastRenderedPageBreak/>
        <w:t>A few words should be spent on discussing the best way to measure peptide aggregation computationally. In the examined studies, generally speaking, the two most commonly used metrics were the number of clusters present in the system and the number of peptides per cluster. A cluster is defined, in this context, as a complex of peptides of any size; for example, a system where peptides do not aggregate will have as many clusters as peptides, and in systems where they do, the size of the cluster (dimer, trimer, hexamer, etc) will be indicative of the extent of aggregation. The distance cutoff to describe a cluster may be dependent upon the analysed system but it has been reported to be typically in the range of 0.35</w:t>
      </w:r>
      <w:r w:rsidR="00BB5140">
        <w:fldChar w:fldCharType="begin" w:fldLock="1"/>
      </w:r>
      <w:r w:rsidR="00C44087">
        <w:instrText>ADDIN CSL_CITATION {"citationItems":[{"id":"ITEM-1","itemData":{"DOI":"10.1002/prot.21168","ISSN":"08873585","abstract":"Peptides and proteins tend to aggregate ender appropriate conditions. The amyloid fibrils that are ubiquitously found among these structures are associated with major human diseases like Alzheimer's disease, type II diabetes, and various prion diseases. Lately, it has been observed that even very short peptides like tetra and pentapeptides can form ordered amyloid structures. Here, we present aggregation studies of three such small polypeptide systems, namely, the two amyloidogenic peptides DFNKF and FF, and a control (nonamyloidogenic) one, the AGAIL. The respective aggregation process is studied by all-atom Molecular Dynamics simulations, which allow to shed light on the fine details of the association and aggregation process. Our analysis suggests that naturally aggregating systems exhibit significantly diverse overall cluster shape properties and specific intermolecular interactions. Additional analysis was also performed on the previously studied NFGAIL system. © 2006 Wiley-Liss, Inc.","author":[{"dropping-particle":"","family":"Flöck","given":"Dagmar","non-dropping-particle":"","parse-names":false,"suffix":""},{"dropping-particle":"","family":"Rossetti","given":"Giulia","non-dropping-particle":"","parse-names":false,"suffix":""},{"dropping-particle":"","family":"Daidone","given":"Isabella","non-dropping-particle":"","parse-names":false,"suffix":""},{"dropping-particle":"","family":"Amadei","given":"Andrea","non-dropping-particle":"","parse-names":false,"suffix":""},{"dropping-particle":"Di","family":"Nola","given":"Alfredo","non-dropping-particle":"","parse-names":false,"suffix":""}],"container-title":"Proteins: Structure, Function, and Bioinformatics","id":"ITEM-1","issue":"4","issued":{"date-parts":[["2006","9","15"]]},"page":"914-921","publisher":"John Wiley &amp; Sons, Ltd","title":"Aggregation of small peptides studied by molecular dynamics simulations","type":"article-journal","volume":"65"},"uris":["http://www.mendeley.com/documents/?uuid=83f813a8-693f-39ab-b1d6-1b8f7ee576ee"]}],"mendeley":{"formattedCitation":"&lt;sup&gt;280&lt;/sup&gt;","plainTextFormattedCitation":"280","previouslyFormattedCitation":"&lt;sup&gt;280&lt;/sup&gt;"},"properties":{"noteIndex":0},"schema":"https://github.com/citation-style-language/schema/raw/master/csl-citation.json"}</w:instrText>
      </w:r>
      <w:r w:rsidR="00BB5140">
        <w:fldChar w:fldCharType="separate"/>
      </w:r>
      <w:r w:rsidR="00C44087" w:rsidRPr="00C44087">
        <w:rPr>
          <w:noProof/>
          <w:vertAlign w:val="superscript"/>
        </w:rPr>
        <w:t>280</w:t>
      </w:r>
      <w:r w:rsidR="00BB5140">
        <w:fldChar w:fldCharType="end"/>
      </w:r>
      <w:r>
        <w:t xml:space="preserve"> to 0.5 nm, though generally not more than 0.8 nm. Another metric that can be used to monitor aggregate formation is solvent accessible surface area</w:t>
      </w:r>
      <w:r w:rsidR="00BB5140">
        <w:fldChar w:fldCharType="begin" w:fldLock="1"/>
      </w:r>
      <w:r w:rsidR="00D217EC">
        <w:instrText>ADDIN CSL_CITATION {"citationItems":[{"id":"ITEM-1","itemData":{"DOI":"10.1021/acs.biochem.8b00052","ISSN":"15204995","PMID":"29638118","abstract":"Antimicrobial peptides (AMPs) are a promising alternative to antibiotics for mitigating bacterial infections, in light of increasing bacterial resistance to antibiotics. However, predicting, understanding, and controlling the antibacterial activity of AMPs remain a significant challenge. While peptide intramolecular interactions are known to modulate AMP antimicrobial activity, peptide intermolecular interactions remain elusive in their impact on peptide bioactivity. Herein, we test the relationship between AMP intermolecular interactions and antibacterial efficacy by controlling AMP intermolecular hydrophobic and hydrogen bonding interactions. Molecular dynamics simulations and Gibbs free energy calculations in concert with experimental assays show that increasing intermolecular interactions via interpeptide aggregation increases the energy cost for the peptide to embed into the bacterial cell membrane, which in turn decreases the AMP antibacterial activity. Our findings provide a route for predicting and controlling the antibacterial activity of AMPs against Gram-negative bacteria via reductions of intermolecular AMP interactions.","author":[{"dropping-particle":"","family":"Zou","given":"Rongfeng","non-dropping-particle":"","parse-names":false,"suffix":""},{"dropping-particle":"","family":"Zhu","given":"Xiaomin","non-dropping-particle":"","parse-names":false,"suffix":""},{"dropping-particle":"","family":"Tu","given":"Yaoquan","non-dropping-particle":"","parse-names":false,"suffix":""},{"dropping-particle":"","family":"Wu","given":"Junchen","non-dropping-particle":"","parse-names":false,"suffix":""},{"dropping-particle":"","family":"Landry","given":"Markita P.","non-dropping-particle":"","parse-names":false,"suffix":""}],"container-title":"Biochemistry","id":"ITEM-1","issue":"18","issued":{"date-parts":[["2018","5","8"]]},"page":"2606-2610","publisher":"American Chemical Society","title":"Activity of Antimicrobial Peptide Aggregates Decreases with Increased Cell Membrane Embedding Free Energy Cost","type":"article-journal","volume":"57"},"uris":["http://www.mendeley.com/documents/?uuid=e4a6cbc5-e180-3f9e-bad5-926030b94702"]}],"mendeley":{"formattedCitation":"&lt;sup&gt;74&lt;/sup&gt;","plainTextFormattedCitation":"74","previouslyFormattedCitation":"&lt;sup&gt;74&lt;/sup&gt;"},"properties":{"noteIndex":0},"schema":"https://github.com/citation-style-language/schema/raw/master/csl-citation.json"}</w:instrText>
      </w:r>
      <w:r w:rsidR="00BB5140">
        <w:fldChar w:fldCharType="separate"/>
      </w:r>
      <w:r w:rsidR="0019024E" w:rsidRPr="0019024E">
        <w:rPr>
          <w:noProof/>
          <w:vertAlign w:val="superscript"/>
        </w:rPr>
        <w:t>74</w:t>
      </w:r>
      <w:r w:rsidR="00BB5140">
        <w:fldChar w:fldCharType="end"/>
      </w:r>
      <w:r>
        <w:t>: a decrease in this property can indicate that peptides are clustering. Time dependence is paramount in cluster analysis, as it can inform whether in a system the average cluster size has converged or it only forms transient aggregates; for example, studies have required up to 3 μs simulations just to reach equilibration</w:t>
      </w:r>
      <w:r w:rsidR="00BB5140">
        <w:fldChar w:fldCharType="begin" w:fldLock="1"/>
      </w:r>
      <w:r w:rsidR="00576689">
        <w:instrText>ADDIN CSL_CITATION {"citationItems":[{"id":"ITEM-1","itemData":{"DOI":"10.1039/c4ra08480b","ISSN":"20462069","abstract":"We performed coarse-grained molecular dynamics simulations of antimicrobial peptides PGLa and magainin 2 in lipid bilayers. PGLa peptides or mixtures of PGLa and magainin 2 were initially widely spaced or clustered above the bilayer surface with different heterodimeric orientations (parallel or antiparallel). Simulations show that the presence of magainin 2 promotes more tilting and insertion of PGLa into the bilayer, indicating the synergistic effect. Magainin 2 interact with lipid headgroups and thus stay horizontally on the bilayer surface, while PGLa insert into the bilayer, leading to more tilted conformation, in agreement with recent NMR experiments. In particular, for the systems with the initially antiparallel-oriented heterodimers or with the neutrally mutated magainin 2, much fewer parallel heterodimers form, and PGLa peptides are less tilted and inserted, indicating that the formation of parallel heterodimers is important for the PGLa insertion, as suggested in experiments. Peptides aggregate in the mixture of PGLa and magainin 2, but not in the system without magainin 2, indicating that magainin 2 induce the peptide aggregation, which is required for the pore formation. These simulation findings agree with the experimental observations of the heterodimer formation as well as different positions of PGLa and magainin 2 in the bilayer, which seem to conflict. These conflicting results can be explained by the synergistic mechanism that magainin 2 form parallel heterodimers with PGLa and induce the aggregation of heterodimers, leading to the formation of pores, where magainin 2 tend to interact with the bilayer surface, while PGLa are tilted and inserted into the hydrophobic region of the bilayer. This journal is","author":[{"dropping-particle":"","family":"Han","given":"Eol","non-dropping-particle":"","parse-names":false,"suffix":""},{"dropping-particle":"","family":"Lee","given":"Hwankyu","non-dropping-particle":"","parse-names":false,"suffix":""}],"container-title":"RSC Advances","id":"ITEM-1","issue":"3","issued":{"date-parts":[["2015","12","3"]]},"page":"2047-2055","publisher":"Royal Society of Chemistry","title":"Synergistic effects of magainin 2 and PGLa on their heterodimer formation, aggregation, and insertion into the bilayer","type":"article-journal","volume":"5"},"uris":["http://www.mendeley.com/documents/?uuid=f24a981e-b018-389b-bcbd-c9095f983276"]}],"mendeley":{"formattedCitation":"&lt;sup&gt;228&lt;/sup&gt;","plainTextFormattedCitation":"228","previouslyFormattedCitation":"&lt;sup&gt;228&lt;/sup&gt;"},"properties":{"noteIndex":0},"schema":"https://github.com/citation-style-language/schema/raw/master/csl-citation.json"}</w:instrText>
      </w:r>
      <w:r w:rsidR="00BB5140">
        <w:fldChar w:fldCharType="separate"/>
      </w:r>
      <w:r w:rsidR="00A313B9" w:rsidRPr="00A313B9">
        <w:rPr>
          <w:noProof/>
          <w:vertAlign w:val="superscript"/>
        </w:rPr>
        <w:t>228</w:t>
      </w:r>
      <w:r w:rsidR="00BB5140">
        <w:fldChar w:fldCharType="end"/>
      </w:r>
      <w:r>
        <w:t>, but this is obviously highly dependent on the analysed system.</w:t>
      </w:r>
    </w:p>
    <w:p w14:paraId="245C810F" w14:textId="77777777" w:rsidR="001529CF" w:rsidRDefault="001529CF">
      <w:pPr>
        <w:pStyle w:val="LO-normal"/>
        <w:jc w:val="both"/>
      </w:pPr>
    </w:p>
    <w:p w14:paraId="0BCFF3F8" w14:textId="0E636B61" w:rsidR="001529CF" w:rsidRDefault="00492337">
      <w:pPr>
        <w:pStyle w:val="LO-normal"/>
        <w:jc w:val="both"/>
      </w:pPr>
      <w:r>
        <w:t>Further lessons on peptide aggregation can be learnt from studies of the aggregation of amyloid peptides, for which computational tools have been developed. These may involve monitoring the shape and predominant secondary structure of the cluster</w:t>
      </w:r>
      <w:r w:rsidR="00BB5140">
        <w:fldChar w:fldCharType="begin" w:fldLock="1"/>
      </w:r>
      <w:r w:rsidR="00C44087">
        <w:instrText>ADDIN CSL_CITATION {"citationItems":[{"id":"ITEM-1","itemData":{"DOI":"10.1016/j.bpj.2008.10.040","ISSN":"15420086","PMID":"19186127","abstract":"The self-assembly of the KFFE peptide was studied using replica exchange molecular dynamics simulations with a fully atomic description of the peptide and explicit solvent. The relative roles of the aromatic residues and oppositely charged end groups in stabilizing the earliest oligomers and the end-products of aggregation were investigated. β and non-β-peptide conformations compete in the monomeric state as a result of a balancing between the high β-sheet propensity of the phenylal- anine residues and charge-charge interactions that favor non-β-conformations. Dimers are present in β- and non-β-sheet conformations and are stabilized primarily by direct and water-mediated charge-charge interactions between oppositely charged side chains and between oppositely charged termini, with forces between aromatic residues playing a minor role. Dimerization to a β-sheet, fibril-competent state, is seen to be a cooperative process, with the association process inducing β-structure in otherwise non-β-monomers. We propose a model for the KFFE fibril, with mixed interface and antiparallel sheet and strand arrangements, which is consistent with experimental electron microscopy measurements. Both aromatic and charge-charge interactions contribute to the fibril stability, although the dominant contribution arises from electrostatic interactions. © 2009 by the Biophysical Society.","author":[{"dropping-particle":"","family":"Bellesia","given":"Giovanni","non-dropping-particle":"","parse-names":false,"suffix":""},{"dropping-particle":"","family":"Shea","given":"Joan Emma","non-dropping-particle":"","parse-names":false,"suffix":""}],"container-title":"Biophysical Journal","id":"ITEM-1","issue":"3","issued":{"date-parts":[["2009","2","4"]]},"page":"875-886","publisher":"Biophysical Society","title":"What determines the structure and stability of KFFE monomers, dimers, and protofibrils?","type":"article-journal","volume":"96"},"uris":["http://www.mendeley.com/documents/?uuid=beaef08a-00c6-34f7-883a-f0915ded23e7"]}],"mendeley":{"formattedCitation":"&lt;sup&gt;281&lt;/sup&gt;","plainTextFormattedCitation":"281","previouslyFormattedCitation":"&lt;sup&gt;281&lt;/sup&gt;"},"properties":{"noteIndex":0},"schema":"https://github.com/citation-style-language/schema/raw/master/csl-citation.json"}</w:instrText>
      </w:r>
      <w:r w:rsidR="00BB5140">
        <w:fldChar w:fldCharType="separate"/>
      </w:r>
      <w:r w:rsidR="00C44087" w:rsidRPr="00C44087">
        <w:rPr>
          <w:noProof/>
          <w:vertAlign w:val="superscript"/>
        </w:rPr>
        <w:t>281</w:t>
      </w:r>
      <w:r w:rsidR="00BB5140">
        <w:fldChar w:fldCharType="end"/>
      </w:r>
      <w:r>
        <w:t>, coarse-grained approaches as a method for examining large numbers of peptides at once</w:t>
      </w:r>
      <w:r w:rsidR="00BB5140">
        <w:fldChar w:fldCharType="begin" w:fldLock="1"/>
      </w:r>
      <w:r w:rsidR="00C44087">
        <w:instrText>ADDIN CSL_CITATION {"citationItems":[{"id":"ITEM-1","itemData":{"DOI":"10.1146/annurev-physchem-040513-103738","ISSN":"0066426X","PMID":"25648485","abstract":"Protein aggregation involves the self-assembly of normally soluble proteins into large supramolecular assemblies. The typical end product of aggregation is the amyloid fibril, an extended structure enriched in â-sheet content. The aggregation process has been linked to a number of diseases, most notably Alzheimer's disease, but fibril formation can also play a functional role in certain organisms. This review focuses on theoretical studies of the process of fibril formation, with an emphasis on the computational models and methods commonly used to tackle this problem.","author":[{"dropping-particle":"","family":"Morriss-Andrews","given":"Alex","non-dropping-particle":"","parse-names":false,"suffix":""},{"dropping-particle":"","family":"Shea","given":"Joan Emma","non-dropping-particle":"","parse-names":false,"suffix":""}],"container-title":"Annual Review of Physical Chemistry","id":"ITEM-1","issued":{"date-parts":[["2015","4","1"]]},"page":"643-666","publisher":"Annual Reviews Inc.","title":"Computational studies of protein aggregation: Methods and applications","type":"article-journal","volume":"66"},"uris":["http://www.mendeley.com/documents/?uuid=66bafb2b-2a58-3461-9afd-c61372bcb8c0"]}],"mendeley":{"formattedCitation":"&lt;sup&gt;282&lt;/sup&gt;","plainTextFormattedCitation":"282","previouslyFormattedCitation":"&lt;sup&gt;282&lt;/sup&gt;"},"properties":{"noteIndex":0},"schema":"https://github.com/citation-style-language/schema/raw/master/csl-citation.json"}</w:instrText>
      </w:r>
      <w:r w:rsidR="00BB5140">
        <w:fldChar w:fldCharType="separate"/>
      </w:r>
      <w:r w:rsidR="00C44087" w:rsidRPr="00C44087">
        <w:rPr>
          <w:noProof/>
          <w:vertAlign w:val="superscript"/>
        </w:rPr>
        <w:t>282</w:t>
      </w:r>
      <w:r w:rsidR="00BB5140">
        <w:fldChar w:fldCharType="end"/>
      </w:r>
      <w:r>
        <w:t>, and a focus on native and intermediate states to understand the aggregation pathways</w:t>
      </w:r>
      <w:r w:rsidR="00BB5140">
        <w:fldChar w:fldCharType="begin" w:fldLock="1"/>
      </w:r>
      <w:r w:rsidR="00C44087">
        <w:instrText>ADDIN CSL_CITATION {"citationItems":[{"id":"ITEM-1","itemData":{"DOI":"10.1016/j.cbpa.2006.08.018","ISSN":"13675931","PMID":"16935548","abstract":"Computational tools are increasingly being applied to solve the protein aggregation problem, providing insight into amyloid structures and aggregation mechanisms. The paradigm of Aβ amyloid structure elucidation provides an example of an innovative experimental design and endeavor, echoing the computational testing of possible molecular associations, all reflected in the current Ma-Nussinov-Tycko model of the Aβ amyloid. Simulations have shown that dimer formation can lock some misfolded conformations, and catalyze the shift of the equilibrium away from the native state. In most cases, a stable amyloid seed requires at least two-layered β-sheets with properly registered side-chains. Under kinetic control, the final protein aggregations are the outcome of maximizing the van der Waals interactions between side chains and backbone hydrogen bonds. © 2006 Elsevier Ltd. All rights reserved.","author":[{"dropping-particle":"","family":"Ma","given":"Buyong","non-dropping-particle":"","parse-names":false,"suffix":""},{"dropping-particle":"","family":"Nussinov","given":"Ruth","non-dropping-particle":"","parse-names":false,"suffix":""}],"container-title":"Current Opinion in Chemical Biology","id":"ITEM-1","issue":"5","issued":{"date-parts":[["2006","10","1"]]},"page":"445-452","publisher":"Elsevier Current Trends","title":"Simulations as analytical tools to understand protein aggregation and predict amyloid conformation","type":"article-journal","volume":"10"},"uris":["http://www.mendeley.com/documents/?uuid=96f53251-83f7-36b1-be31-c369540ae133"]}],"mendeley":{"formattedCitation":"&lt;sup&gt;283&lt;/sup&gt;","plainTextFormattedCitation":"283","previouslyFormattedCitation":"&lt;sup&gt;283&lt;/sup&gt;"},"properties":{"noteIndex":0},"schema":"https://github.com/citation-style-language/schema/raw/master/csl-citation.json"}</w:instrText>
      </w:r>
      <w:r w:rsidR="00BB5140">
        <w:fldChar w:fldCharType="separate"/>
      </w:r>
      <w:r w:rsidR="00C44087" w:rsidRPr="00C44087">
        <w:rPr>
          <w:noProof/>
          <w:vertAlign w:val="superscript"/>
        </w:rPr>
        <w:t>283</w:t>
      </w:r>
      <w:r w:rsidR="00BB5140">
        <w:fldChar w:fldCharType="end"/>
      </w:r>
      <w:r>
        <w:t>. There have also been studies that have specifically looked at the interaction between amyloid aggregates and membranes</w:t>
      </w:r>
      <w:r w:rsidR="00BB5140">
        <w:fldChar w:fldCharType="begin" w:fldLock="1"/>
      </w:r>
      <w:r w:rsidR="00912FFE">
        <w:instrText>ADDIN CSL_CITATION {"citationItems":[{"id":"ITEM-1","itemData":{"DOI":"10.1016/j.bbamem.2018.03.014","ISSN":"18792642","PMID":"29555191","abstract":"Amyloidogenic proteins are related to a variety of amyloid diseases, such as type 2 diabetes (T2D), Alzheimer's disease (AD) and Parkinson's disease (PD). The amyloid proteins in which this review focuses include amylin, Aβ tau and α-synuclein. Understanding the molecular mechanisms in which these amyloidogenic proteins interact with membranes is a challenging research to both experimental and computational studies. This review illustrates recent studies on amyloid-membrane interactions, but it mainly focuses on the challenge issues related to experimental techniques to investigate at the molecular level these interactions and provides thoughts and outlook for future computational studies.","author":[{"dropping-particle":"","family":"Press-Sandler","given":"Olga","non-dropping-particle":"","parse-names":false,"suffix":""},{"dropping-particle":"","family":"Miller","given":"Yifat","non-dropping-particle":"","parse-names":false,"suffix":""}],"container-title":"Biochimica et Biophysica Acta - Biomembranes","id":"ITEM-1","issue":"9","issued":{"date-parts":[["2018","9","1"]]},"page":"1889-1905","publisher":"Elsevier B.V.","title":"Molecular mechanisms of membrane-associated amyloid aggregation: Computational perspective and challenges","type":"article-journal","volume":"1860"},"uris":["http://www.mendeley.com/documents/?uuid=bfb99604-b427-3eab-bc62-b4a9c4b74a4a"]}],"mendeley":{"formattedCitation":"&lt;sup&gt;284&lt;/sup&gt;","plainTextFormattedCitation":"284","previouslyFormattedCitation":"&lt;sup&gt;284&lt;/sup&gt;"},"properties":{"noteIndex":0},"schema":"https://github.com/citation-style-language/schema/raw/master/csl-citation.json"}</w:instrText>
      </w:r>
      <w:r w:rsidR="00BB5140">
        <w:fldChar w:fldCharType="separate"/>
      </w:r>
      <w:r w:rsidR="00C44087" w:rsidRPr="00C44087">
        <w:rPr>
          <w:noProof/>
          <w:vertAlign w:val="superscript"/>
        </w:rPr>
        <w:t>284</w:t>
      </w:r>
      <w:r w:rsidR="00BB5140">
        <w:fldChar w:fldCharType="end"/>
      </w:r>
      <w:r>
        <w:t>, which parallel efforts to understand how AMPs may disrupt bilayers. An alternative approach to understanding aggregation is to explore what disrupts it, as done by Iscen et al</w:t>
      </w:r>
      <w:r w:rsidR="00BB5140">
        <w:fldChar w:fldCharType="begin" w:fldLock="1"/>
      </w:r>
      <w:r w:rsidR="00576689">
        <w:instrText>ADDIN CSL_CITATION {"citationItems":[{"id":"ITEM-1","itemData":{"DOI":"10.1021/jacs.9b06388","ISSN":"15205126","PMID":"31573804","abstract":"Coordination complexes have emerged as prominent modulators of amyloid aggregation via their interaction with the N-terminal histidine residues of amyloid-β (Aβ). Herein, we report the synthesis and characterization of a novel cobalt(III) Schiff base complex with methylamine axial ligands, and we present both computational and experimental data demonstrating the reduction of β-sheet formation by this complex. The computations include molecular dynamics simulations of both monomeric and pentameric Aβ, which demonstrate decreased formation of β-sheet structures, destabilization of preformed β-sheets, and suppression of aggregation. These results are consistent with a dose dependence in experimental bulk aggregation data using thioflavin T fluorescence, and overall this study demonstrates useful drug activity of the cobalt complex.","author":[{"dropping-particle":"","family":"Iscen","given":"Aysenur","non-dropping-particle":"","parse-names":false,"suffix":""},{"dropping-particle":"","family":"Brue","given":"Christopher R.","non-dropping-particle":"","parse-names":false,"suffix":""},{"dropping-particle":"","family":"Roberts","given":"Kaleigh F.","non-dropping-particle":"","parse-names":false,"suffix":""},{"dropping-particle":"","family":"Kim","given":"Joy","non-dropping-particle":"","parse-names":false,"suffix":""},{"dropping-particle":"","family":"Schatz","given":"George C.","non-dropping-particle":"","parse-names":false,"suffix":""},{"dropping-particle":"","family":"Meade","given":"Thomas J.","non-dropping-particle":"","parse-names":false,"suffix":""}],"container-title":"Journal of the American Chemical Society","id":"ITEM-1","issue":"42","issued":{"date-parts":[["2019","10","23"]]},"page":"16685-16695","publisher":"American Chemical Society","title":"Inhibition of Amyloid-β Aggregation by Cobalt(III) Schiff Base Complexes: A Computational and Experimental Approach","type":"article-journal","volume":"141"},"uris":["http://www.mendeley.com/documents/?uuid=34db40f0-481f-3de2-9fd1-899f649a6b2a"]}],"mendeley":{"formattedCitation":"&lt;sup&gt;227&lt;/sup&gt;","plainTextFormattedCitation":"227","previouslyFormattedCitation":"&lt;sup&gt;227&lt;/sup&gt;"},"properties":{"noteIndex":0},"schema":"https://github.com/citation-style-language/schema/raw/master/csl-citation.json"}</w:instrText>
      </w:r>
      <w:r w:rsidR="00BB5140">
        <w:fldChar w:fldCharType="separate"/>
      </w:r>
      <w:r w:rsidR="00A313B9" w:rsidRPr="00A313B9">
        <w:rPr>
          <w:noProof/>
          <w:vertAlign w:val="superscript"/>
        </w:rPr>
        <w:t>227</w:t>
      </w:r>
      <w:r w:rsidR="00BB5140">
        <w:fldChar w:fldCharType="end"/>
      </w:r>
      <w:r>
        <w:t xml:space="preserve"> who used computational and experimental studies to explain how a Co(III) complex prevented amyloid aggregation, identifying the sites on the peptide that are necessary for self-interaction. In this case, hydrogen bond network analysis was used to define aggregation, coupled with secondary structure assignment. By understanding which residues are involved in aggregation, an AMP can be designed to promote clustering (if necessary for membrane interaction) or prevent unfruitful pathways (if specific aggregate structures do not lead to antimicrobial activity).</w:t>
      </w:r>
      <w:r w:rsidR="00734129">
        <w:t xml:space="preserve"> As outlined in the prediction section, there are also tools that can predict the aggregation propensity of a peptide from its sequence alone.</w:t>
      </w:r>
    </w:p>
    <w:p w14:paraId="43CF2A90" w14:textId="77777777" w:rsidR="001529CF" w:rsidRDefault="001529CF">
      <w:pPr>
        <w:pStyle w:val="LO-normal"/>
        <w:jc w:val="both"/>
      </w:pPr>
    </w:p>
    <w:p w14:paraId="6F7F8FB7" w14:textId="77777777" w:rsidR="001529CF" w:rsidRDefault="001529CF">
      <w:pPr>
        <w:pStyle w:val="LO-normal"/>
        <w:jc w:val="both"/>
      </w:pPr>
    </w:p>
    <w:p w14:paraId="0BB94AEE" w14:textId="4D9B4C49" w:rsidR="001529CF" w:rsidRDefault="00492337">
      <w:pPr>
        <w:pStyle w:val="LO-normal"/>
        <w:jc w:val="both"/>
      </w:pPr>
      <w:r>
        <w:t>What are, therefore, the key takeaways from studies of aggregation reported in the literature? There doesn’t appear to be a specific force field or computational package that is prevalent, as GROMACS, CHARMM and CG models are all used, often in conjunction with each other. As in other cases, the specific force field and what level of model is best  is dependent on the system that is being analysed, and an appropriate model must be chosen carefully</w:t>
      </w:r>
      <w:r w:rsidR="00BB5140">
        <w:fldChar w:fldCharType="begin" w:fldLock="1"/>
      </w:r>
      <w:r w:rsidR="00C44087">
        <w:instrText>ADDIN CSL_CITATION {"citationItems":[{"id":"ITEM-1","itemData":{"DOI":"10.1007/978-1-4939-9608-7_1","ISSN":"19406029","PMID":"31396897","abstract":"All-atom, classical force fields for protein molecular dynamics (MD) simulations currently occupy a sweet spot in the universe of computational models, sufficiently detailed to be of predictive value in many cases, yet also simple enough that some biologically relevant time scales (microseconds or more) can now be sampled via specialized hardware or enhanced sampling methods. However, due to their long evolutionary history, there is now a myriad of force field branches in current use, which can make it hard for those entering the simulation field to know which would be the best set of parameters for a given application. In this chapter, I try to give an overview of the historical motivation for the different force fields available, suggestions for how to determine the most appropriate model and what to do if the results are in conflict with experimental evidence.","author":[{"dropping-particle":"","family":"Best","given":"Robert B.","non-dropping-particle":"","parse-names":false,"suffix":""}],"container-title":"Methods in Molecular Biology","id":"ITEM-1","issued":{"date-parts":[["2019"]]},"page":"3-19","publisher":"Humana Press Inc.","title":"Atomistic Force Fields for Proteins","type":"chapter","volume":"2022"},"uris":["http://www.mendeley.com/documents/?uuid=2aa589fd-bfdb-3106-84c6-19cdc9fd8e88"]}],"mendeley":{"formattedCitation":"&lt;sup&gt;285&lt;/sup&gt;","plainTextFormattedCitation":"285","previouslyFormattedCitation":"&lt;sup&gt;285&lt;/sup&gt;"},"properties":{"noteIndex":0},"schema":"https://github.com/citation-style-language/schema/raw/master/csl-citation.json"}</w:instrText>
      </w:r>
      <w:r w:rsidR="00BB5140">
        <w:fldChar w:fldCharType="separate"/>
      </w:r>
      <w:r w:rsidR="00C44087" w:rsidRPr="00C44087">
        <w:rPr>
          <w:noProof/>
          <w:vertAlign w:val="superscript"/>
        </w:rPr>
        <w:t>285</w:t>
      </w:r>
      <w:r w:rsidR="00BB5140">
        <w:fldChar w:fldCharType="end"/>
      </w:r>
      <w:r>
        <w:t xml:space="preserve">. One thing was clear: multiple types of simulations were necessary to fully sample the complex landscape of aggregation, and to capture the mechanisms that lead from oligomerisation to pore formation and membrane disruption. In all of the referenced studies, simulations were repeated by varying the numbers of peptides, the lipid bilayer size, the length of the simulation, the presence of counter-ions, the charges on the peptide, and using peptides known not to have antimicrobial activity as negative controls. It is important to test different set-ups for these systems to identify the correct </w:t>
      </w:r>
      <w:r>
        <w:lastRenderedPageBreak/>
        <w:t>pathway and mode of action. Melittin and magainin 2, already amply used as model AMPs, are also studied extensively for aggregation purposes and can be an important point of reference. Aggregation behaviour can be an important metric to monitor, as knowing the most adequate size of clusters to use in peptide-bilayer simulations will lead to more accurate simulations. This can be understood by aqueous phase simulations of the peptide, or even by predicting the aggregation propensity from the sequence.</w:t>
      </w:r>
    </w:p>
    <w:p w14:paraId="5E7C5238" w14:textId="77777777" w:rsidR="001529CF" w:rsidRDefault="001529CF">
      <w:pPr>
        <w:pStyle w:val="LO-normal"/>
        <w:jc w:val="both"/>
      </w:pPr>
    </w:p>
    <w:p w14:paraId="626B0C4D" w14:textId="218D2594" w:rsidR="001529CF" w:rsidRDefault="00492337">
      <w:pPr>
        <w:pStyle w:val="LO-normal"/>
        <w:jc w:val="both"/>
      </w:pPr>
      <w:r>
        <w:t>Aggregation is known to be an important mechanism for the antimicrobial activity of AMPs</w:t>
      </w:r>
      <w:r w:rsidR="00880F72">
        <w:fldChar w:fldCharType="begin" w:fldLock="1"/>
      </w:r>
      <w:r w:rsidR="00C44087">
        <w:instrText>ADDIN CSL_CITATION {"citationItems":[{"id":"ITEM-1","itemData":{"DOI":"10.1111/mmi.13269","ISSN":"13652958","PMID":"26559925","abstract":"Taking advantage of the xenobiotic nature of bacterial infections, we tested whether the cytotoxicity of protein aggregation can be targeted to bacterial pathogens without affecting their mammalian hosts. In particular, we examined if peptides encoding aggregation-prone sequence segments of bacterial proteins can display antimicrobial activity by initiating toxic protein aggregation in bacteria, but not in mammalian cells. Unbiased in vitro screening of aggregating peptide sequences from bacterial genomes lead to the identification of several peptides that are strongly bactericidal against methicillin-resistant Staphylococcus aureus. Upon parenteral administration in vivo, the peptides cured mice from bacterial sepsis without apparent toxic side effects as judged from histological and hematological evaluation. We found that the peptides enter and accumulate in the bacterial cytosol where they cause aggregation of bacterial polypeptides. Although the precise chain of events that leads to cell death remains to be elucidated, the ability to tap into aggregation-prone sequences of bacterial proteomes to elicit antimicrobial activity represents a rich and unexplored chemical space to be mined in search of novel therapeutic strategies to fight infectious diseases.","author":[{"dropping-particle":"","family":"Bednarska","given":"Natalia G.","non-dropping-particle":"","parse-names":false,"suffix":""},{"dropping-particle":"","family":"Eldere","given":"Johan","non-dropping-particle":"van","parse-names":false,"suffix":""},{"dropping-particle":"","family":"Gallardo","given":"Rodrigo","non-dropping-particle":"","parse-names":false,"suffix":""},{"dropping-particle":"","family":"Ganesan","given":"Ashok","non-dropping-particle":"","parse-names":false,"suffix":""},{"dropping-particle":"","family":"Ramakers","given":"Meine","non-dropping-particle":"","parse-names":false,"suffix":""},{"dropping-particle":"","family":"Vogel","given":"Isabel","non-dropping-particle":"","parse-names":false,"suffix":""},{"dropping-particle":"","family":"Baatsen","given":"Pieter","non-dropping-particle":"","parse-names":false,"suffix":""},{"dropping-particle":"","family":"Staes","given":"An","non-dropping-particle":"","parse-names":false,"suffix":""},{"dropping-particle":"","family":"Goethals","given":"Marc","non-dropping-particle":"","parse-names":false,"suffix":""},{"dropping-particle":"","family":"Hammarström","given":"Per","non-dropping-particle":"","parse-names":false,"suffix":""},{"dropping-particle":"","family":"Nilsson","given":"K. Peter R.","non-dropping-particle":"","parse-names":false,"suffix":""},{"dropping-particle":"","family":"Gevaert","given":"Kris","non-dropping-particle":"","parse-names":false,"suffix":""},{"dropping-particle":"","family":"Schymkowitz","given":"Joost","non-dropping-particle":"","parse-names":false,"suffix":""},{"dropping-particle":"","family":"Rousseau","given":"Frederic","non-dropping-particle":"","parse-names":false,"suffix":""}],"container-title":"Molecular Microbiology","id":"ITEM-1","issue":"5","issued":{"date-parts":[["2016","3","1"]]},"page":"849-865","publisher":"Blackwell Publishing Ltd","title":"Protein aggregation as an antibiotic design strategy","type":"article-journal","volume":"99"},"uris":["http://www.mendeley.com/documents/?uuid=57ce6a6c-1977-3c00-b53b-dccfc82a9cdd"]}],"mendeley":{"formattedCitation":"&lt;sup&gt;286&lt;/sup&gt;","plainTextFormattedCitation":"286","previouslyFormattedCitation":"&lt;sup&gt;286&lt;/sup&gt;"},"properties":{"noteIndex":0},"schema":"https://github.com/citation-style-language/schema/raw/master/csl-citation.json"}</w:instrText>
      </w:r>
      <w:r w:rsidR="00880F72">
        <w:fldChar w:fldCharType="separate"/>
      </w:r>
      <w:r w:rsidR="00C44087" w:rsidRPr="00C44087">
        <w:rPr>
          <w:noProof/>
          <w:vertAlign w:val="superscript"/>
        </w:rPr>
        <w:t>286</w:t>
      </w:r>
      <w:r w:rsidR="00880F72">
        <w:fldChar w:fldCharType="end"/>
      </w:r>
      <w:r>
        <w:t>. Whether the aim is to elucidate their mode of action, or to design new peptides</w:t>
      </w:r>
      <w:r w:rsidR="00880F72">
        <w:fldChar w:fldCharType="begin" w:fldLock="1"/>
      </w:r>
      <w:r w:rsidR="00C44087">
        <w:instrText>ADDIN CSL_CITATION {"citationItems":[{"id":"ITEM-1","itemData":{"DOI":"10.1021/acs.biochem.8b00888","ISSN":"15204995","PMID":"30403128","abstract":"Antibacterial resistance necessitates the development of novel treatment methods for infections. Protein aggregates have recently been applied as antimicrobials to disrupt bacterial homeostasis. Past work on protein aggregates has focused on genome mining for aggregation-prone sequences in bacterial genomes rather than on rational design of aggregating antimicrobial peptides. Here, we use a synthetic biology approach to design an artificial gene encoding a de novo aggregating antimicrobial peptide. This artificial gene, opaL (overexpressed protein aggregator lipophilic), disrupts bacterial homeostasis by expressing extremely hydrophobic peptides. When this hydrophobic sequence is disrupted by acidic residues, consequent aggregation and antimicrobial effect decrease. Further, we developed a probiotic delivery system using the broad-host range conjugative plasmid RK2 to transfer the gene from donor to recipient bacteria. We utilize RK2 to mobilize a shuttle plasmid carrying opaL by adding the RK2 origin of transfer. We show that opaL is nontoxic to the donor, allowing for maintenance and transfer since its expression is under control of a promoter with a recipient-specific T7 RNA polymerase. Upon mating of donor and recipient Escherichia coli, we observe selective growth repression in T7 polymerase-expressing recipients. This technique could be used to target desired pathogens by selecting pathogen-specific promoters to control T7 RNA polymerase expression and provides a basis for the design and delivery of aggregating antimicrobial peptides.","author":[{"dropping-particle":"","family":"Collins","given":"Logan T.","non-dropping-particle":"","parse-names":false,"suffix":""},{"dropping-particle":"","family":"Otoupal","given":"Peter B.","non-dropping-particle":"","parse-names":false,"suffix":""},{"dropping-particle":"","family":"Campos","given":"Jocelyn K.","non-dropping-particle":"","parse-names":false,"suffix":""},{"dropping-particle":"","family":"Courtney","given":"Colleen M.","non-dropping-particle":"","parse-names":false,"suffix":""},{"dropping-particle":"","family":"Chatterjee","given":"Anushree","non-dropping-particle":"","parse-names":false,"suffix":""}],"container-title":"Biochemistry","id":"ITEM-1","issue":"11","issued":{"date-parts":[["2019","3","19"]]},"page":"1521-1526","publisher":"American Chemical Society","title":"Design of a de Novo Aggregating Antimicrobial Peptide and a Bacterial Conjugation-Based Delivery System","type":"article-journal","volume":"58"},"uris":["http://www.mendeley.com/documents/?uuid=eec02fa5-b75d-3f46-a8b6-b1a801192597"]}],"mendeley":{"formattedCitation":"&lt;sup&gt;287&lt;/sup&gt;","plainTextFormattedCitation":"287","previouslyFormattedCitation":"&lt;sup&gt;287&lt;/sup&gt;"},"properties":{"noteIndex":0},"schema":"https://github.com/citation-style-language/schema/raw/master/csl-citation.json"}</w:instrText>
      </w:r>
      <w:r w:rsidR="00880F72">
        <w:fldChar w:fldCharType="separate"/>
      </w:r>
      <w:r w:rsidR="00C44087" w:rsidRPr="00C44087">
        <w:rPr>
          <w:noProof/>
          <w:vertAlign w:val="superscript"/>
        </w:rPr>
        <w:t>287</w:t>
      </w:r>
      <w:r w:rsidR="00880F72">
        <w:fldChar w:fldCharType="end"/>
      </w:r>
      <w:r>
        <w:t>, it clearly is fundamental and can be explored with several computational tools and many different approaches.</w:t>
      </w:r>
    </w:p>
    <w:p w14:paraId="3FC3DDA2" w14:textId="77777777" w:rsidR="001529CF" w:rsidRDefault="00492337">
      <w:pPr>
        <w:pStyle w:val="Heading3"/>
        <w:jc w:val="both"/>
      </w:pPr>
      <w:bookmarkStart w:id="12" w:name="_lnxbz9"/>
      <w:bookmarkEnd w:id="12"/>
      <w:r>
        <w:t>Peptide Effects on the Membrane: Insertion, Disruption and Pore Formation</w:t>
      </w:r>
    </w:p>
    <w:p w14:paraId="581A6CC3" w14:textId="302F04B9" w:rsidR="001529CF" w:rsidRDefault="00492337">
      <w:pPr>
        <w:pStyle w:val="LO-normal"/>
        <w:jc w:val="both"/>
      </w:pPr>
      <w:r>
        <w:t>The activity of many AMPs can be related to their ability to selectively disrupt bacterial cell membranes. While there exist experimental assays that can determine the presence of membrane disruption and AMP activity, such as cell or vesicle leakage assays</w:t>
      </w:r>
      <w:r w:rsidR="00880F72">
        <w:fldChar w:fldCharType="begin" w:fldLock="1"/>
      </w:r>
      <w:r w:rsidR="00912FFE">
        <w:instrText>ADDIN CSL_CITATION {"citationItems":[{"id":"ITEM-1","itemData":{"DOI":"10.3390/antibiotics8010020","ISSN":"20796382","abstract":"The continued emergence of new antibiotic resistant bacterial strains has resulted in great interest in the development of new antimicrobial treatments. Antimicrobial peptides (AMPs) are one of many potential classes of molecules to help meet this emerging need. AMPs are naturally derived sequences, which act as part of the innate immune system of organisms ranging from insects through humans. We investigated the antimicrobial peptide AP3, which is originally isolated from the winter flounder Pleuronectes americanus. This peptide is of specific interest because it does not exhibit the canonical facially amphiphilic orientation of side chains when in a helical orientation. Different analogs of AP3 were synthesized in which length, charge identity, and Trp position were varied to investigate the sequence-structure and activity relationship. We performed biophysical and microbiological characterization using fluorescence spectroscopy, CD spectroscopy, vesicle leakage assays, bacterial membrane permeabilization assays, and minimal inhibitory concentration (MIC) assays. Fluorescence spectroscopy showed that the peptides bind to lipid bilayers to similar extents, while CD spectra show the peptides adopt helical conformations. All five peptides tested in this study exhibited binding to model lipid membranes, while the truncated peptides showed no measurable antimicrobial activity. The most active peptide proved to be the parent peptide AP3 with the highest degree of leakage and bacterial membrane permeabilization. Moreover, it was found that the ability to permeabilize model and bacterial membranes correlated most closely with the ability to predict antimicrobial activity.","author":[{"dropping-particle":"","family":"Chrom","given":"Christina L.","non-dropping-particle":"","parse-names":false,"suffix":""},{"dropping-particle":"","family":"Renn","given":"Lindsay M.","non-dropping-particle":"","parse-names":false,"suffix":""},{"dropping-particle":"","family":"Caputo","given":"Gregory A.","non-dropping-particle":"","parse-names":false,"suffix":""}],"container-title":"Antibiotics","id":"ITEM-1","issue":"1","issued":{"date-parts":[["2019","3","1"]]},"page":"20","publisher":"MDPI AG","title":"Characterization and antimicrobial activity of amphiphilic peptide ap3 and derivative sequences","type":"article-journal","volume":"8"},"uris":["http://www.mendeley.com/documents/?uuid=486b1a14-b64f-3abd-a920-c86590f01e14"]}],"mendeley":{"formattedCitation":"&lt;sup&gt;288&lt;/sup&gt;","plainTextFormattedCitation":"288","previouslyFormattedCitation":"&lt;sup&gt;288&lt;/sup&gt;"},"properties":{"noteIndex":0},"schema":"https://github.com/citation-style-language/schema/raw/master/csl-citation.json"}</w:instrText>
      </w:r>
      <w:r w:rsidR="00880F72">
        <w:fldChar w:fldCharType="separate"/>
      </w:r>
      <w:r w:rsidR="00C44087" w:rsidRPr="00C44087">
        <w:rPr>
          <w:noProof/>
          <w:vertAlign w:val="superscript"/>
        </w:rPr>
        <w:t>288</w:t>
      </w:r>
      <w:r w:rsidR="00880F72">
        <w:fldChar w:fldCharType="end"/>
      </w:r>
      <w:r>
        <w:t>, it is difficult to experimentally determine atomic-level details of the exact interactions that occur between an AMP and its target membrane. Modelling and simulations have increasingly been used to explore such interactions and will be discussed in this section.</w:t>
      </w:r>
      <w:r>
        <w:rPr>
          <w:color w:val="FF0000"/>
          <w:sz w:val="18"/>
          <w:szCs w:val="18"/>
        </w:rPr>
        <w:t xml:space="preserve"> </w:t>
      </w:r>
      <w:r>
        <w:t xml:space="preserve"> Properties that are commonly used to measure these interactions include area per lipid, bilayer thickness, lipid chain order parameter, depth and orientation of the peptide in the membrane, lateral pressure, membrane curvature, clustering of charged lipids, electrostatic surface potential of the membrane, hydrogen bonds and electrostatic interactions between cationic residues with phosphate groups, free energy of peptide partitioning between the aqueous and membrane phases and presence of water deformations or water pores in the membranes</w:t>
      </w:r>
      <w:r w:rsidR="00880F72">
        <w:fldChar w:fldCharType="begin" w:fldLock="1"/>
      </w:r>
      <w:r w:rsidR="00C44087">
        <w:instrText>ADDIN CSL_CITATION {"citationItems":[{"id":"ITEM-1","itemData":{"DOI":"10.1021/ct3003157","ISSN":"15499626","abstract":"Molecular dynamics simulations provide a route to studying the dynamics of lipid bilayers at atomistic or near atomistic resolution. Over the past 10 years or so, molecular dynamics simulations have become an established part of the biophysicists tool kit for the study of model biological membranes. As simulation time scales move from tens to hundreds of nanoseconds and beyond, it is timely to re-evaluate the accuracy of simulation models. We describe a comparative analysis of five freely available force fields that are commonly used to model lipid bilayers. We focus our analysis on 1,2-dipalmitoyl-sn- glycero-3-phosphocholine (DPPC) and 1-palmitoyl-2-oleoyl-sn-glycero-3- phosphocholine (POPC) bilayers. We show that some bilayer properties have a pronounced force field dependence, while others are less sensitive. In general, we find strengths and weaknesses, with respect to experimental data, in all of the force fields we have studied. We do, however, find some combinations of simulation and force field parameters that should be avoided when simulating DPPC and POPC membranes. We anticipate that the results presented for some of the membrane properties will guide future improvements for several force fields studied in this work. © 2012 American Chemical Society.","author":[{"dropping-particle":"","family":"Piggot","given":"Thomas J.","non-dropping-particle":"","parse-names":false,"suffix":""},{"dropping-particle":"","family":"Piñeiro","given":"Ángel","non-dropping-particle":"","parse-names":false,"suffix":""},{"dropping-particle":"","family":"Khalid","given":"Syma","non-dropping-particle":"","parse-names":false,"suffix":""}],"container-title":"Journal of Chemical Theory and Computation","id":"ITEM-1","issue":"11","issued":{"date-parts":[["2012","11","13"]]},"page":"4593-4609","publisher":"American Chemical Society","title":"Molecular dynamics simulations of phosphatidylcholine membranes: A comparative force field study","type":"article-journal","volume":"8"},"uris":["http://www.mendeley.com/documents/?uuid=7db10f4c-c2fa-3982-b635-eab745535402"]},{"id":"ITEM-2","itemData":{"DOI":"10.1021/acs.jpcb.6b01870","ISSN":"15205207","PMID":"27035634","abstract":"Atomistic molecular dynamics simulations have become an important source of information for the structure and dynamics of biomembranes at molecular detail difficult to access in experiments. A number of force fields for lipid membrane simulations have been derived in the past; the choice of the most suitable force field is, however, frequently hampered by the availability of parameters for specific lipids. Additionally, the comparison of different quantities among force fields is often aggravated by varying simulation parameters. Here, we compare four atomistic lipid force fields, namely, the united-atom GROMOS54a7 and the all-atom force fields CHARMM36, Slipids, and Lipid14, for a broad range of structural and dynamical properties of saturated and monounsaturated phosphatidylcholine bilayers (DMPC and POPC) as well as for monounsaturated phosphatidylethanolamine bilayers (POPE). Additionally, the ability of the different force fields to describe the gel-liquid crystalline phase transition is compared and their computational efficiency estimated. Moreover, membrane properties like the water flux across the lipid bilayer and lipid acyl chain protrusion probabilities are compared.","author":[{"dropping-particle":"","family":"Pluhackova","given":"Kristyna","non-dropping-particle":"","parse-names":false,"suffix":""},{"dropping-particle":"","family":"Kirsch","given":"Sonja A.","non-dropping-particle":"","parse-names":false,"suffix":""},{"dropping-particle":"","family":"Han","given":"Jing","non-dropping-particle":"","parse-names":false,"suffix":""},{"dropping-particle":"","family":"Sun","given":"Liping","non-dropping-particle":"","parse-names":false,"suffix":""},{"dropping-particle":"","family":"Jiang","given":"Zhenyan","non-dropping-particle":"","parse-names":false,"suffix":""},{"dropping-particle":"","family":"Unruh","given":"Tobias","non-dropping-particle":"","parse-names":false,"suffix":""},{"dropping-particle":"","family":"Böckmann","given":"Rainer A.","non-dropping-particle":"","parse-names":false,"suffix":""}],"container-title":"Journal of Physical Chemistry B","id":"ITEM-2","issue":"16","issued":{"date-parts":[["2016","4","28"]]},"page":"3888-3903","publisher":"American Chemical Society","title":"A Critical Comparison of Biomembrane Force Fields: Structure and Dynamics of Model DMPC, POPC, and POPE Bilayers","type":"article-journal","volume":"120"},"uris":["http://www.mendeley.com/documents/?uuid=bf61e696-13c1-3030-837c-d2dfbb051655"]},{"id":"ITEM-3","itemData":{"DOI":"10.1093/bioinformatics/btw563","ISSN":"14602059","PMID":"27578804","abstract":"When studying biological membranes, Molecular Dynamics (MD) simulations reveal to be quite complementary to experimental techniques. Because the simulated systems keep increasing both in size and complexity, the analysis of MD trajectories need to be computationally efficient while being robust enough to perform analysis on membranes that may be curved or deformed due to their size and/or protein-lipid interactions. This work presents a new software named FATSLiM ('Fast Analysis Toolbox for Simulations of Lipid Membranes') that can extract physical properties from MD simulations of membranes (with or without interacting proteins). Because it relies on the calculation of local normals, FATSLiM does not depend of the bilayer morphology and thus can handle with the same accuracy vesicles for instance. Thanks to an efficiency-driven development, it is also fast and consumes a rather low amount of memory.","author":[{"dropping-particle":"","family":"Buchoux","given":"Sébastien","non-dropping-particle":"","parse-names":false,"suffix":""}],"container-title":"Bioinformatics","id":"ITEM-3","issue":"1","issued":{"date-parts":[["2017","1","1"]]},"page":"133-134","publisher":"Oxford University Press","title":"FATSLiM: A fast and robust software to analyze MD simulations of membranes","type":"article-journal","volume":"33"},"uris":["http://www.mendeley.com/documents/?uuid=f136f522-518c-3634-b9d3-cac6daa96a42"]}],"mendeley":{"formattedCitation":"&lt;sup&gt;289–291&lt;/sup&gt;","plainTextFormattedCitation":"289–291","previouslyFormattedCitation":"&lt;sup&gt;289–291&lt;/sup&gt;"},"properties":{"noteIndex":0},"schema":"https://github.com/citation-style-language/schema/raw/master/csl-citation.json"}</w:instrText>
      </w:r>
      <w:r w:rsidR="00880F72">
        <w:fldChar w:fldCharType="separate"/>
      </w:r>
      <w:r w:rsidR="00C44087" w:rsidRPr="00C44087">
        <w:rPr>
          <w:noProof/>
          <w:vertAlign w:val="superscript"/>
        </w:rPr>
        <w:t>289–291</w:t>
      </w:r>
      <w:r w:rsidR="00880F72">
        <w:fldChar w:fldCharType="end"/>
      </w:r>
      <w:r>
        <w:t xml:space="preserve">. </w:t>
      </w:r>
    </w:p>
    <w:p w14:paraId="08CB57AD" w14:textId="77777777" w:rsidR="001529CF" w:rsidRDefault="001529CF">
      <w:pPr>
        <w:pStyle w:val="LO-normal"/>
        <w:jc w:val="both"/>
      </w:pPr>
    </w:p>
    <w:p w14:paraId="7BEF2B5C" w14:textId="4A044FF9" w:rsidR="001529CF" w:rsidRDefault="00492337">
      <w:pPr>
        <w:pStyle w:val="LO-normal"/>
        <w:jc w:val="both"/>
      </w:pPr>
      <w:r>
        <w:t>MD simulations have been used extensively in conjunction with experimental data to probe the structural dynamics of AMPs embedded in model membranes. In addition to probing the effect of the membrane on peptide structure, which was discussed previously, these simulations provide information about the effects of the peptide on the membrane and offer insight into the membrane-disruption mechanisms of AMPs . For example, the pore structures created in a membrane by β-barrel protegrin-1 oligomers were studied by simulating variations of oligomer-embedded phospholipid bilayers</w:t>
      </w:r>
      <w:r w:rsidR="00880F72">
        <w:fldChar w:fldCharType="begin" w:fldLock="1"/>
      </w:r>
      <w:r w:rsidR="00576689">
        <w:instrText>ADDIN CSL_CITATION {"citationItems":[{"id":"ITEM-1","itemData":{"DOI":"10.1021/acs.jpcb.7b06591","ISSN":"15205207","PMID":"28879767","abstract":"Protegrin-1 is an 18-residue β-hairpin antimicrobial peptide (AMP) that has been suggested to form transmembrane β-barrels in biological membranes. However, alternative structures have also been proposed. Here, we performed multimicrosecond, all-atom molecular dynamics simulations of various protegrin-1 oligomers on the membrane surface and in transmembrane topologies. The membrane surface simulations indicated that protegrin dimers are stable, whereas trimers and tetramers break down. Tetrameric arcs remained stably inserted in lipid membranes, but the pore water was displaced by lipid molecules. Unsheared protegrin β-barrels opened into β-sheets that surrounded stable aqueous pores, whereas tilted barrels with sheared hydrogen bonding patterns were stable in most topologies. A third type of observed pore consisted of multiple small oligomers surrounding a small, partially lipidic pore. We also considered the β-hairpin AMP tachyplesin, which showed less tendency to oligomerize than protegrin: the octameric bundle resulted in small pores surrounded by six peptides as monomers and dimers, with some peptides returning to the membrane surface. The results imply that multiple configurations of protegrin oligomers may produce aqueous pores and illustrate the relationship between topology and putative steps in protegrin-1's pore formation. However, the long-term stability of these structures needs to be assessed further.","author":[{"dropping-particle":"","family":"Lipkin","given":"Richard","non-dropping-particle":"","parse-names":false,"suffix":""},{"dropping-particle":"","family":"Pino-Angeles","given":"Almudena","non-dropping-particle":"","parse-names":false,"suffix":""},{"dropping-particle":"","family":"Lazaridis","given":"Themis","non-dropping-particle":"","parse-names":false,"suffix":""}],"container-title":"Journal of Physical Chemistry B","id":"ITEM-1","issue":"39","issued":{"date-parts":[["2017","10","5"]]},"page":"9126-9140","publisher":"American Chemical Society","title":"Transmembrane Pore Structures of β-Hairpin Antimicrobial Peptides by All-Atom Simulations","type":"article-journal","volume":"121"},"uris":["http://www.mendeley.com/documents/?uuid=eb2b277d-758b-380f-978a-8a1af0200847"]}],"mendeley":{"formattedCitation":"&lt;sup&gt;233&lt;/sup&gt;","plainTextFormattedCitation":"233","previouslyFormattedCitation":"&lt;sup&gt;233&lt;/sup&gt;"},"properties":{"noteIndex":0},"schema":"https://github.com/citation-style-language/schema/raw/master/csl-citation.json"}</w:instrText>
      </w:r>
      <w:r w:rsidR="00880F72">
        <w:fldChar w:fldCharType="separate"/>
      </w:r>
      <w:r w:rsidR="00A313B9" w:rsidRPr="00A313B9">
        <w:rPr>
          <w:noProof/>
          <w:vertAlign w:val="superscript"/>
        </w:rPr>
        <w:t>233</w:t>
      </w:r>
      <w:r w:rsidR="00880F72">
        <w:fldChar w:fldCharType="end"/>
      </w:r>
      <w:r>
        <w:t>. The study revealed important information about the AMP mechanism, such as the minimum number of monomers needed to keep a water pore open and the tendency of the β-barrel to tilt in the membrane in order to maximise favourable</w:t>
      </w:r>
      <w:r w:rsidR="00880F72">
        <w:t xml:space="preserve"> interaction</w:t>
      </w:r>
      <w:r w:rsidR="00880F72">
        <w:fldChar w:fldCharType="begin" w:fldLock="1"/>
      </w:r>
      <w:r w:rsidR="00576689">
        <w:instrText>ADDIN CSL_CITATION {"citationItems":[{"id":"ITEM-1","itemData":{"DOI":"10.1021/acs.jpcb.7b06591","ISSN":"15205207","PMID":"28879767","abstract":"Protegrin-1 is an 18-residue β-hairpin antimicrobial peptide (AMP) that has been suggested to form transmembrane β-barrels in biological membranes. However, alternative structures have also been proposed. Here, we performed multimicrosecond, all-atom molecular dynamics simulations of various protegrin-1 oligomers on the membrane surface and in transmembrane topologies. The membrane surface simulations indicated that protegrin dimers are stable, whereas trimers and tetramers break down. Tetrameric arcs remained stably inserted in lipid membranes, but the pore water was displaced by lipid molecules. Unsheared protegrin β-barrels opened into β-sheets that surrounded stable aqueous pores, whereas tilted barrels with sheared hydrogen bonding patterns were stable in most topologies. A third type of observed pore consisted of multiple small oligomers surrounding a small, partially lipidic pore. We also considered the β-hairpin AMP tachyplesin, which showed less tendency to oligomerize than protegrin: the octameric bundle resulted in small pores surrounded by six peptides as monomers and dimers, with some peptides returning to the membrane surface. The results imply that multiple configurations of protegrin oligomers may produce aqueous pores and illustrate the relationship between topology and putative steps in protegrin-1's pore formation. However, the long-term stability of these structures needs to be assessed further.","author":[{"dropping-particle":"","family":"Lipkin","given":"Richard","non-dropping-particle":"","parse-names":false,"suffix":""},{"dropping-particle":"","family":"Pino-Angeles","given":"Almudena","non-dropping-particle":"","parse-names":false,"suffix":""},{"dropping-particle":"","family":"Lazaridis","given":"Themis","non-dropping-particle":"","parse-names":false,"suffix":""}],"container-title":"Journal of Physical Chemistry B","id":"ITEM-1","issue":"39","issued":{"date-parts":[["2017","10","5"]]},"page":"9126-9140","publisher":"American Chemical Society","title":"Transmembrane Pore Structures of β-Hairpin Antimicrobial Peptides by All-Atom Simulations","type":"article-journal","volume":"121"},"uris":["http://www.mendeley.com/documents/?uuid=eb2b277d-758b-380f-978a-8a1af0200847"]}],"mendeley":{"formattedCitation":"&lt;sup&gt;233&lt;/sup&gt;","plainTextFormattedCitation":"233","previouslyFormattedCitation":"&lt;sup&gt;233&lt;/sup&gt;"},"properties":{"noteIndex":0},"schema":"https://github.com/citation-style-language/schema/raw/master/csl-citation.json"}</w:instrText>
      </w:r>
      <w:r w:rsidR="00880F72">
        <w:fldChar w:fldCharType="separate"/>
      </w:r>
      <w:r w:rsidR="00A313B9" w:rsidRPr="00A313B9">
        <w:rPr>
          <w:noProof/>
          <w:vertAlign w:val="superscript"/>
        </w:rPr>
        <w:t>233</w:t>
      </w:r>
      <w:r w:rsidR="00880F72">
        <w:fldChar w:fldCharType="end"/>
      </w:r>
      <w:r>
        <w:t>. Another study involved embedding MSI-594 into various lipid bilayers and performing accelerated atomistic MD, which resulted in more bilayer disruption in the bacterial than the mammalian membrane models; this is in agreement with the bacterial specificity of the peptide</w:t>
      </w:r>
      <w:r w:rsidR="00880F72">
        <w:fldChar w:fldCharType="begin" w:fldLock="1"/>
      </w:r>
      <w:r w:rsidR="00576689">
        <w:instrText>ADDIN CSL_CITATION {"citationItems":[{"id":"ITEM-1","itemData":{"DOI":"10.1039/c7cp01941f","ISSN":"14639076","PMID":"28702543","abstract":"Multidrug resistance against the existing antibiotics is one of the most challenging threats across the globe. Antimicrobial peptides (AMPs), in this regard, are considered to be one of the effective alternatives that can overcome bacterial resistance. MSI-594, a 24-residue linear alpha-helical cationic AMP, has been shown to function via the carpet mechanism to disrupt bacterial membrane systems. To better understand the role of lipid composition in the function of MSI-594, in the present study, eight different model membrane systems have been studied using accelerated molecular dynamics (aMD) simulations. The simulated results are helpful in discriminating the particular effects of cationic MSI-594 against zwitterionic POPC, anionic POPG and POPS, and neutral POPE lipid moieties. Additionally, the effects of various heterogeneous POPC/POPG (7:3), POPC/POPS (7:3), and POPG/POPE (1:3 and 3:1) bilayer systems on the dynamic interaction of MSI-594 have also been investigated. The effect on the lipid bilayer due to the interaction with the peptide is characterized by lipid acyl-chain order, membrane thickness, and acyl-chain dynamics. Our simulation results show that the lipid composition affects the membrane interaction of MSI-594, suggesting that membrane selectivity is crucial to its mechanism of action. The results reported in this study are helpful to obtain accurate atomistic-level information governing MSI-594 and its membrane disruptive antimicrobial mechanism of action, and to design next generation potent antimicrobial peptides.","author":[{"dropping-particle":"","family":"Mukherjee","given":"Shruti","non-dropping-particle":"","parse-names":false,"suffix":""},{"dropping-particle":"","family":"Kar","given":"Rajiv K.","non-dropping-particle":"","parse-names":false,"suffix":""},{"dropping-particle":"","family":"Nanga","given":"Ravi Prakash Reddy","non-dropping-particle":"","parse-names":false,"suffix":""},{"dropping-particle":"","family":"Mroue","given":"Kamal H.","non-dropping-particle":"","parse-names":false,"suffix":""},{"dropping-particle":"","family":"Ramamoorthy","given":"Ayyalusamy","non-dropping-particle":"","parse-names":false,"suffix":""},{"dropping-particle":"","family":"Bhunia","given":"Anirban","non-dropping-particle":"","parse-names":false,"suffix":""}],"container-title":"Physical Chemistry Chemical Physics","id":"ITEM-1","issue":"29","issued":{"date-parts":[["2017","7","26"]]},"page":"19289-19299","publisher":"Royal Society of Chemistry","title":"Accelerated molecular dynamics simulation analysis of MSI-594 in a lipid bilayer","type":"article-journal","volume":"19"},"uris":["http://www.mendeley.com/documents/?uuid=917b28e6-2689-363c-9c5f-44e76bab0072"]}],"mendeley":{"formattedCitation":"&lt;sup&gt;222&lt;/sup&gt;","plainTextFormattedCitation":"222","previouslyFormattedCitation":"&lt;sup&gt;222&lt;/sup&gt;"},"properties":{"noteIndex":0},"schema":"https://github.com/citation-style-language/schema/raw/master/csl-citation.json"}</w:instrText>
      </w:r>
      <w:r w:rsidR="00880F72">
        <w:fldChar w:fldCharType="separate"/>
      </w:r>
      <w:r w:rsidR="00A313B9" w:rsidRPr="00A313B9">
        <w:rPr>
          <w:noProof/>
          <w:vertAlign w:val="superscript"/>
        </w:rPr>
        <w:t>222</w:t>
      </w:r>
      <w:r w:rsidR="00880F72">
        <w:fldChar w:fldCharType="end"/>
      </w:r>
      <w:r>
        <w:t>. The embedding approach was also used to investigate the importance of bound Ca</w:t>
      </w:r>
      <w:r>
        <w:rPr>
          <w:vertAlign w:val="superscript"/>
        </w:rPr>
        <w:t>2+</w:t>
      </w:r>
      <w:r>
        <w:t xml:space="preserve"> ions on the ability of daptomycin tetramers to disrupt a bacterial membrane</w:t>
      </w:r>
      <w:r w:rsidR="00880F72">
        <w:fldChar w:fldCharType="begin" w:fldLock="1"/>
      </w:r>
      <w:r w:rsidR="00576689">
        <w:instrText>ADDIN CSL_CITATION {"citationItems":[{"id":"ITEM-1","itemData":{"DOI":"10.1016/j.bbamem.2018.03.028","ISSN":"18792642","PMID":"29627322","abstract":"Daptomycin is a cyclic lipopeptide effective against multidrug Gram-positive bacteria. Despite having a net negative charge, it is selective against negatively charged bacterial membranes. It has been established that daptomycin's antibiotic activity is based on directly targeting the bacterial membranes and that this antibacterial activity depends on calcium ions. Importantly, however, both the precise role of ions and the physical mechanisms responsible for daptomycin's action remain poorly understood. We investigate these issues using three types of molecular dynamics simulations: umbrella sampling free energy calculations for a single daptomycin, unbiased simulations for daptomycin tetramers, and unbiased simulations of micellation of daptomycin both in the absence and presence of calcium ions. The simulations are in the excess of 4 μs. As the most important finding, we establish that binding of the calcium ions on the aspartic acid residues is the key to stabilizing daptomycin tetramers inside the model material membrane. These complexes are vital for daptomycin's antibacterial activity. In the absence of binding, the tetramer is not stable and moves slowly out of the membrane. We also demonstrate that in solution, micellation of daptomycin occurs both in the presence and absence of calcium ions, and discuss the similarities between the behaviors of daptomycin and amyloid peptides in membranes.","author":[{"dropping-particle":"","family":"Liu","given":"Bin","non-dropping-particle":"","parse-names":false,"suffix":""},{"dropping-particle":"","family":"Karttunen","given":"Mikko","non-dropping-particle":"","parse-names":false,"suffix":""}],"container-title":"Biochimica et Biophysica Acta - Biomembranes","id":"ITEM-1","issue":"9","issued":{"date-parts":[["2018","9","1"]]},"page":"1949-1954","publisher":"Elsevier B.V.","title":"Lipopeptide daptomycin: Interactions with bacterial and phospholipid membranes, stability of membrane aggregates and micellation in solution","type":"article-journal","volume":"1860"},"uris":["http://www.mendeley.com/documents/?uuid=7b3d93aa-733a-3fa0-a2a0-95a671450a26"]}],"mendeley":{"formattedCitation":"&lt;sup&gt;234&lt;/sup&gt;","plainTextFormattedCitation":"234","previouslyFormattedCitation":"&lt;sup&gt;234&lt;/sup&gt;"},"properties":{"noteIndex":0},"schema":"https://github.com/citation-style-language/schema/raw/master/csl-citation.json"}</w:instrText>
      </w:r>
      <w:r w:rsidR="00880F72">
        <w:fldChar w:fldCharType="separate"/>
      </w:r>
      <w:r w:rsidR="00A313B9" w:rsidRPr="00A313B9">
        <w:rPr>
          <w:noProof/>
          <w:vertAlign w:val="superscript"/>
        </w:rPr>
        <w:t>234</w:t>
      </w:r>
      <w:r w:rsidR="00880F72">
        <w:fldChar w:fldCharType="end"/>
      </w:r>
      <w:r>
        <w:t>. Monitoring the location and stability of tetramers in the membrane, along with the number of water molecules attracted into the bilayer, allowed critical comparisons to be made between the Ca</w:t>
      </w:r>
      <w:r>
        <w:rPr>
          <w:vertAlign w:val="superscript"/>
        </w:rPr>
        <w:t>2+</w:t>
      </w:r>
      <w:r>
        <w:t>-bound and the free tetramer</w:t>
      </w:r>
      <w:r w:rsidR="00880F72">
        <w:fldChar w:fldCharType="begin" w:fldLock="1"/>
      </w:r>
      <w:r w:rsidR="00576689">
        <w:instrText>ADDIN CSL_CITATION {"citationItems":[{"id":"ITEM-1","itemData":{"DOI":"10.1016/j.bbamem.2018.03.028","ISSN":"18792642","PMID":"29627322","abstract":"Daptomycin is a cyclic lipopeptide effective against multidrug Gram-positive bacteria. Despite having a net negative charge, it is selective against negatively charged bacterial membranes. It has been established that daptomycin's antibiotic activity is based on directly targeting the bacterial membranes and that this antibacterial activity depends on calcium ions. Importantly, however, both the precise role of ions and the physical mechanisms responsible for daptomycin's action remain poorly understood. We investigate these issues using three types of molecular dynamics simulations: umbrella sampling free energy calculations for a single daptomycin, unbiased simulations for daptomycin tetramers, and unbiased simulations of micellation of daptomycin both in the absence and presence of calcium ions. The simulations are in the excess of 4 μs. As the most important finding, we establish that binding of the calcium ions on the aspartic acid residues is the key to stabilizing daptomycin tetramers inside the model material membrane. These complexes are vital for daptomycin's antibacterial activity. In the absence of binding, the tetramer is not stable and moves slowly out of the membrane. We also demonstrate that in solution, micellation of daptomycin occurs both in the presence and absence of calcium ions, and discuss the similarities between the behaviors of daptomycin and amyloid peptides in membranes.","author":[{"dropping-particle":"","family":"Liu","given":"Bin","non-dropping-particle":"","parse-names":false,"suffix":""},{"dropping-particle":"","family":"Karttunen","given":"Mikko","non-dropping-particle":"","parse-names":false,"suffix":""}],"container-title":"Biochimica et Biophysica Acta - Biomembranes","id":"ITEM-1","issue":"9","issued":{"date-parts":[["2018","9","1"]]},"page":"1949-1954","publisher":"Elsevier B.V.","title":"Lipopeptide daptomycin: Interactions with bacterial and phospholipid membranes, stability of membrane aggregates and micellation in solution","type":"article-journal","volume":"1860"},"uris":["http://www.mendeley.com/documents/?uuid=7b3d93aa-733a-3fa0-a2a0-95a671450a26"]}],"mendeley":{"formattedCitation":"&lt;sup&gt;234&lt;/sup&gt;","plainTextFormattedCitation":"234","previouslyFormattedCitation":"&lt;sup&gt;234&lt;/sup&gt;"},"properties":{"noteIndex":0},"schema":"https://github.com/citation-style-language/schema/raw/master/csl-citation.json"}</w:instrText>
      </w:r>
      <w:r w:rsidR="00880F72">
        <w:fldChar w:fldCharType="separate"/>
      </w:r>
      <w:r w:rsidR="00A313B9" w:rsidRPr="00A313B9">
        <w:rPr>
          <w:noProof/>
          <w:vertAlign w:val="superscript"/>
        </w:rPr>
        <w:t>234</w:t>
      </w:r>
      <w:r w:rsidR="00880F72">
        <w:fldChar w:fldCharType="end"/>
      </w:r>
      <w:r>
        <w:t>.</w:t>
      </w:r>
    </w:p>
    <w:p w14:paraId="215F6C5F" w14:textId="77777777" w:rsidR="001529CF" w:rsidRDefault="001529CF">
      <w:pPr>
        <w:pStyle w:val="LO-normal"/>
        <w:jc w:val="both"/>
      </w:pPr>
    </w:p>
    <w:p w14:paraId="64CD4D67" w14:textId="02E67BF3" w:rsidR="001529CF" w:rsidRDefault="00492337">
      <w:pPr>
        <w:pStyle w:val="LO-normal"/>
        <w:jc w:val="both"/>
      </w:pPr>
      <w:r>
        <w:lastRenderedPageBreak/>
        <w:t>Some studies aim to sample full penetration and/or pore-forming events using advanced techniques that alter or speed up the sampling of the energy landscape in MD simulations, such as the previously mentioned accelerated atomistic MD. Simulation studies of membranes are computationally demanding, because they are large and require longer simulation time; employing CG helps obviate these problems</w:t>
      </w:r>
      <w:r w:rsidR="00880F72">
        <w:fldChar w:fldCharType="begin" w:fldLock="1"/>
      </w:r>
      <w:r w:rsidR="00576689">
        <w:instrText>ADDIN CSL_CITATION {"citationItems":[{"id":"ITEM-1","itemData":{"DOI":"10.1039/c3cs60093a","ISSN":"14604744","PMID":"23708257","abstract":"The Martini model, a coarse-grained force field for biomolecular simulations, has found a broad range of applications since its release a decade ago. Based on a building block principle, the model combines speed and versatility while maintaining chemical specificity. Here we review the current state of the model. We describe recent highlights as well as shortcomings, and our ideas on the further development of the model. © 2013 The Royal Society of Chemistry.","author":[{"dropping-particle":"","family":"Marrink","given":"Siewert J.","non-dropping-particle":"","parse-names":false,"suffix":""},{"dropping-particle":"","family":"Tieleman","given":"D. Peter","non-dropping-particle":"","parse-names":false,"suffix":""}],"container-title":"Chemical Society Reviews","id":"ITEM-1","issue":"16","issued":{"date-parts":[["2013","7","22"]]},"page":"6801-6822","publisher":"The Royal Society of Chemistry","title":"Perspective on the martini model","type":"article-journal","volume":"42"},"uris":["http://www.mendeley.com/documents/?uuid=aa96993f-99d7-3cc2-8a97-b33daa4b68b2"]}],"mendeley":{"formattedCitation":"&lt;sup&gt;212&lt;/sup&gt;","plainTextFormattedCitation":"212","previouslyFormattedCitation":"&lt;sup&gt;212&lt;/sup&gt;"},"properties":{"noteIndex":0},"schema":"https://github.com/citation-style-language/schema/raw/master/csl-citation.json"}</w:instrText>
      </w:r>
      <w:r w:rsidR="00880F72">
        <w:fldChar w:fldCharType="separate"/>
      </w:r>
      <w:r w:rsidR="00A313B9" w:rsidRPr="00A313B9">
        <w:rPr>
          <w:noProof/>
          <w:vertAlign w:val="superscript"/>
        </w:rPr>
        <w:t>212</w:t>
      </w:r>
      <w:r w:rsidR="00880F72">
        <w:fldChar w:fldCharType="end"/>
      </w:r>
      <w:r>
        <w:t xml:space="preserve">. Deng </w:t>
      </w:r>
      <w:r>
        <w:rPr>
          <w:i/>
        </w:rPr>
        <w:t>et al.</w:t>
      </w:r>
      <w:r>
        <w:t xml:space="preserve"> used the MARTINI CG force field to simulate the long timescale behaviour of melittin and its variants interacting with a phospholipid bilayer</w:t>
      </w:r>
      <w:r w:rsidR="00880F72">
        <w:fldChar w:fldCharType="begin" w:fldLock="1"/>
      </w:r>
      <w:r w:rsidR="00522194">
        <w:instrText>ADDIN CSL_CITATION {"citationItems":[{"id":"ITEM-1","itemData":{"DOI":"10.1088/0253-6102/71/7/887","ISSN":"02536102","abstract":"Pore-forming peptides have promising potentials for biomedical uses due to their ability to permeabilize cell membranes. However, to molecularly engineer them for practical applications is still blocked by the poor understanding of the specific roles of individual residues in peptides' activity. Herein, using an advanced computational approach that combines Coarse-Grained molecular dynamics and well-tempered metadynamics, the membrane activities of melittin, a representative pore-forming peptide, and its gain-of-function variants, are characterized from the kinetics and thermodynamics perspectives. Unbiased simulations elucidate the molecular details of peptide-induced membrane poration; during which, some vital intermediate states, including the aggregation and U-shape configuration formation of peptides in the membrane, are observed and further applied as collective variables to construct the multi-dimensional free energy landscapes of the peptide-membrane interactions. Such a combination of kinetic and thermodynamic descriptions of the interaction process provides crucial information of residue-specialized contribution in chain conformation and consequently membrane perforation ability of the peptide. It is found that residues at the kink part (e.g. Thr) determine the chain flexibility and U-shape bending of the peptide, while residues near the C-terminus (e.g. Arg and Lys) are responsible for recruiting neighboring peptides for inter-molecular cooperation; the probable reaction pathway and the poration efficiency are consequently regulated. These results are helpful for a comprehensive understanding of the complicated molecular mechanism of pore-forming peptides and pave the way to rationally design and/or engineer the peptides for practical applications.","author":[{"dropping-particle":"","family":"Deng","given":"Zhi Xiong","non-dropping-particle":"","parse-names":false,"suffix":""},{"dropping-particle":"","family":"Li","given":"Jing Liang","non-dropping-particle":"","parse-names":false,"suffix":""},{"dropping-particle":"","family":"Yuan","given":"Bing","non-dropping-particle":"","parse-names":false,"suffix":""},{"dropping-particle":"","family":"Yang","given":"Kai","non-dropping-particle":"","parse-names":false,"suffix":""}],"container-title":"Communications in Theoretical Physics","id":"ITEM-1","issue":"7","issued":{"date-parts":[["2019","7","1"]]},"page":"887-902","publisher":"Institute of Physics Publishing","title":"Residue-Specialized Membrane Poration Kinetics of Melittin and Its Variants: Insight from Mechanistic Landscapes","type":"article-journal","volume":"71"},"uris":["http://www.mendeley.com/documents/?uuid=012568b4-0387-3eea-b305-e2896d697c59"]}],"mendeley":{"formattedCitation":"&lt;sup&gt;235&lt;/sup&gt;","plainTextFormattedCitation":"235","previouslyFormattedCitation":"&lt;sup&gt;235&lt;/sup&gt;"},"properties":{"noteIndex":0},"schema":"https://github.com/citation-style-language/schema/raw/master/csl-citation.json"}</w:instrText>
      </w:r>
      <w:r w:rsidR="00880F72">
        <w:fldChar w:fldCharType="separate"/>
      </w:r>
      <w:r w:rsidR="00A313B9" w:rsidRPr="00A313B9">
        <w:rPr>
          <w:noProof/>
          <w:vertAlign w:val="superscript"/>
        </w:rPr>
        <w:t>235</w:t>
      </w:r>
      <w:r w:rsidR="00880F72">
        <w:fldChar w:fldCharType="end"/>
      </w:r>
      <w:r>
        <w:t>. In this study, several simulations were run to 10 µs (much longer than the timescales accessible to atomistic MD of similar sized systems), which was enough to observe multiple aggregation and pore-forming events. The study made several observations that were consistent with experimental data and the computational aggregation studies discussed above, including the need for the peptides to aggregate prior to pore formation and the relative pore-lifetimes induced by the different melittin variants</w:t>
      </w:r>
      <w:r w:rsidR="00880F72">
        <w:fldChar w:fldCharType="begin" w:fldLock="1"/>
      </w:r>
      <w:r w:rsidR="00522194">
        <w:instrText>ADDIN CSL_CITATION {"citationItems":[{"id":"ITEM-1","itemData":{"DOI":"10.1088/0253-6102/71/7/887","ISSN":"02536102","abstract":"Pore-forming peptides have promising potentials for biomedical uses due to their ability to permeabilize cell membranes. However, to molecularly engineer them for practical applications is still blocked by the poor understanding of the specific roles of individual residues in peptides' activity. Herein, using an advanced computational approach that combines Coarse-Grained molecular dynamics and well-tempered metadynamics, the membrane activities of melittin, a representative pore-forming peptide, and its gain-of-function variants, are characterized from the kinetics and thermodynamics perspectives. Unbiased simulations elucidate the molecular details of peptide-induced membrane poration; during which, some vital intermediate states, including the aggregation and U-shape configuration formation of peptides in the membrane, are observed and further applied as collective variables to construct the multi-dimensional free energy landscapes of the peptide-membrane interactions. Such a combination of kinetic and thermodynamic descriptions of the interaction process provides crucial information of residue-specialized contribution in chain conformation and consequently membrane perforation ability of the peptide. It is found that residues at the kink part (e.g. Thr) determine the chain flexibility and U-shape bending of the peptide, while residues near the C-terminus (e.g. Arg and Lys) are responsible for recruiting neighboring peptides for inter-molecular cooperation; the probable reaction pathway and the poration efficiency are consequently regulated. These results are helpful for a comprehensive understanding of the complicated molecular mechanism of pore-forming peptides and pave the way to rationally design and/or engineer the peptides for practical applications.","author":[{"dropping-particle":"","family":"Deng","given":"Zhi Xiong","non-dropping-particle":"","parse-names":false,"suffix":""},{"dropping-particle":"","family":"Li","given":"Jing Liang","non-dropping-particle":"","parse-names":false,"suffix":""},{"dropping-particle":"","family":"Yuan","given":"Bing","non-dropping-particle":"","parse-names":false,"suffix":""},{"dropping-particle":"","family":"Yang","given":"Kai","non-dropping-particle":"","parse-names":false,"suffix":""}],"container-title":"Communications in Theoretical Physics","id":"ITEM-1","issue":"7","issued":{"date-parts":[["2019","7","1"]]},"page":"887-902","publisher":"Institute of Physics Publishing","title":"Residue-Specialized Membrane Poration Kinetics of Melittin and Its Variants: Insight from Mechanistic Landscapes","type":"article-journal","volume":"71"},"uris":["http://www.mendeley.com/documents/?uuid=012568b4-0387-3eea-b305-e2896d697c59"]}],"mendeley":{"formattedCitation":"&lt;sup&gt;235&lt;/sup&gt;","plainTextFormattedCitation":"235","previouslyFormattedCitation":"&lt;sup&gt;235&lt;/sup&gt;"},"properties":{"noteIndex":0},"schema":"https://github.com/citation-style-language/schema/raw/master/csl-citation.json"}</w:instrText>
      </w:r>
      <w:r w:rsidR="00880F72">
        <w:fldChar w:fldCharType="separate"/>
      </w:r>
      <w:r w:rsidR="00A313B9" w:rsidRPr="00A313B9">
        <w:rPr>
          <w:noProof/>
          <w:vertAlign w:val="superscript"/>
        </w:rPr>
        <w:t>235</w:t>
      </w:r>
      <w:r w:rsidR="00880F72">
        <w:fldChar w:fldCharType="end"/>
      </w:r>
      <w:r>
        <w:t>. The Dry MARTINI CG force field (where the solvent is represented implicitly) has also been used to investigate the effects of melittin on lipid vesicles</w:t>
      </w:r>
      <w:r w:rsidR="00880F72">
        <w:fldChar w:fldCharType="begin" w:fldLock="1"/>
      </w:r>
      <w:r w:rsidR="00576689">
        <w:instrText>ADDIN CSL_CITATION {"citationItems":[{"id":"ITEM-1","itemData":{"DOI":"10.1016/j.bpj.2018.08.040","ISSN":"15420086","PMID":"30268538","abstract":"This article presents coarse-grained molecular dynamics simulations of pore-forming antimicrobial peptide melittin and its interactions with vesicles composed of a mixture of zwitterionic and anionic phospholipids. Besides creating holes in the membrane, the adsorption of melittin also induces vesicle budding, which can develop into vesiculation at high peptide concentrations, as well as vesicle invagination, which can eventually result in a corrugated membrane surface. These rich morphology changes are mediated by the curvature of the vesicles and the peptide concentration. Highly curved vesicles favor the recruitment of melittins with a higher density of binding sites. The peptides mainly penetrate into the membrane surface in monomers via hydrophobic interaction. Lowly curved vesicles recruit melittins with a low density of binding sites. Surplus peptides are prone to form oligomers and shallowly adsorb on the surface of membrane via electrostatic interaction. The penetration of monomers induces membrane pore formation and positive membrane curvature, which promote vesicle budding. The adsorption of oligomers induces negative membrane curvature, which promotes vesicle invagination. This work demonstrates that antimicrobial peptides adopt multiple actions to destroy bacterial membranes.","author":[{"dropping-particle":"","family":"Shi","given":"Yu","non-dropping-particle":"","parse-names":false,"suffix":""},{"dropping-particle":"","family":"Wan","given":"Mingwei","non-dropping-particle":"","parse-names":false,"suffix":""},{"dropping-particle":"","family":"Fu","given":"Lei","non-dropping-particle":"","parse-names":false,"suffix":""},{"dropping-particle":"","family":"Zhang","given":"Shan","non-dropping-particle":"","parse-names":false,"suffix":""},{"dropping-particle":"","family":"Wang","given":"Shiyuan","non-dropping-particle":"","parse-names":false,"suffix":""},{"dropping-particle":"","family":"Gao","given":"Lianghui","non-dropping-particle":"","parse-names":false,"suffix":""},{"dropping-particle":"","family":"Fang","given":"Weihai","non-dropping-particle":"","parse-names":false,"suffix":""}],"container-title":"Biophysical Journal","id":"ITEM-1","issue":"8","issued":{"date-parts":[["2018","10","16"]]},"page":"1518-1529","publisher":"Biophysical Society","title":"Peptide-Lipid Interaction Sites Affect Vesicles’ Responses to Antimicrobial Peptides","type":"article-journal","volume":"115"},"uris":["http://www.mendeley.com/documents/?uuid=79a6d00b-7120-3b06-b5f5-5c0b33a47b9a"]}],"mendeley":{"formattedCitation":"&lt;sup&gt;236&lt;/sup&gt;","plainTextFormattedCitation":"236","previouslyFormattedCitation":"&lt;sup&gt;236&lt;/sup&gt;"},"properties":{"noteIndex":0},"schema":"https://github.com/citation-style-language/schema/raw/master/csl-citation.json"}</w:instrText>
      </w:r>
      <w:r w:rsidR="00880F72">
        <w:fldChar w:fldCharType="separate"/>
      </w:r>
      <w:r w:rsidR="00A313B9" w:rsidRPr="00A313B9">
        <w:rPr>
          <w:noProof/>
          <w:vertAlign w:val="superscript"/>
        </w:rPr>
        <w:t>236</w:t>
      </w:r>
      <w:r w:rsidR="00880F72">
        <w:fldChar w:fldCharType="end"/>
      </w:r>
      <w:r>
        <w:t>. Vesicle deformation and pore forming events were captured in just 1 µs, due to the increased sampling associated with the absence of explicit water particles. In the examples given above, CG simulations have allowed researchers to gain a broader understanding of the membrane-disruption mechanisms of melittin, proving that CG is a vital tool that can be used to corroborate observations about the bacterial membrane-disruption mechanisms of AMPs.</w:t>
      </w:r>
      <w:r w:rsidR="00686AFA">
        <w:t xml:space="preserve"> A representation of how CG methods can be used to describe protein systems is shown in figure </w:t>
      </w:r>
      <w:r w:rsidR="0085729B">
        <w:t>5</w:t>
      </w:r>
      <w:r w:rsidR="00686AFA">
        <w:t>.</w:t>
      </w:r>
    </w:p>
    <w:p w14:paraId="28D5AE3A" w14:textId="77777777" w:rsidR="00686AFA" w:rsidRDefault="00686AFA" w:rsidP="00686AFA">
      <w:pPr>
        <w:pStyle w:val="LO-normal"/>
        <w:jc w:val="both"/>
      </w:pPr>
      <w:r>
        <w:rPr>
          <w:noProof/>
          <w:lang w:val="en-SG" w:eastAsia="en-SG" w:bidi="ar-SA"/>
        </w:rPr>
        <w:drawing>
          <wp:inline distT="0" distB="0" distL="0" distR="0" wp14:anchorId="47D45B27" wp14:editId="5946F9E9">
            <wp:extent cx="5705475" cy="3326478"/>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a-vs-cg.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6391" cy="3344503"/>
                    </a:xfrm>
                    <a:prstGeom prst="rect">
                      <a:avLst/>
                    </a:prstGeom>
                  </pic:spPr>
                </pic:pic>
              </a:graphicData>
            </a:graphic>
          </wp:inline>
        </w:drawing>
      </w:r>
    </w:p>
    <w:p w14:paraId="2889C196" w14:textId="79D5C824" w:rsidR="00686AFA" w:rsidRDefault="00686AFA" w:rsidP="00686AFA">
      <w:pPr>
        <w:pStyle w:val="LO-normal"/>
        <w:jc w:val="both"/>
      </w:pPr>
      <w:r>
        <w:rPr>
          <w:color w:val="222222"/>
          <w:shd w:val="clear" w:color="auto" w:fill="FFFFFF"/>
        </w:rPr>
        <w:t xml:space="preserve">Figure </w:t>
      </w:r>
      <w:r w:rsidR="0085729B">
        <w:rPr>
          <w:color w:val="222222"/>
          <w:shd w:val="clear" w:color="auto" w:fill="FFFFFF"/>
        </w:rPr>
        <w:t>5</w:t>
      </w:r>
      <w:r>
        <w:rPr>
          <w:color w:val="222222"/>
          <w:shd w:val="clear" w:color="auto" w:fill="FFFFFF"/>
        </w:rPr>
        <w:t xml:space="preserve">: Melittin (PDB: 6DST) depicted as A) a secondary structure cartoon (helical and coil residues are depicted in pink and white respectively), B) an atomistic representation (using standard CPK atom colouring) and C) MARTINI coarse grained beads (backbone and side chain beads are depicted in peach and yellow respectively). There is a four-to-one mapping between the heavy atoms in the atomistic model and the beads in the MARTINI model. </w:t>
      </w:r>
      <w:r>
        <w:t>Images prepared with VMD 1.9.4a31.</w:t>
      </w:r>
    </w:p>
    <w:p w14:paraId="09E4C7E7" w14:textId="77777777" w:rsidR="00686AFA" w:rsidRDefault="00686AFA">
      <w:pPr>
        <w:pStyle w:val="LO-normal"/>
        <w:jc w:val="both"/>
      </w:pPr>
    </w:p>
    <w:p w14:paraId="331F60E7" w14:textId="77777777" w:rsidR="001529CF" w:rsidRDefault="001529CF">
      <w:pPr>
        <w:pStyle w:val="LO-normal"/>
        <w:jc w:val="both"/>
      </w:pPr>
    </w:p>
    <w:p w14:paraId="55D55AC1" w14:textId="09B089BC" w:rsidR="001529CF" w:rsidRDefault="00492337">
      <w:pPr>
        <w:pStyle w:val="LO-normal"/>
        <w:jc w:val="both"/>
      </w:pPr>
      <w:r>
        <w:t>Various other techniques also exist to increase sampling in the membrane. For example, umbrella sampling (US) is commonly used to study the free energy of moving a peptide from bulk water into a membrane</w:t>
      </w:r>
      <w:r w:rsidR="00880F72">
        <w:fldChar w:fldCharType="begin" w:fldLock="1"/>
      </w:r>
      <w:r w:rsidR="00576689">
        <w:instrText>ADDIN CSL_CITATION {"citationItems":[{"id":"ITEM-1","itemData":{"DOI":"10.1016/j.bbamem.2018.03.028","ISSN":"18792642","PMID":"29627322","abstract":"Daptomycin is a cyclic lipopeptide effective against multidrug Gram-positive bacteria. Despite having a net negative charge, it is selective against negatively charged bacterial membranes. It has been established that daptomycin's antibiotic activity is based on directly targeting the bacterial membranes and that this antibacterial activity depends on calcium ions. Importantly, however, both the precise role of ions and the physical mechanisms responsible for daptomycin's action remain poorly understood. We investigate these issues using three types of molecular dynamics simulations: umbrella sampling free energy calculations for a single daptomycin, unbiased simulations for daptomycin tetramers, and unbiased simulations of micellation of daptomycin both in the absence and presence of calcium ions. The simulations are in the excess of 4 μs. As the most important finding, we establish that binding of the calcium ions on the aspartic acid residues is the key to stabilizing daptomycin tetramers inside the model material membrane. These complexes are vital for daptomycin's antibacterial activity. In the absence of binding, the tetramer is not stable and moves slowly out of the membrane. We also demonstrate that in solution, micellation of daptomycin occurs both in the presence and absence of calcium ions, and discuss the similarities between the behaviors of daptomycin and amyloid peptides in membranes.","author":[{"dropping-particle":"","family":"Liu","given":"Bin","non-dropping-particle":"","parse-names":false,"suffix":""},{"dropping-particle":"","family":"Karttunen","given":"Mikko","non-dropping-particle":"","parse-names":false,"suffix":""}],"container-title":"Biochimica et Biophysica Acta - Biomembranes","id":"ITEM-1","issue":"9","issued":{"date-parts":[["2018","9","1"]]},"page":"1949-1954","publisher":"Elsevier B.V.","title":"Lipopeptide daptomycin: Interactions with bacterial and phospholipid membranes, stability of membrane aggregates and micellation in solution","type":"article-journal","volume":"1860"},"uris":["http://www.mendeley.com/documents/?uuid=7b3d93aa-733a-3fa0-a2a0-95a671450a26"]},{"id":"ITEM-2","itemData":{"DOI":"10.1021/acs.jpcb.8b08285","ISSN":"15205207","PMID":"30431279","abstract":"Human β defensin type 3 (hBD-3) is a cationic (+11 charged) antimicrobial peptide. It has three pairs of intramolecular disulfide bonds which can break under reducing conditions to convert hBD-3 into the linear analog form. hBD-3 can disrupt both Gram-positive and Gram-negative cell membranes, and even the mammalian cell membrane at high concentrations. However, the structural basis for the membrane-disrupting function of hBD-3 is still unknown. In order to understand the interaction mechanism of hBD-3 with a neutrally charged lipid membrane, explicit solvent and lipid umbrella-sampling simulations were performed using the NAMD program on the hBD-3 wild-type and the linear analog, in both the monomer and dimer forms. During the insertion and translocation process, most of the protein structure changes take place near the membrane-solvent interface, while the membrane interior appears to stabilize and rigidify the native-like hBD-3 structure. An energy barrier of 20 kcal/mol (domain unit) should be overcome by hBD-3 dimer in wild-type to cross the POPC bilayer but only 13 kcal/mol (domain unit) to insert into the bilayer center, and 20 kcal/mol for hBD-3 monomers to insert into the membrane center. Significant reorientation of lipids around hBD-3 inside the membranes was observed, which suggests a toroidal model for the membrane disruption process.","author":[{"dropping-particle":"","family":"Yeasmin","given":"Rabeta","non-dropping-particle":"","parse-names":false,"suffix":""},{"dropping-particle":"","family":"Buck","given":"Matthias","non-dropping-particle":"","parse-names":false,"suffix":""},{"dropping-particle":"","family":"Weinberg","given":"Aaron","non-dropping-particle":"","parse-names":false,"suffix":""},{"dropping-particle":"","family":"Zhang","given":"Liqun","non-dropping-particle":"","parse-names":false,"suffix":""}],"container-title":"Journal of Physical Chemistry B","id":"ITEM-2","issue":"50","issued":{"date-parts":[["2018","12","20"]]},"page":"11883-11894","publisher":"American Chemical Society","title":"Translocation of Human β Defensin Type 3 through a Neutrally Charged Lipid Membrane: A Free Energy Study","type":"article-journal","volume":"122"},"uris":["http://www.mendeley.com/documents/?uuid=6c484bd5-77ac-305e-b6a3-63e1355766fb"]},{"id":"ITEM-3","itemData":{"DOI":"10.1021/acs.jctc.6b00265","ISSN":"15499626","PMID":"27529120","abstract":"Due to antimicrobial resistance, the development of new drugs to combat bacterial and fungal infections is an important area of research. Nature uses short, charged, and amphipathic peptides for antimicrobial defense, many of which disrupt the lipid membrane in addition to other possible targets inside the cell. Computer simulations have revealed atomistic details for the interactions of antimicrobial peptides and cell-penetrating peptides with lipid bilayers. Strong interactions between the polar interface and the charged peptides can induce bilayer deformations - including membrane rupture and peptide stabilization of a hydrophilic pore. Here, we performed microsecond-long simulations of the antimicrobial peptide CM15 in a POPC bilayer expecting to observe pore formation (based on previous molecular dynamics simulations). We show that caution is needed when interpreting results of equilibrium peptide-membrane simulations, given the length of time single trajectories can dwell in local energy minima for 100's of ns to microseconds. While we did record significant membrane perturbations from the CM15 peptide, pores were not observed. We explain this discrepancy by computing the free energy for pore formation with different force fields. Our results show a large difference in the free energy barrier (ca. 40 kJ/mol) against pore formation predicted by the different force fields that would result in orders of magnitude differences in the simulation time required to observe spontaneous pore formation. This explains why previous simulations using the Berger lipid parameters reported pores induced by charged peptides, while with CHARMM based models pores were not observed in our long time-scale simulations. We reconcile some of the differences in the distance dependent free energies by shifting the free energy profiles to account for thickness differences between force fields. The shifted curves show that all the models describe small defects in lipid bilayers in a consistent manner, suggesting a common physical basis.","author":[{"dropping-particle":"","family":"Bennett","given":"W. F.Drew","non-dropping-particle":"","parse-names":false,"suffix":""},{"dropping-particle":"","family":"Hong","given":"Chun Kit","non-dropping-particle":"","parse-names":false,"suffix":""},{"dropping-particle":"","family":"Wang","given":"Yi","non-dropping-particle":"","parse-names":false,"suffix":""},{"dropping-particle":"","family":"Tieleman","given":"D. Peter","non-dropping-particle":"","parse-names":false,"suffix":""}],"container-title":"Journal of Chemical Theory and Computation","id":"ITEM-3","issue":"9","issued":{"date-parts":[["2016","9","13"]]},"page":"4524-4533","publisher":"American Chemical Society","title":"Antimicrobial Peptide Simulations and the Influence of Force Field on the Free Energy for Pore Formation in Lipid Bilayers","type":"article-journal","volume":"12"},"uris":["http://www.mendeley.com/documents/?uuid=9b54e288-2973-3099-a07f-ebfc81572c4e"]}],"mendeley":{"formattedCitation":"&lt;sup&gt;234,237,238&lt;/sup&gt;","plainTextFormattedCitation":"234,237,238","previouslyFormattedCitation":"&lt;sup&gt;234,237,238&lt;/sup&gt;"},"properties":{"noteIndex":0},"schema":"https://github.com/citation-style-language/schema/raw/master/csl-citation.json"}</w:instrText>
      </w:r>
      <w:r w:rsidR="00880F72">
        <w:fldChar w:fldCharType="separate"/>
      </w:r>
      <w:r w:rsidR="00A313B9" w:rsidRPr="00A313B9">
        <w:rPr>
          <w:noProof/>
          <w:vertAlign w:val="superscript"/>
        </w:rPr>
        <w:t>234,237,238</w:t>
      </w:r>
      <w:r w:rsidR="00880F72">
        <w:fldChar w:fldCharType="end"/>
      </w:r>
      <w:r>
        <w:t>. Yeasmin</w:t>
      </w:r>
      <w:r>
        <w:rPr>
          <w:i/>
        </w:rPr>
        <w:t xml:space="preserve"> et al. </w:t>
      </w:r>
      <w:r>
        <w:t xml:space="preserve">performed atomistic US simulations of human </w:t>
      </w:r>
      <w:r w:rsidR="00880F72">
        <w:t>β</w:t>
      </w:r>
      <w:r>
        <w:t>-defensin 3 (hBD-3) penetrating through a lipid bilayer</w:t>
      </w:r>
      <w:r w:rsidR="00880F72">
        <w:fldChar w:fldCharType="begin" w:fldLock="1"/>
      </w:r>
      <w:r w:rsidR="00576689">
        <w:instrText>ADDIN CSL_CITATION {"citationItems":[{"id":"ITEM-1","itemData":{"DOI":"10.1021/acs.jpcb.8b08285","ISSN":"15205207","PMID":"30431279","abstract":"Human β defensin type 3 (hBD-3) is a cationic (+11 charged) antimicrobial peptide. It has three pairs of intramolecular disulfide bonds which can break under reducing conditions to convert hBD-3 into the linear analog form. hBD-3 can disrupt both Gram-positive and Gram-negative cell membranes, and even the mammalian cell membrane at high concentrations. However, the structural basis for the membrane-disrupting function of hBD-3 is still unknown. In order to understand the interaction mechanism of hBD-3 with a neutrally charged lipid membrane, explicit solvent and lipid umbrella-sampling simulations were performed using the NAMD program on the hBD-3 wild-type and the linear analog, in both the monomer and dimer forms. During the insertion and translocation process, most of the protein structure changes take place near the membrane-solvent interface, while the membrane interior appears to stabilize and rigidify the native-like hBD-3 structure. An energy barrier of 20 kcal/mol (domain unit) should be overcome by hBD-3 dimer in wild-type to cross the POPC bilayer but only 13 kcal/mol (domain unit) to insert into the bilayer center, and 20 kcal/mol for hBD-3 monomers to insert into the membrane center. Significant reorientation of lipids around hBD-3 inside the membranes was observed, which suggests a toroidal model for the membrane disruption process.","author":[{"dropping-particle":"","family":"Yeasmin","given":"Rabeta","non-dropping-particle":"","parse-names":false,"suffix":""},{"dropping-particle":"","family":"Buck","given":"Matthias","non-dropping-particle":"","parse-names":false,"suffix":""},{"dropping-particle":"","family":"Weinberg","given":"Aaron","non-dropping-particle":"","parse-names":false,"suffix":""},{"dropping-particle":"","family":"Zhang","given":"Liqun","non-dropping-particle":"","parse-names":false,"suffix":""}],"container-title":"Journal of Physical Chemistry B","id":"ITEM-1","issue":"50","issued":{"date-parts":[["2018","12","20"]]},"page":"11883-11894","publisher":"American Chemical Society","title":"Translocation of Human β Defensin Type 3 through a Neutrally Charged Lipid Membrane: A Free Energy Study","type":"article-journal","volume":"122"},"uris":["http://www.mendeley.com/documents/?uuid=6c484bd5-77ac-305e-b6a3-63e1355766fb"]}],"mendeley":{"formattedCitation":"&lt;sup&gt;237&lt;/sup&gt;","plainTextFormattedCitation":"237","previouslyFormattedCitation":"&lt;sup&gt;237&lt;/sup&gt;"},"properties":{"noteIndex":0},"schema":"https://github.com/citation-style-language/schema/raw/master/csl-citation.json"}</w:instrText>
      </w:r>
      <w:r w:rsidR="00880F72">
        <w:fldChar w:fldCharType="separate"/>
      </w:r>
      <w:r w:rsidR="00A313B9" w:rsidRPr="00A313B9">
        <w:rPr>
          <w:noProof/>
          <w:vertAlign w:val="superscript"/>
        </w:rPr>
        <w:t>237</w:t>
      </w:r>
      <w:r w:rsidR="00880F72">
        <w:fldChar w:fldCharType="end"/>
      </w:r>
      <w:r>
        <w:t>. Comparing the energy surfaces created by a monomer and a dimer, along with properties such as bilayer thickness and peptide RMSD, allowed the authors to suggest that hBD-3 works as a dimer to induce a toroidal membrane pore</w:t>
      </w:r>
      <w:r w:rsidR="00880F72">
        <w:fldChar w:fldCharType="begin" w:fldLock="1"/>
      </w:r>
      <w:r w:rsidR="00576689">
        <w:instrText>ADDIN CSL_CITATION {"citationItems":[{"id":"ITEM-1","itemData":{"DOI":"10.1021/acs.jpcb.8b08285","ISSN":"15205207","PMID":"30431279","abstract":"Human β defensin type 3 (hBD-3) is a cationic (+11 charged) antimicrobial peptide. It has three pairs of intramolecular disulfide bonds which can break under reducing conditions to convert hBD-3 into the linear analog form. hBD-3 can disrupt both Gram-positive and Gram-negative cell membranes, and even the mammalian cell membrane at high concentrations. However, the structural basis for the membrane-disrupting function of hBD-3 is still unknown. In order to understand the interaction mechanism of hBD-3 with a neutrally charged lipid membrane, explicit solvent and lipid umbrella-sampling simulations were performed using the NAMD program on the hBD-3 wild-type and the linear analog, in both the monomer and dimer forms. During the insertion and translocation process, most of the protein structure changes take place near the membrane-solvent interface, while the membrane interior appears to stabilize and rigidify the native-like hBD-3 structure. An energy barrier of 20 kcal/mol (domain unit) should be overcome by hBD-3 dimer in wild-type to cross the POPC bilayer but only 13 kcal/mol (domain unit) to insert into the bilayer center, and 20 kcal/mol for hBD-3 monomers to insert into the membrane center. Significant reorientation of lipids around hBD-3 inside the membranes was observed, which suggests a toroidal model for the membrane disruption process.","author":[{"dropping-particle":"","family":"Yeasmin","given":"Rabeta","non-dropping-particle":"","parse-names":false,"suffix":""},{"dropping-particle":"","family":"Buck","given":"Matthias","non-dropping-particle":"","parse-names":false,"suffix":""},{"dropping-particle":"","family":"Weinberg","given":"Aaron","non-dropping-particle":"","parse-names":false,"suffix":""},{"dropping-particle":"","family":"Zhang","given":"Liqun","non-dropping-particle":"","parse-names":false,"suffix":""}],"container-title":"Journal of Physical Chemistry B","id":"ITEM-1","issue":"50","issued":{"date-parts":[["2018","12","20"]]},"page":"11883-11894","publisher":"American Chemical Society","title":"Translocation of Human β Defensin Type 3 through a Neutrally Charged Lipid Membrane: A Free Energy Study","type":"article-journal","volume":"122"},"uris":["http://www.mendeley.com/documents/?uuid=6c484bd5-77ac-305e-b6a3-63e1355766fb"]}],"mendeley":{"formattedCitation":"&lt;sup&gt;237&lt;/sup&gt;","plainTextFormattedCitation":"237","previouslyFormattedCitation":"&lt;sup&gt;237&lt;/sup&gt;"},"properties":{"noteIndex":0},"schema":"https://github.com/citation-style-language/schema/raw/master/csl-citation.json"}</w:instrText>
      </w:r>
      <w:r w:rsidR="00880F72">
        <w:fldChar w:fldCharType="separate"/>
      </w:r>
      <w:r w:rsidR="00A313B9" w:rsidRPr="00A313B9">
        <w:rPr>
          <w:noProof/>
          <w:vertAlign w:val="superscript"/>
        </w:rPr>
        <w:t>237</w:t>
      </w:r>
      <w:r w:rsidR="00880F72">
        <w:fldChar w:fldCharType="end"/>
      </w:r>
      <w:r>
        <w:t>. Similar to US, metadynamics has been used to increase the sampling of AMPs moving through phospholipid bilayers while also providing details of the associated energy surface. Careful considerations however need to be taken into account as the membrane system is characterised by many hidden barriers, making the choice of appropriate collective variables less straightforward. Metadynamics has been utilised with the MARTINI CG force field to study melittin in a bilayer</w:t>
      </w:r>
      <w:r w:rsidR="00880F72">
        <w:fldChar w:fldCharType="begin" w:fldLock="1"/>
      </w:r>
      <w:r w:rsidR="00576689">
        <w:instrText>ADDIN CSL_CITATION {"citationItems":[{"id":"ITEM-1","itemData":{"DOI":"10.1016/j.bbamem.2018.09.007","ISSN":"18792642","PMID":"30409519","abstract":"Antimicrobial peptides (AMPs) provide a promising solution to the serious threat of multidrug-resistant bacteria or superbugs to public healthcare, due to their unique disruption to bacterial membrane such as perforation. Unfortunately, the underlying action mechanism of AMPs, especially the possible transition between the membrane binding and perforation states of peptides (i.e., the classical two-state model), is still largely unknown. Herein, by combining experimental techniques with pertinent membrane models and molecular dynamic (MD) simulations, new insights into the intermediate states of the AMP melittin-membrane interaction process are obtained. Specifically, it is demonstrated that, after the initial binding, the accumulated melittin on the bilayer triggers vigorous fluctuation of the membrane and even extracts some lipid molecules exclusively from the deformed outer leaflet of the bilayer. Such a distinctive mass removal manner and the resultant local asymmetry in lipid number between the two leaflets change the mechanical status of the membrane and in turn reduce the free energy barrier for the melittin insertion. Finally, the formation of the transmembrane pores is facilitated significantly. These findings provide new insights into the complicated antimicrobial mechanisms of AMPs.","author":[{"dropping-particle":"","family":"Liu","given":"Jiaojiao","non-dropping-particle":"","parse-names":false,"suffix":""},{"dropping-particle":"","family":"Xiao","given":"Shufeng","non-dropping-particle":"","parse-names":false,"suffix":""},{"dropping-particle":"","family":"Li","given":"Jingliang","non-dropping-particle":"","parse-names":false,"suffix":""},{"dropping-particle":"","family":"Yuan","given":"Bing","non-dropping-particle":"","parse-names":false,"suffix":""},{"dropping-particle":"","family":"Yang","given":"Kai","non-dropping-particle":"","parse-names":false,"suffix":""},{"dropping-particle":"","family":"Ma","given":"Yuqiang","non-dropping-particle":"","parse-names":false,"suffix":""}],"container-title":"Biochimica et Biophysica Acta - Biomembranes","id":"ITEM-1","issue":"11","issued":{"date-parts":[["2018","11","1"]]},"page":"2234-2241","publisher":"Elsevier B.V.","title":"Molecular details on the intermediate states of melittin action on a cell membrane","type":"article-journal","volume":"1860"},"uris":["http://www.mendeley.com/documents/?uuid=cd1f11a0-8903-3e86-ab02-c666be2ff757"]}],"mendeley":{"formattedCitation":"&lt;sup&gt;239&lt;/sup&gt;","plainTextFormattedCitation":"239","previouslyFormattedCitation":"&lt;sup&gt;239&lt;/sup&gt;"},"properties":{"noteIndex":0},"schema":"https://github.com/citation-style-language/schema/raw/master/csl-citation.json"}</w:instrText>
      </w:r>
      <w:r w:rsidR="00880F72">
        <w:fldChar w:fldCharType="separate"/>
      </w:r>
      <w:r w:rsidR="00A313B9" w:rsidRPr="00A313B9">
        <w:rPr>
          <w:noProof/>
          <w:vertAlign w:val="superscript"/>
        </w:rPr>
        <w:t>239</w:t>
      </w:r>
      <w:r w:rsidR="00880F72">
        <w:fldChar w:fldCharType="end"/>
      </w:r>
      <w:r>
        <w:t>. As introduced in a previous section, high-temperature MD may also speed up the sampling of AMPs in membranes by increasing the ability of the system to overcome kinetic barriers</w:t>
      </w:r>
      <w:r w:rsidR="00880F72">
        <w:fldChar w:fldCharType="begin" w:fldLock="1"/>
      </w:r>
      <w:r w:rsidR="00576689">
        <w:instrText>ADDIN CSL_CITATION {"citationItems":[{"id":"ITEM-1","itemData":{"DOI":"10.1021/acs.accounts.7b00613","ISSN":"15204898","PMID":"29667836","abstract":"ConspectusEver since the first molecular mechanics computer simulations of biological molecules became possible, there has been the dream to study all complex biological phenomena in silico, simply bypassing the enormous experimental challenges and their associated costs. For this, two inherent requirements need to be met: First, the time scales achievable in simulations must reach up to the millisecond range and even longer. Second, the computational model must accurately reproduce what is measured experimentally. Despite some recent successes, the general consensus in the field to date has been that neither of these conditions have yet been met and that the dream will be realized, if at all, only in the distant future.In this Account, we show that this view is wrong; instead, we are actually in the middle of the in silico molecular dynamics (MD) revolution, which is reshaping how we think about protein function. The example explored in this Account is a recent advance in the field of membrane-active peptides (MAPs). MD simulations have succeeded in accurately capturing the process of peptide binding, folding, and partitioning into lipid bilayers as well as revealing how channels form spontaneously from polypeptide fragments and conduct ionic and other cargo across membranes, all at atomic resolution. These game-changing advances have been made possible by a combination of steadily advancing computational power, more efficient algorithms and techniques, clever accelerated sampling schemes, and thorough experimental verifications. The great advantage of MD is the spatial and temporal resolution, directly providing a molecular movie of a protein undergoing folding and cycling through a functional process. This is especially important for proteins with transitory functional states, such as pore-forming MAPs.Recent successes are demonstrated here for the large class of antimicrobial peptides (AMPs). These short peptides are an essential part of the nonadaptive immune system for many organisms, ubiquitous in nature, and of particular interest to the pharmaceutical industry in the age of rising bacterial resistance to conventional antibiotic treatments. Unlike integral membrane proteins, AMPs are sufficiently small to allow converged sampling with the unbiased high-temperature sampling methodology outlined here and are relatively easy to handle experimentally. At the same time, AMPs exhibit a wealth of complex and poorly understood interactions with lipid bi…","author":[{"dropping-particle":"","family":"Ulmschneider","given":"Jakob P.","non-dropping-particle":"","parse-names":false,"suffix":""},{"dropping-particle":"","family":"Ulmschneider","given":"Martin B.","non-dropping-particle":"","parse-names":false,"suffix":""}],"container-title":"Accounts of Chemical Research","id":"ITEM-1","issue":"5","issued":{"date-parts":[["2018","5","15"]]},"page":"1106-1116","publisher":"American Chemical Society","title":"Molecular Dynamics Simulations Are Redefining Our View of Peptides Interacting with Biological Membranes","type":"article-journal","volume":"51"},"uris":["http://www.mendeley.com/documents/?uuid=5a518950-2398-36f5-8912-157c24089590"]}],"mendeley":{"formattedCitation":"&lt;sup&gt;224&lt;/sup&gt;","plainTextFormattedCitation":"224","previouslyFormattedCitation":"&lt;sup&gt;224&lt;/sup&gt;"},"properties":{"noteIndex":0},"schema":"https://github.com/citation-style-language/schema/raw/master/csl-citation.json"}</w:instrText>
      </w:r>
      <w:r w:rsidR="00880F72">
        <w:fldChar w:fldCharType="separate"/>
      </w:r>
      <w:r w:rsidR="00A313B9" w:rsidRPr="00A313B9">
        <w:rPr>
          <w:noProof/>
          <w:vertAlign w:val="superscript"/>
        </w:rPr>
        <w:t>224</w:t>
      </w:r>
      <w:r w:rsidR="00880F72">
        <w:fldChar w:fldCharType="end"/>
      </w:r>
      <w:r>
        <w:t xml:space="preserve">. Wang </w:t>
      </w:r>
      <w:r>
        <w:rPr>
          <w:i/>
        </w:rPr>
        <w:t xml:space="preserve">et al. </w:t>
      </w:r>
      <w:r>
        <w:t>utilised this approach to study the ability of maculatin to form pores in a variety of membrane models by simulating multiple copies of the helical peptide on a bilayer at 353-373 K (80-120 ℃)</w:t>
      </w:r>
      <w:r w:rsidR="00880F72">
        <w:fldChar w:fldCharType="begin" w:fldLock="1"/>
      </w:r>
      <w:r w:rsidR="00576689">
        <w:instrText>ADDIN CSL_CITATION {"citationItems":[{"id":"ITEM-1","itemData":{"DOI":"10.1038/ncomms13535","ISSN":"20411723","PMID":"27874004","abstract":"Many antimicrobial peptides (AMPs) selectively target and form pores in microbial membranes. However, the mechanisms of membrane targeting, pore formation and function remain elusive. Here we report an experimentally guided unbiased simulation methodology that yields the mechanism of spontaneous pore assembly for the AMP maculatin at atomic resolution. Rather than a single pore, maculatin forms an ensemble of structurally diverse temporarily functional low-oligomeric pores, which mimic integral membrane protein channels in structure. These pores continuously form and dissociate in the membrane. Membrane permeabilization is dominated by hexa-, hepta-and octamers, which conduct water, ions and small dyes. Pores form by consecutive addition of individual helices to a transmembrane helix or helix bundle, in contrast to current poration models. The diversity of the pore architectures-formed by a single sequence-may be a key feature in preventing bacterial resistance and could explain why sequence-function relationships in AMPs remain elusive.","author":[{"dropping-particle":"","family":"Wang","given":"Yukun","non-dropping-particle":"","parse-names":false,"suffix":""},{"dropping-particle":"","family":"Chen","given":"Charles H.","non-dropping-particle":"","parse-names":false,"suffix":""},{"dropping-particle":"","family":"Hu","given":"Dan","non-dropping-particle":"","parse-names":false,"suffix":""},{"dropping-particle":"","family":"Ulmschneider","given":"Martin B.","non-dropping-particle":"","parse-names":false,"suffix":""},{"dropping-particle":"","family":"Ulmschneider","given":"Jakob P.","non-dropping-particle":"","parse-names":false,"suffix":""}],"container-title":"Nature Communications","id":"ITEM-1","issue":"1","issued":{"date-parts":[["2016","11","22"]]},"page":"1-9","publisher":"Nature Publishing Group","title":"Spontaneous formation of structurally diverse membrane channel architectures from a single antimicrobial peptide","type":"article-journal","volume":"7"},"uris":["http://www.mendeley.com/documents/?uuid=e0aa1e23-2255-374b-839a-c6a79f40278e"]}],"mendeley":{"formattedCitation":"&lt;sup&gt;240&lt;/sup&gt;","plainTextFormattedCitation":"240","previouslyFormattedCitation":"&lt;sup&gt;240&lt;/sup&gt;"},"properties":{"noteIndex":0},"schema":"https://github.com/citation-style-language/schema/raw/master/csl-citation.json"}</w:instrText>
      </w:r>
      <w:r w:rsidR="00880F72">
        <w:fldChar w:fldCharType="separate"/>
      </w:r>
      <w:r w:rsidR="00A313B9" w:rsidRPr="00A313B9">
        <w:rPr>
          <w:noProof/>
          <w:vertAlign w:val="superscript"/>
        </w:rPr>
        <w:t>240</w:t>
      </w:r>
      <w:r w:rsidR="00880F72">
        <w:fldChar w:fldCharType="end"/>
      </w:r>
      <w:r>
        <w:t>. They observed insertion and pore-forming events throughout the simulations and identified a variety of possible oligomeric pore structures. Finally, electroporation has been shown to increase the likelihood of membrane pores; this is a technique that involves simulating an artificial transmembrane potential to create tension in the bilayer</w:t>
      </w:r>
      <w:r w:rsidR="00880F72">
        <w:fldChar w:fldCharType="begin" w:fldLock="1"/>
      </w:r>
      <w:r w:rsidR="00576689">
        <w:instrText>ADDIN CSL_CITATION {"citationItems":[{"id":"ITEM-1","itemData":{"DOI":"10.1021/acsomega.8b00483","ISSN":"24701343","abstract":"Protegrin-1 (PG-1) is a cationic arginine-rich antimicrobial peptide. It is widely accepted that PG-1 induces membrane disruption by forming pores that lead to cell death. However, the insertion mechanism for these highly cationic peptides into the hydrophobic membrane environment is still poorly understood at the molecular scale. It has previously been determined that the association of arginine guanidinium and lipid phosphate groups results in strong bidentate bonds that stabilize peptide-lipid complexes. It has also been suggested that arginine residues are able to drag phosphate groups as they insert inside the membrane to form a toroidal pore. However, whether bidentate bonds play a significant role in inducing a pore formation remains unclear. To investigate the role of bidentate complexes in PG-1 translocation, we conducted molecular dynamics simulations. Two computational electroporation methods were implemented to examine the translocation process. We found that PG-1 could insert into the membrane, provided the external electric potential is large enough to first induce a water column or a pore within the lipid bilayer membrane. We also found that the highly charged PG-1 is capable in itself of inducing molecular electroporation. Substitution of arginines with charge-equivalent lysines showed a markedly reduced tendency for insertion. This indicates that the guanidinium group likely facilitates PG-1 translocation. Potential of mean force calculations suggests that peptide insertion inside the hydrophobic environment of the membrane core is not favored. We found that formation of a water column or a pore might be a prerequisite for PG-1 translocation. We also found that PG-1 can stabilize the pore after insertion. We suggest that PG-1 could be a pore inducer and stabilizer. This work sheds some light on PG-1 translocation mechanisms at the molecular level. Methods presented in this study may be extended to other arginine-rich antimicrobial and cell-penetrating peptides.","author":[{"dropping-particle":"","family":"Lai","given":"Pin Kuang","non-dropping-particle":"","parse-names":false,"suffix":""},{"dropping-particle":"","family":"Kaznessis","given":"Yiannis N.","non-dropping-particle":"","parse-names":false,"suffix":""}],"container-title":"ACS Omega","id":"ITEM-1","issue":"6","issued":{"date-parts":[["2018","6","30"]]},"page":"6056-6065","publisher":"American Chemical Society","title":"Insights into Membrane Translocation of Protegrin Antimicrobial Peptides by Multistep Molecular Dynamics Simulations","type":"article-journal","volume":"3"},"uris":["http://www.mendeley.com/documents/?uuid=7a73ac9d-bbd5-380a-8e90-d87428774b72"]},{"id":"ITEM-2","itemData":{"DOI":"10.1021/jp207013v","ISSN":"15205207","abstract":"Bacterial membranes are complex organelles composed of a variety of lipid types. The differences in their composition are a key factor in determining their relative permeabilities. The success of antibacterial agents depends upon their interaction with bacterial membranes, yet little is known about the molecular-level interactions within membranes of different bacterial species. To address this, we have performed molecular dynamics simulations of two bacterial membranes: the outer membrane of E. coli and the cell membrane of S. aureus. We have retained the chemical complexity of the membranes by considering the details of their lipidic components. We identify the extended network of lipid-lipid interactions that stabilize the membranes. Our simulations of electroporation show that the S. aureus cell membrane is less resistant to poration than the E. coli outer membrane. The mechanisms of poration for the two membranes have subtle differences; for the E. coli outer membrane, relative differences in mobilities of the lipids of both leaflets are key in the process of poration. © 2011 American Chemical Society.","author":[{"dropping-particle":"","family":"Piggot","given":"Thomas J.","non-dropping-particle":"","parse-names":false,"suffix":""},{"dropping-particle":"","family":"Holdbrook","given":"Daniel A.","non-dropping-particle":"","parse-names":false,"suffix":""},{"dropping-particle":"","family":"Khalid","given":"Syma","non-dropping-particle":"","parse-names":false,"suffix":""}],"container-title":"Journal of Physical Chemistry B","id":"ITEM-2","issue":"45","issued":{"date-parts":[["2011","11","17"]]},"page":"13381-13388","publisher":"American Chemical Society","title":"Electroporation of the E. coli and S. aureus membranes: Molecular dynamics simulations of complex bacterial membranes","type":"article-journal","volume":"115"},"uris":["http://www.mendeley.com/documents/?uuid=7a7831a7-2de7-3eaa-99f2-fc558bf270fe"]}],"mendeley":{"formattedCitation":"&lt;sup&gt;241,242&lt;/sup&gt;","plainTextFormattedCitation":"241,242","previouslyFormattedCitation":"&lt;sup&gt;241,242&lt;/sup&gt;"},"properties":{"noteIndex":0},"schema":"https://github.com/citation-style-language/schema/raw/master/csl-citation.json"}</w:instrText>
      </w:r>
      <w:r w:rsidR="00880F72">
        <w:fldChar w:fldCharType="separate"/>
      </w:r>
      <w:r w:rsidR="00A313B9" w:rsidRPr="00A313B9">
        <w:rPr>
          <w:noProof/>
          <w:vertAlign w:val="superscript"/>
        </w:rPr>
        <w:t>241,242</w:t>
      </w:r>
      <w:r w:rsidR="00880F72">
        <w:fldChar w:fldCharType="end"/>
      </w:r>
      <w:r>
        <w:t>. The technique was used to study the translocation of protegrin-1 (PG-1) across a lipid bilayer by using a double bilayer system to create two water baths where the charge could be manipulated by removing and adding charged peptides or ions; the charge imbalance resulted in the observation of various peptide-lined pores, allowing suggestions to be made about the structure of PG-1-membrane pores</w:t>
      </w:r>
      <w:r w:rsidR="00880F72">
        <w:fldChar w:fldCharType="begin" w:fldLock="1"/>
      </w:r>
      <w:r w:rsidR="00576689">
        <w:instrText>ADDIN CSL_CITATION {"citationItems":[{"id":"ITEM-1","itemData":{"DOI":"10.1021/acsomega.8b00483","ISSN":"24701343","abstract":"Protegrin-1 (PG-1) is a cationic arginine-rich antimicrobial peptide. It is widely accepted that PG-1 induces membrane disruption by forming pores that lead to cell death. However, the insertion mechanism for these highly cationic peptides into the hydrophobic membrane environment is still poorly understood at the molecular scale. It has previously been determined that the association of arginine guanidinium and lipid phosphate groups results in strong bidentate bonds that stabilize peptide-lipid complexes. It has also been suggested that arginine residues are able to drag phosphate groups as they insert inside the membrane to form a toroidal pore. However, whether bidentate bonds play a significant role in inducing a pore formation remains unclear. To investigate the role of bidentate complexes in PG-1 translocation, we conducted molecular dynamics simulations. Two computational electroporation methods were implemented to examine the translocation process. We found that PG-1 could insert into the membrane, provided the external electric potential is large enough to first induce a water column or a pore within the lipid bilayer membrane. We also found that the highly charged PG-1 is capable in itself of inducing molecular electroporation. Substitution of arginines with charge-equivalent lysines showed a markedly reduced tendency for insertion. This indicates that the guanidinium group likely facilitates PG-1 translocation. Potential of mean force calculations suggests that peptide insertion inside the hydrophobic environment of the membrane core is not favored. We found that formation of a water column or a pore might be a prerequisite for PG-1 translocation. We also found that PG-1 can stabilize the pore after insertion. We suggest that PG-1 could be a pore inducer and stabilizer. This work sheds some light on PG-1 translocation mechanisms at the molecular level. Methods presented in this study may be extended to other arginine-rich antimicrobial and cell-penetrating peptides.","author":[{"dropping-particle":"","family":"Lai","given":"Pin Kuang","non-dropping-particle":"","parse-names":false,"suffix":""},{"dropping-particle":"","family":"Kaznessis","given":"Yiannis N.","non-dropping-particle":"","parse-names":false,"suffix":""}],"container-title":"ACS Omega","id":"ITEM-1","issue":"6","issued":{"date-parts":[["2018","6","30"]]},"page":"6056-6065","publisher":"American Chemical Society","title":"Insights into Membrane Translocation of Protegrin Antimicrobial Peptides by Multistep Molecular Dynamics Simulations","type":"article-journal","volume":"3"},"uris":["http://www.mendeley.com/documents/?uuid=7a73ac9d-bbd5-380a-8e90-d87428774b72"]}],"mendeley":{"formattedCitation":"&lt;sup&gt;241&lt;/sup&gt;","plainTextFormattedCitation":"241","previouslyFormattedCitation":"&lt;sup&gt;241&lt;/sup&gt;"},"properties":{"noteIndex":0},"schema":"https://github.com/citation-style-language/schema/raw/master/csl-citation.json"}</w:instrText>
      </w:r>
      <w:r w:rsidR="00880F72">
        <w:fldChar w:fldCharType="separate"/>
      </w:r>
      <w:r w:rsidR="00A313B9" w:rsidRPr="00A313B9">
        <w:rPr>
          <w:noProof/>
          <w:vertAlign w:val="superscript"/>
        </w:rPr>
        <w:t>241</w:t>
      </w:r>
      <w:r w:rsidR="00880F72">
        <w:fldChar w:fldCharType="end"/>
      </w:r>
      <w:r w:rsidR="00892F30">
        <w:t>.</w:t>
      </w:r>
    </w:p>
    <w:p w14:paraId="750779F9" w14:textId="77777777" w:rsidR="001529CF" w:rsidRDefault="001529CF">
      <w:pPr>
        <w:pStyle w:val="LO-normal"/>
        <w:jc w:val="both"/>
      </w:pPr>
    </w:p>
    <w:p w14:paraId="3ADF39D2" w14:textId="1A532015" w:rsidR="001529CF" w:rsidRDefault="00492337">
      <w:pPr>
        <w:pStyle w:val="LO-normal"/>
        <w:jc w:val="both"/>
      </w:pPr>
      <w:r>
        <w:t>One potential limitation in classical MD simulations is the lack of incorporation of pKa shifts that occurs when a peptide is transferred from the aqueous phase to the membrane phase (e.g, the lipid tail region of the membrane). This is important because there is debate regarding the protonation states of amino acids in the bilayer, which greatly affect interactions with membranes; arginine was shown to be protonated in the bilayer center, but lysine is likely to be deprotonated at the bilayer centre</w:t>
      </w:r>
      <w:r w:rsidR="00892F30">
        <w:fldChar w:fldCharType="begin" w:fldLock="1"/>
      </w:r>
      <w:r w:rsidR="00C44087">
        <w:instrText xml:space="preserve">ADDIN CSL_CITATION {"citationItems":[{"id":"ITEM-1","itemData":{"DOI":"10.1021/jp405418y","ISSN":"15206106","PMID":"24007457","abstract":"The basic amino acids lysine (Lys) and arginine (Arg) play important roles in membrane protein activity, the sensing of membrane voltages, and the actions of antimicrobial, toxin, and cell-penetrating peptides. These roles are thought to stem from the strong interactions and disruptive influences of these amino acids on lipid membranes. In this study, we employ fully atomistic molecular dynamics simulations to observe, quantify, and compare the interactions of Lys and Arg with saturated phosphatidylcholine membranes of different thickness. We make use of both charged (methylammonium and methylguanidinium) and neutral (methylamine and methylguanidine) analogue molecules, as well as Lys and Arg side chains on transmembrane helix models. We find that the free energy barrier experienced by a charged Lys crossing the membrane is strikingly similar to that of a charged Arg (to within 2 kcal/mol), despite the two having different chemistries, H-bonding capability, and hydration free energies that differ by </w:instrText>
      </w:r>
      <w:r w:rsidR="00C44087">
        <w:rPr>
          <w:rFonts w:ascii="Cambria Math" w:hAnsi="Cambria Math" w:cs="Cambria Math"/>
        </w:rPr>
        <w:instrText>∼</w:instrText>
      </w:r>
      <w:r w:rsidR="00C44087">
        <w:instrText>10 kcal/mol. In comparison, the barrier for neutral Arg is higher than that for neutral Lys by around 5 kcal/mol, being more selective than that for the charged species. This can be explained by the different transport mechanisms for charged or neutral amino acid side chains in the membrane, involving membrane deformations or simple dehydration, respectively. As a consequence, we demonstrate that Lys would be deprotonated in the membrane, whereas Arg would maintain its charge. Our simulations also reveal that Arg attracts more phosphate and water in the membrane, and can form extensive H-bonding with its five H-bond donors to stabilize Arg-phosphate clusters. This leads to enhanced interfacial binding and membrane perturbations, including the appearance of a trans-membrane pore in a thinner membrane. These results highlight the special role played by Arg as an amino acid to bind to, disrupt, and permeabilize lipid membranes, as well as to sense voltages for a range of peptide and protein activities in nature and in engineered bionanodevices. © 2013 American Chemical Society.","author":[{"dropping-particle":"","family":"Li","given":"Libo","non-dropping-particle":"","parse-names":false,"suffix":""},{"dropping-particle":"","family":"Vorobyov","given":"Igor","non-dropping-particle":"","parse-names":false,"suffix":""},{"dropping-particle":"","family":"Allen","given":"Toby W.","non-dropping-particle":"","parse-names":false,"suffix":""}],"container-title":"Journal of Physical Chemistry B","id":"ITEM-1","issue":"40","issued":{"date-parts":[["2013","10","10"]]},"page":"11906-11920","publisher":"American Chemical Society","title":"The different interactions of lysine and arginine side chains with lipid membranes","type":"article-journal","volume":"117"},"uris":["http://www.mendeley.com/documents/?uuid=e1406104-5751-3281-8065-c8006405f832"]},{"id":"ITEM-2","itemData":{"DOI":"10.1529/biophysj.107.122945","ISSN":"15420086","PMID":"18199662","abstract":"Free energy perturbation calculations are carried out to estimate the effective pKa of an arginine (Arg) sidechain as a function of its location in the dipalmitoylphosphatidylcholine bilayer. Similar to previous all-atom simulations of the voltage sensor domain of a potassium channel in the membrane with charged Arg residues, the membrane and water structures deform to stabilize the charge of the Arg analog. As a result, the computed pKa is &gt;7 throughout the membrane although the value is very close to 7 near the center of the bilayer. With additional stabilizations from negatively charged amino acids or lipid molecules, it is reasonable to expect that Arg in membrane proteins (once in the membrane) can adopt the protonated state despite the low dielectric nature of the bulk lipid membrane. © 2008 by the Biophysical Society.","author":[{"dropping-particle":"","family":"Yoo","given":"Jejoong","non-dropping-particle":"","parse-names":false,"suffix":""},{"dropping-particle":"","family":"Cui","given":"Qiang","non-dropping-particle":"","parse-names":false,"suffix":""}],"container-title":"Biophysical Journal","id":"ITEM-2","issue":"8","issued":{"date-parts":[["2008","4","15"]]},"page":"L61-L63","publisher":"Biophysical Society","title":"Does arginine remain protonated in the lipid membrane? Insights from microscopic pKa calculations","type":"article-journal","volume":"94"},"uris":["http://www.mendeley.com/documents/?uuid=50a2eec4-9a2e-3f5f-998e-efc8c734fe55"]}],"mendeley":{"formattedCitation":"&lt;sup&gt;292,293&lt;/sup&gt;","plainTextFormattedCitation":"292,293","previouslyFormattedCitation":"&lt;sup&gt;292,293&lt;/sup&gt;"},"properties":{"noteIndex":0},"schema":"https://github.com/citation-style-language/schema/raw/master/csl-citation.json"}</w:instrText>
      </w:r>
      <w:r w:rsidR="00892F30">
        <w:fldChar w:fldCharType="separate"/>
      </w:r>
      <w:r w:rsidR="00C44087" w:rsidRPr="00C44087">
        <w:rPr>
          <w:noProof/>
          <w:vertAlign w:val="superscript"/>
        </w:rPr>
        <w:t>292,293</w:t>
      </w:r>
      <w:r w:rsidR="00892F30">
        <w:fldChar w:fldCharType="end"/>
      </w:r>
      <w:r>
        <w:t>. As both arginine and lysine allow the peptide to form favorable electrostatic interactions with the membrane, it is clear that pKa shifts need to be accounted for. Developments of constant pH MD are being used to address these issues</w:t>
      </w:r>
      <w:r w:rsidR="00AF6E47">
        <w:fldChar w:fldCharType="begin" w:fldLock="1"/>
      </w:r>
      <w:r w:rsidR="00C44087">
        <w:instrText>ADDIN CSL_CITATION {"citationItems":[{"id":"ITEM-1","itemData":{"DOI":"10.1021/acs.jctc.8b00102","ISSN":"15499626","PMID":"29733633","abstract":"The pH (low) insertion peptides (pHLIPs) is a family of peptides that are able to insert into a lipid bilayer at acidic pH. The molecular mechanism of pHLIPs insertion, folding, and stability in the membrane at low pH is based on multiple protonation events, which are challenging to study at the molecular level. More specifically, the relation between the experimental pK of insertion (pKexp) of pHLIPs and the pKa of the key residues is yet to be clarified. We carried out a computational study, complemented with new experimental data, and established the influence of (de)protonation of titrable residues on the stability of the peptide membrane-inserted state. Constant-pH molecular dynamics simulations were employed to calculate the pKa values of these residues along the membrane normal. In the wt-pHLIP, we identified Asp14 as the key residue for the stability of the membrane-inserted state, and its pKa value is strongly correlated with the experimental pKexp measured in thermodynamics studies. Also, in order to narrow down the pH range at which pHLIP is stable in the membrane, we designed a new pHLIP variant, L16H, where Leu in the 16th position was replaced by a titrable His residue. Our results showed that the L16H variant undergoes two transitions. The calculated pKa and experimentally observed pKexp values are in good agreement. Two distinct pKexp values delimit a pH range where the L16H peptide is stably inserted in the membrane, while, outside this range, the membrane-inserted state is destabilized and the peptide exits from the bilayer. pHLIP peptides have been successfully used to target cancer cells for the delivery of diagnostics and therapeutic agents to acidic tumors. The fine-tuning of the stability of the pHLIP inserted state and its restriction to a narrow well-defined pH range might allow the design of new peptides, able to discriminate between tissues with different extracellular pH values.","author":[{"dropping-particle":"","family":"Vila-Viçosa","given":"Diogo","non-dropping-particle":"","parse-names":false,"suffix":""},{"dropping-particle":"","family":"Silva","given":"Tomás F.D.","non-dropping-particle":"","parse-names":false,"suffix":""},{"dropping-particle":"","family":"Slaybaugh","given":"Gregory","non-dropping-particle":"","parse-names":false,"suffix":""},{"dropping-particle":"","family":"Reshetnyak","given":"Yana K.","non-dropping-particle":"","parse-names":false,"suffix":""},{"dropping-particle":"","family":"Andreev","given":"Oleg A.","non-dropping-particle":"","parse-names":false,"suffix":""},{"dropping-particle":"","family":"Machuqueiro","given":"Miguel","non-dropping-particle":"","parse-names":false,"suffix":""}],"container-title":"Journal of Chemical Theory and Computation","id":"ITEM-1","issue":"6","issued":{"date-parts":[["2018","6","12"]]},"page":"3289-3297","publisher":"American Chemical Society","title":"Membrane-Induced p Ka Shifts in wt-pHLIP and Its L16H Variant","type":"article-journal","volume":"14"},"uris":["http://www.mendeley.com/documents/?uuid=2a3f9716-a029-38a1-b442-176a0780b042"]},{"id":"ITEM-2","itemData":{"DOI":"10.1038/s41598-020-77040-y","ISSN":"20452322","PMID":"33208852","abstract":"The influenza virus fusion process, whereby the virus fuses its envelope with the host endosome membrane to release the genetic material, takes place in the acidic late endosome environment. Acidification triggers a large conformational change in the fusion protein, hemagglutinin (HA), which enables the insertion of the N-terminal region of the HA2 subunit, known as the fusion peptide, into the membrane of the host endosome. However, the mechanism by which pH modulates the molecular properties of the fusion peptide remains unclear. To answer this question, we performed the first constant-pH molecular dynamics simulations of the influenza fusion peptide in a membrane, extending for 40 µs of aggregated time. The simulations were combined with spectroscopic data, which showed that the peptide is twofold more active in promoting lipid mixing of model membranes at pH 5 than at pH 7.4. The realistic treatment of protonation introduced by the constant-pH molecular dynamics simulations revealed that low pH stabilizes a vertical membrane-spanning conformation and leads to more frequent contacts between the fusion peptide and the lipid headgroups, which may explain the increase in activity. The study also revealed that the N-terminal region is determinant for the peptide’s effect on the membrane.","author":[{"dropping-particle":"","family":"Lousa","given":"Diana","non-dropping-particle":"","parse-names":false,"suffix":""},{"dropping-particle":"","family":"Pinto","given":"Antónia R.T.","non-dropping-particle":"","parse-names":false,"suffix":""},{"dropping-particle":"","family":"Campos","given":"Sara R.R.","non-dropping-particle":"","parse-names":false,"suffix":""},{"dropping-particle":"","family":"Baptista","given":"António M.","non-dropping-particle":"","parse-names":false,"suffix":""},{"dropping-particle":"","family":"Veiga","given":"Ana S.","non-dropping-particle":"","parse-names":false,"suffix":""},{"dropping-particle":"","family":"Castanho","given":"Miguel A.R.B.","non-dropping-particle":"","parse-names":false,"suffix":""},{"dropping-particle":"","family":"Soares","given":"Cláudio M.","non-dropping-particle":"","parse-names":false,"suffix":""}],"container-title":"Scientific Reports","id":"ITEM-2","issue":"1","issued":{"date-parts":[["2020","12","1"]]},"page":"1-18","publisher":"Nature Research","title":"Effect of pH on the influenza fusion peptide properties unveiled by constant-pH molecular dynamics simulations combined with experiment","type":"article-journal","volume":"10"},"uris":["http://www.mendeley.com/documents/?uuid=148994c3-398d-38b6-909a-3003a27ee4ce"]}],"mendeley":{"formattedCitation":"&lt;sup&gt;294,295&lt;/sup&gt;","plainTextFormattedCitation":"294,295","previouslyFormattedCitation":"&lt;sup&gt;294,295&lt;/sup&gt;"},"properties":{"noteIndex":0},"schema":"https://github.com/citation-style-language/schema/raw/master/csl-citation.json"}</w:instrText>
      </w:r>
      <w:r w:rsidR="00AF6E47">
        <w:fldChar w:fldCharType="separate"/>
      </w:r>
      <w:r w:rsidR="00C44087" w:rsidRPr="00C44087">
        <w:rPr>
          <w:noProof/>
          <w:vertAlign w:val="superscript"/>
        </w:rPr>
        <w:t>294,295</w:t>
      </w:r>
      <w:r w:rsidR="00AF6E47">
        <w:fldChar w:fldCharType="end"/>
      </w:r>
      <w:r>
        <w:t>, and has been applied in the study of AMPs. For example, Pohl et al. studied the pH-dependence of aggregation in the AMP plectasin</w:t>
      </w:r>
      <w:r w:rsidR="00AF6E47">
        <w:fldChar w:fldCharType="begin" w:fldLock="1"/>
      </w:r>
      <w:r w:rsidR="00C44087">
        <w:instrText>ADDIN CSL_CITATION {"citationItems":[{"id":"ITEM-1","itemData":{"DOI":"10.1021/acs.molpharmaceut.0c00406","ISSN":"15438392","PMID":"32609526","abstract":"Therapeutic peptides and proteins show enormous potential in the pharmaceutical market, but high costs in discovery and development are limiting factors so far. Single or multiple point mutations are commonly introduced in protein drugs to increase their binding affinity or selectivity. They can also induce adverse properties, which might be overlooked in a functional screen, such as a decreased colloidal or thermal stability, leading to problems in later stages of the development. In this study, we address the effect of point mutations on the stability of the 4.4 kDa antimicrobial peptide plectasin, as a case study. We combined a systematic high-throughput biophysical screen of the peptide thermal and colloidal stability using dynamic light scattering and differential scanning calorimetry with structure-based methods including small-angle X-ray scattering, analytical ultracentrifugation, and nuclear magnetic resonance spectroscopy. Additionally, we applied molecular dynamics simulations to link obtained protein stability parameters to the protein's molecular structure. Despite their predicted structural similarities, all four plectasin variants showed substantially different behavior in solution. We observed an increasing propensity of plectasin to aggregate at a higher pH, and the introduced mutations influenced the type of aggregation. Our strategy for systematically assessing the stability and aggregation of protein drugs is generally applicable and is of particular relevance, given the increasing number of protein drugs in development.","author":[{"dropping-particle":"","family":"Pohl","given":"Christin","non-dropping-particle":"","parse-names":false,"suffix":""},{"dropping-particle":"","family":"Zalar","given":"Matja","non-dropping-particle":"","parse-names":false,"suffix":""},{"dropping-particle":"El","family":"Bialy","given":"Inas","non-dropping-particle":"","parse-names":false,"suffix":""},{"dropping-particle":"","family":"Indrakumar","given":"Sowmya","non-dropping-particle":"","parse-names":false,"suffix":""},{"dropping-particle":"","family":"Peters","given":"Günther H.J.","non-dropping-particle":"","parse-names":false,"suffix":""},{"dropping-particle":"","family":"Friess","given":"Wolfgang","non-dropping-particle":"","parse-names":false,"suffix":""},{"dropping-particle":"","family":"Golovanov","given":"Alexander P.","non-dropping-particle":"","parse-names":false,"suffix":""},{"dropping-particle":"","family":"Streicher","given":"Werner W.","non-dropping-particle":"","parse-names":false,"suffix":""},{"dropping-particle":"","family":"Noergaard","given":"Allan","non-dropping-particle":"","parse-names":false,"suffix":""},{"dropping-particle":"","family":"Harris","given":"Pernille","non-dropping-particle":"","parse-names":false,"suffix":""},{"dropping-particle":"","family":"Noergaard","given":"Allan","non-dropping-particle":"","parse-names":false,"suffix":""},{"dropping-particle":"","family":"Harris","given":"Pernille","non-dropping-particle":"","parse-names":false,"suffix":""}],"container-title":"Molecular Pharmaceutics","id":"ITEM-1","issue":"9","issued":{"date-parts":[["2020","9","8"]]},"page":"3298-3313","publisher":"American Chemical Society","title":"The Effect of Point Mutations on the Biophysical Properties of an Antimicrobial Peptide: Development of a Screening Protocol for Peptide Stability Screening","type":"article-journal","volume":"17"},"uris":["http://www.mendeley.com/documents/?uuid=d78f710d-ffe2-3bb7-8b03-1306140a4933"]}],"mendeley":{"formattedCitation":"&lt;sup&gt;296&lt;/sup&gt;","plainTextFormattedCitation":"296","previouslyFormattedCitation":"&lt;sup&gt;296&lt;/sup&gt;"},"properties":{"noteIndex":0},"schema":"https://github.com/citation-style-language/schema/raw/master/csl-citation.json"}</w:instrText>
      </w:r>
      <w:r w:rsidR="00AF6E47">
        <w:fldChar w:fldCharType="separate"/>
      </w:r>
      <w:r w:rsidR="00C44087" w:rsidRPr="00C44087">
        <w:rPr>
          <w:noProof/>
          <w:vertAlign w:val="superscript"/>
        </w:rPr>
        <w:t>296</w:t>
      </w:r>
      <w:r w:rsidR="00AF6E47">
        <w:fldChar w:fldCharType="end"/>
      </w:r>
      <w:r>
        <w:t>, determining that the peptide aggregated more at higher pHs. Similarly, Nhan et al. simulated how the structure of lactoferrin, a protein with antimicrobial activity from which AMPs can be extracted</w:t>
      </w:r>
      <w:r w:rsidR="00AF6E47">
        <w:fldChar w:fldCharType="begin" w:fldLock="1"/>
      </w:r>
      <w:r w:rsidR="00912FFE">
        <w:instrText>ADDIN CSL_CITATION {"citationItems":[{"id":"ITEM-1","itemData":{"DOI":"10.3390/molecules21060752","ISSN":"14203049","PMID":"27294909","abstract":"Antimicrobial peptides (AMPs) represent a vast array of molecules produced by virtually all living organisms as natural barriers against infection. Among AMP sources, an interesting class regards the food-derived bioactive agents. The whey protein lactoferrin (Lf) is an iron-binding glycoprotein that plays a significant role in the innate immune system, and is considered as an important host defense molecule. In search for novel antimicrobial agents, Lf offers a new source with potential pharmaceutical applications. The Lf-derived peptides Lf(1-11), lactoferricin (Lfcin) and lactoferrampin exhibit interesting and more potent antimicrobial actions than intact protein. Particularly, Lfcin has demonstrated strong antibacterial, anti-fungal and antiparasitic activity with promising applications both in human and veterinary diseases (from ocular infections to osteo-articular, gastrointestinal and dermatological diseases).","author":[{"dropping-particle":"","family":"Bruni","given":"Natascia","non-dropping-particle":"","parse-names":false,"suffix":""},{"dropping-particle":"","family":"Capucchio","given":"Maria Teresa","non-dropping-particle":"","parse-names":false,"suffix":""},{"dropping-particle":"","family":"Biasibetti","given":"Elena","non-dropping-particle":"","parse-names":false,"suffix":""},{"dropping-particle":"","family":"Pessione","given":"Enrica","non-dropping-particle":"","parse-names":false,"suffix":""},{"dropping-particle":"","family":"Cirrincione","given":"Simona","non-dropping-particle":"","parse-names":false,"suffix":""},{"dropping-particle":"","family":"Giraudo","given":"Leonardo","non-dropping-particle":"","parse-names":false,"suffix":""},{"dropping-particle":"","family":"Corona","given":"Antonio","non-dropping-particle":"","parse-names":false,"suffix":""},{"dropping-particle":"","family":"Dosio","given":"Franco","non-dropping-particle":"","parse-names":false,"suffix":""}],"container-title":"Molecules","id":"ITEM-1","issue":"6","issued":{"date-parts":[["2016","6","1"]]},"page":"752","publisher":"MDPI AG","title":"Antimicrobial activity of lactoferrin-related peptides and applications in human and veterinary medicine","type":"article-journal","volume":"21"},"uris":["http://www.mendeley.com/documents/?uuid=143a9a7a-1251-3247-8bb7-cd27fb77269b"]}],"mendeley":{"formattedCitation":"&lt;sup&gt;297&lt;/sup&gt;","plainTextFormattedCitation":"297","previouslyFormattedCitation":"&lt;sup&gt;297&lt;/sup&gt;"},"properties":{"noteIndex":0},"schema":"https://github.com/citation-style-language/schema/raw/master/csl-citation.json"}</w:instrText>
      </w:r>
      <w:r w:rsidR="00AF6E47">
        <w:fldChar w:fldCharType="separate"/>
      </w:r>
      <w:r w:rsidR="00C44087" w:rsidRPr="00C44087">
        <w:rPr>
          <w:noProof/>
          <w:vertAlign w:val="superscript"/>
        </w:rPr>
        <w:t>297</w:t>
      </w:r>
      <w:r w:rsidR="00AF6E47">
        <w:fldChar w:fldCharType="end"/>
      </w:r>
      <w:r>
        <w:t>, changes when deviating from neutral pH, and how these structural changes affect its antimicrobial properties</w:t>
      </w:r>
      <w:r w:rsidR="00AF6E47">
        <w:fldChar w:fldCharType="begin" w:fldLock="1"/>
      </w:r>
      <w:r w:rsidR="00C44087">
        <w:instrText>ADDIN CSL_CITATION {"citationItems":[{"id":"ITEM-1","itemData":{"DOI":"10.1080/08927022.2018.1535178","ISSN":"10290435","abstract":"The minor protein in milk, lactoferrin (Lf), is known for a variety of biological functions, and has been investigated as a protective encapsulant for probiotic bacteria in health-promoting food products. Lf is likely to be exposed to extreme pH conditions which are known to have disruptive influences on its functionality. The molecular mechanisms underlying these pH-dependent changes are not well-understood. To explore the potential of Lf as an encapsulant, molecular dynamics (MD) simulations were applied to study its conformational changes under extreme acidic (pH 1.0) or basic (pH 14.0) conditions, relative to neutral pH. Simulations indicate that the structure of apo-Lf is relatively stable at neutral pH, while acidic and basic pH result in substantially greater flexibility, partly induced by the loss of contacts between the N- and C-terminal lobes, causing them to undergo extensive relative bending and twisting motions. Basic pH causes greater structural disruption compared to acidic exposure. The latter has greater influence on the N-terminus, with increased fluctuations and disruptions of inter-residue contacts compared to those at neutral pH; while basic pH was found to more prominently disrupt contacts at the C-terminus. These results help elucidate possible functional consequences on Lf of exposure to extreme pH conditions.","author":[{"dropping-particle":"","family":"Nhan","given":"Carol","non-dropping-particle":"","parse-names":false,"suffix":""},{"dropping-particle":"","family":"Small","given":"Darryl M.","non-dropping-particle":"","parse-names":false,"suffix":""},{"dropping-particle":"","family":"May","given":"Bee K.","non-dropping-particle":"","parse-names":false,"suffix":""},{"dropping-particle":"","family":"Hung","given":"Andrew","non-dropping-particle":"","parse-names":false,"suffix":""}],"container-title":"Molecular Simulation","id":"ITEM-1","issue":"2","issued":{"date-parts":[["2019","1","22"]]},"page":"87-103","publisher":"Taylor and Francis Ltd.","title":"pH-induced structural changes of apo-lactoferrin and implications for its function: a molecular dynamics simulation study","type":"article-journal","volume":"45"},"uris":["http://www.mendeley.com/documents/?uuid=1e0b4a7e-a708-323c-a136-042d567b2b89"]}],"mendeley":{"formattedCitation":"&lt;sup&gt;298&lt;/sup&gt;","plainTextFormattedCitation":"298","previouslyFormattedCitation":"&lt;sup&gt;298&lt;/sup&gt;"},"properties":{"noteIndex":0},"schema":"https://github.com/citation-style-language/schema/raw/master/csl-citation.json"}</w:instrText>
      </w:r>
      <w:r w:rsidR="00AF6E47">
        <w:fldChar w:fldCharType="separate"/>
      </w:r>
      <w:r w:rsidR="00C44087" w:rsidRPr="00C44087">
        <w:rPr>
          <w:noProof/>
          <w:vertAlign w:val="superscript"/>
        </w:rPr>
        <w:t>298</w:t>
      </w:r>
      <w:r w:rsidR="00AF6E47">
        <w:fldChar w:fldCharType="end"/>
      </w:r>
      <w:r>
        <w:t>.</w:t>
      </w:r>
    </w:p>
    <w:p w14:paraId="20BA0A94" w14:textId="77777777" w:rsidR="001529CF" w:rsidRDefault="001529CF">
      <w:pPr>
        <w:pStyle w:val="LO-normal"/>
        <w:jc w:val="both"/>
      </w:pPr>
    </w:p>
    <w:p w14:paraId="1C3488B7" w14:textId="308E64FF" w:rsidR="001529CF" w:rsidRDefault="00492337">
      <w:pPr>
        <w:pStyle w:val="LO-normal"/>
        <w:jc w:val="both"/>
      </w:pPr>
      <w:r>
        <w:t>In order to study the preferred position and orientation of AMPs in lipid bilayers without biasing the outcome by choosing initial configurations, some studies have utilised a bilayer self-assembly approach, which involves placing the lipid, peptide and water molecules in a random configuration and observing the assembly of a peptide-embedded bilayer</w:t>
      </w:r>
      <w:r w:rsidR="00AF6E47">
        <w:fldChar w:fldCharType="begin" w:fldLock="1"/>
      </w:r>
      <w:r w:rsidR="00912FFE">
        <w:instrText>ADDIN CSL_CITATION {"citationItems":[{"id":"ITEM-1","itemData":{"DOI":"10.1016/j.jmgm.2018.11.003","ISSN":"18734243","PMID":"30448729","abstract":"Transmembrane pores play an important role in various cell processes. However, the detailed structures of these pores and their influence on the membrane properties remain undetermined. We performed microsecond coarse-grained molecular dynamics simulations to study the interaction of cationic β-structural peptides with multicomponent lipid bilayers consisting of two types of anionic (POPS, POPI) and two types of zwitterionic (POPE, POPC) lipids. The formation of semitoroidal pores was analyzed from a standpoint of self-organization of lipids and peptides. Our results showed that semitoroidal pores were mainly formed by POPI molecules with a strong negative charge. We found that peptide aggregation is a necessary step of pore formation; single peptide is unable to stabilize the semitoroidal pore. To characterize the influence of semitoroidal pores on membrane properties, we evaluated the bilayer thickness, the two-dimensional density maps of lipids, the deuterium order parameters, and the lateral diffusion coefficients of lipids. The pore formation induced perturbation of the phospholipid organization in membrane and facilitated the organization of zones with different electrostatic potential.","author":[{"dropping-particle":"","family":"Ermakova","given":"Elena","non-dropping-particle":"","parse-names":false,"suffix":""},{"dropping-particle":"","family":"Kurbanov","given":"Rauf","non-dropping-particle":"","parse-names":false,"suffix":""},{"dropping-particle":"","family":"Zuev","given":"Yuriy","non-dropping-particle":"","parse-names":false,"suffix":""}],"container-title":"Journal of Molecular Graphics and Modelling","id":"ITEM-1","issue":"3","issued":{"date-parts":[["2019","3","1"]]},"page":"1-10","publisher":"Elsevier Inc.","title":"Coarse-grained molecular dynamics of membrane semitoroidal pore formation in model lipid-peptide systems","type":"article-journal","volume":"87"},"uris":["http://www.mendeley.com/documents/?uuid=d6b01bdc-e760-3e65-ad63-2ca988619c0b"]},{"id":"ITEM-2","itemData":{"DOI":"10.1016/j.bbamem.2013.05.036","ISSN":"00052736","PMID":"23756777","abstract":"Bacteriocin AS-48 is a membrane-interacting peptide that acts as a broad-spectrum antimicrobial against Gram-positive and Gram-negative bacteria. Prior Nuclear Magnetic Resonance experiments and the high resolution crystal structure of AS-48 have suggested a mechanism for the molecular activity of AS-48 whereby the peptide undergoes transition from a water-soluble to a membrane-bound state upon membrane binding. To help interpret experimental results, we here simulate the molecular dynamics of this binding mechanism at the coarse-grained level. By simulating the self-assembly of the peptide, we predict induction by the bacteriocin of different pore types consistent with a \"leaky slit\" model. © 2013 Elsevier B.V.","author":[{"dropping-particle":"","family":"Cruz","given":"Victor L.","non-dropping-particle":"","parse-names":false,"suffix":""},{"dropping-particle":"","family":"Ramos","given":"Javier","non-dropping-particle":"","parse-names":false,"suffix":""},{"dropping-particle":"","family":"Melo","given":"Manuel N.","non-dropping-particle":"","parse-names":false,"suffix":""},{"dropping-particle":"","family":"Martinez-Salazar","given":"Javier","non-dropping-particle":"","parse-names":false,"suffix":""}],"container-title":"Biochimica et Biophysica Acta - Biomembranes","id":"ITEM-2","issue":"11","issued":{"date-parts":[["2013","11","1"]]},"page":"2524-2531","publisher":"Elsevier","title":"Bacteriocin AS-48 binding to model membranes and pore formation as revealed by coarse-grained simulations","type":"article-journal","volume":"1828"},"uris":["http://www.mendeley.com/documents/?uuid=53c1ae85-1185-3833-9c8e-1cdfc7606fe1"]},{"id":"ITEM-3","itemData":{"DOI":"10.1016/j.bbamem.2014.11.002","ISSN":"18792642","PMID":"25445672","abstract":"Determining the structure of membrane-active peptides inside lipid bilayers is essential to understand their mechanism of action. Molecular dynamics simulations can easily provide atomistic details, but need experimental validation. We assessed the reliability of self-assembling (or \"minimum-bias\") and potential of mean force (PMF) approaches, using all-atom (AA) and coarse-grained (CG) force-fields. The LAH4 peptide was selected as a stringent test case, since it is known to attain different orientations depending on the protonation state of its four histidine residues. In all simulations the histidine side-chains inserted in the membrane when neutral, while they interacted with phospholipid headgroups in their charged state. This led to transmembrane orientations for neutral-His LAH4 in all minimum-bias AA simulations and in most CG trajectories. By contrast, the charged-His peptide stabilized membrane defects in AA simulations, whereas it was located at the membrane surface in some CG trajectories, and interacted with both lipid leaflets in others. This behavior is consistent with the higher antimicrobial activity and membrane-permeabilizing behavior of the charged-His LAH4. In addition, good agreement with solid-state NMR orientational data was observed in AA simulations. PMF calculations correctly predicted a higher membrane affinity for the neutral-His peptide. Interestingly, the structures and relative populations of PMF local free-energy minima corresponded to those determined in the less computationally demanding minimum-bias simulations. These data provide an indication about the possible membrane-perturbation mechanism of the charged-His LAH4 peptide: by interacting with lipid headgroups of both leaflets through its cationic side-chains, it could favor membrane defects and facilitate translocation across the bilayer.","author":[{"dropping-particle":"","family":"Farrotti","given":"A.","non-dropping-particle":"","parse-names":false,"suffix":""},{"dropping-particle":"","family":"Bocchinfuso","given":"G.","non-dropping-particle":"","parse-names":false,"suffix":""},{"dropping-particle":"","family":"Palleschi","given":"A.","non-dropping-particle":"","parse-names":false,"suffix":""},{"dropping-particle":"","family":"Rosato","given":"N.","non-dropping-particle":"","parse-names":false,"suffix":""},{"dropping-particle":"","family":"Salnikov","given":"E. S.","non-dropping-particle":"","parse-names":false,"suffix":""},{"dropping-particle":"","family":"Voievoda","given":"N.","non-dropping-particle":"","parse-names":false,"suffix":""},{"dropping-particle":"","family":"Bechinger","given":"B.","non-dropping-particle":"","parse-names":false,"suffix":""},{"dropping-particle":"","family":"Stella","given":"L.","non-dropping-particle":"","parse-names":false,"suffix":""}],"container-title":"Biochimica et Biophysica Acta - Biomembranes","id":"ITEM-3","issue":"2","issued":{"date-parts":[["2015","2","1"]]},"page":"581-592","publisher":"Elsevier B.V.","title":"Molecular dynamics methods to predict peptide locations in membranes: LAH4 as a stringent test case","type":"article-journal","volume":"1848"},"uris":["http://www.mendeley.com/documents/?uuid=6b4741e9-8630-3178-89ee-dfc76504dd60"]}],"mendeley":{"formattedCitation":"&lt;sup&gt;299–301&lt;/sup&gt;","plainTextFormattedCitation":"299–301","previouslyFormattedCitation":"&lt;sup&gt;299–301&lt;/sup&gt;"},"properties":{"noteIndex":0},"schema":"https://github.com/citation-style-language/schema/raw/master/csl-citation.json"}</w:instrText>
      </w:r>
      <w:r w:rsidR="00AF6E47">
        <w:fldChar w:fldCharType="separate"/>
      </w:r>
      <w:r w:rsidR="00C44087" w:rsidRPr="00C44087">
        <w:rPr>
          <w:noProof/>
          <w:vertAlign w:val="superscript"/>
        </w:rPr>
        <w:t>299–301</w:t>
      </w:r>
      <w:r w:rsidR="00AF6E47">
        <w:fldChar w:fldCharType="end"/>
      </w:r>
      <w:r>
        <w:t xml:space="preserve">. This technique allows the </w:t>
      </w:r>
      <w:r>
        <w:lastRenderedPageBreak/>
        <w:t>derivation of possible AMP pore structures without having to overcome the energy barriers associated with penetrating and permeabilising a pre-formed bilayer.</w:t>
      </w:r>
      <w:r>
        <w:rPr>
          <w:color w:val="FF0000"/>
        </w:rPr>
        <w:t xml:space="preserve"> </w:t>
      </w:r>
      <w:r>
        <w:t xml:space="preserve">For example, the Martini CG force field was used to simulate the self-assembly of fungal cell membrane lipids with a model </w:t>
      </w:r>
      <w:r w:rsidR="00AF6E47">
        <w:t>β</w:t>
      </w:r>
      <w:r>
        <w:t>-sheet AMP with sequence RMCKTPCGKFYCYKPCP, resulting in the observation of semi-toroidal pores. Self-assembly was also used to study the differences between the protonated and unprotonated forms of LAH4, which is known to act as an AMP in acidic conditions but as a CPP in basic conditions, revealing that the protonated peptide had a greater impact on bilayer stability</w:t>
      </w:r>
      <w:r w:rsidR="00C97B9E">
        <w:fldChar w:fldCharType="begin" w:fldLock="1"/>
      </w:r>
      <w:r w:rsidR="00C44087">
        <w:instrText>ADDIN CSL_CITATION {"citationItems":[{"id":"ITEM-1","itemData":{"DOI":"10.1016/j.drudis.2019.06.013","ISSN":"18785832","PMID":"31229665","abstract":"Cell-penetrating peptides (CPPs) offer an exciting approach to tackle the pharmacokinetic challenges associated with the delivery of large, polar molecules to intracellular targets. Since the discovery of the first CPPs in the early 1990s, vast amounts of research have been undertaken to characterise their cellular uptake mechanisms. Despite this, the precise mechanisms of cellular internalisation of many CPPs remain elusive owing to inconsistent experimental results. Molecular dynamics (MD) simulations provide an approach to probe specific aspects of the internalisation process and many published CPP studies have incorporated simulation data. This review provides a critical evaluation of the current approaches that are being used to simulate CPPs interacting with artificial lipid bilayers.","author":[{"dropping-particle":"","family":"Reid","given":"Lauren M.","non-dropping-particle":"","parse-names":false,"suffix":""},{"dropping-particle":"","family":"Verma","given":"Chandra S.","non-dropping-particle":"","parse-names":false,"suffix":""},{"dropping-particle":"","family":"Essex","given":"Jonathan W.","non-dropping-particle":"","parse-names":false,"suffix":""}],"container-title":"Drug Discovery Today","id":"ITEM-1","issue":"9","issued":{"date-parts":[["2019","9","1"]]},"page":"1821-1835","publisher":"Elsevier Ltd","title":"The role of molecular simulations in understanding the mechanisms of cell-penetrating peptides","type":"article-journal","volume":"24"},"uris":["http://www.mendeley.com/documents/?uuid=940953cb-0c39-359c-a211-6126d9063571"]},{"id":"ITEM-2","itemData":{"DOI":"10.1016/j.bbamem.2014.11.002","ISSN":"18792642","PMID":"25445672","abstract":"Determining the structure of membrane-active peptides inside lipid bilayers is essential to understand their mechanism of action. Molecular dynamics simulations can easily provide atomistic details, but need experimental validation. We assessed the reliability of self-assembling (or \"minimum-bias\") and potential of mean force (PMF) approaches, using all-atom (AA) and coarse-grained (CG) force-fields. The LAH4 peptide was selected as a stringent test case, since it is known to attain different orientations depending on the protonation state of its four histidine residues. In all simulations the histidine side-chains inserted in the membrane when neutral, while they interacted with phospholipid headgroups in their charged state. This led to transmembrane orientations for neutral-His LAH4 in all minimum-bias AA simulations and in most CG trajectories. By contrast, the charged-His peptide stabilized membrane defects in AA simulations, whereas it was located at the membrane surface in some CG trajectories, and interacted with both lipid leaflets in others. This behavior is consistent with the higher antimicrobial activity and membrane-permeabilizing behavior of the charged-His LAH4. In addition, good agreement with solid-state NMR orientational data was observed in AA simulations. PMF calculations correctly predicted a higher membrane affinity for the neutral-His peptide. Interestingly, the structures and relative populations of PMF local free-energy minima corresponded to those determined in the less computationally demanding minimum-bias simulations. These data provide an indication about the possible membrane-perturbation mechanism of the charged-His LAH4 peptide: by interacting with lipid headgroups of both leaflets through its cationic side-chains, it could favor membrane defects and facilitate translocation across the bilayer.","author":[{"dropping-particle":"","family":"Farrotti","given":"A.","non-dropping-particle":"","parse-names":false,"suffix":""},{"dropping-particle":"","family":"Bocchinfuso","given":"G.","non-dropping-particle":"","parse-names":false,"suffix":""},{"dropping-particle":"","family":"Palleschi","given":"A.","non-dropping-particle":"","parse-names":false,"suffix":""},{"dropping-particle":"","family":"Rosato","given":"N.","non-dropping-particle":"","parse-names":false,"suffix":""},{"dropping-particle":"","family":"Salnikov","given":"E. S.","non-dropping-particle":"","parse-names":false,"suffix":""},{"dropping-particle":"","family":"Voievoda","given":"N.","non-dropping-particle":"","parse-names":false,"suffix":""},{"dropping-particle":"","family":"Bechinger","given":"B.","non-dropping-particle":"","parse-names":false,"suffix":""},{"dropping-particle":"","family":"Stella","given":"L.","non-dropping-particle":"","parse-names":false,"suffix":""}],"container-title":"Biochimica et Biophysica Acta - Biomembranes","id":"ITEM-2","issue":"2","issued":{"date-parts":[["2015","2","1"]]},"page":"581-592","publisher":"Elsevier B.V.","title":"Molecular dynamics methods to predict peptide locations in membranes: LAH4 as a stringent test case","type":"article-journal","volume":"1848"},"uris":["http://www.mendeley.com/documents/?uuid=6b4741e9-8630-3178-89ee-dfc76504dd60"]}],"mendeley":{"formattedCitation":"&lt;sup&gt;208,301&lt;/sup&gt;","plainTextFormattedCitation":"208,301","previouslyFormattedCitation":"&lt;sup&gt;208,301&lt;/sup&gt;"},"properties":{"noteIndex":0},"schema":"https://github.com/citation-style-language/schema/raw/master/csl-citation.json"}</w:instrText>
      </w:r>
      <w:r w:rsidR="00C97B9E">
        <w:fldChar w:fldCharType="separate"/>
      </w:r>
      <w:r w:rsidR="00C44087" w:rsidRPr="00C44087">
        <w:rPr>
          <w:noProof/>
          <w:vertAlign w:val="superscript"/>
        </w:rPr>
        <w:t>208,301</w:t>
      </w:r>
      <w:r w:rsidR="00C97B9E">
        <w:fldChar w:fldCharType="end"/>
      </w:r>
      <w:r>
        <w:t>.</w:t>
      </w:r>
    </w:p>
    <w:p w14:paraId="266D89C2" w14:textId="77777777" w:rsidR="001529CF" w:rsidRDefault="001529CF">
      <w:pPr>
        <w:pStyle w:val="LO-normal"/>
        <w:jc w:val="both"/>
      </w:pPr>
    </w:p>
    <w:p w14:paraId="534A9092" w14:textId="6A2FE357" w:rsidR="001529CF" w:rsidRDefault="00492337">
      <w:pPr>
        <w:pStyle w:val="LO-normal"/>
        <w:jc w:val="both"/>
      </w:pPr>
      <w:r>
        <w:t>Apart from bacterial cytoplasmic membranes, considerable efforts have also been focused on developing other model membranes, such as fungal membranes and the outer membranes of various types of Gram negative bacteria at both the atomistic and coarse-grained levels</w:t>
      </w:r>
      <w:r w:rsidR="00C97B9E">
        <w:fldChar w:fldCharType="begin" w:fldLock="1"/>
      </w:r>
      <w:r w:rsidR="00C44087">
        <w:instrText>ADDIN CSL_CITATION {"citationItems":[{"id":"ITEM-1","itemData":{"DOI":"10.1371/journal.pone.0087730","ISSN":"1932-6203","abstract":"Taking advantage of the cluster effect observed in multivalent peptides, this work describes antifungal activity and possible mechanism of action of tetravalent peptide (B4010) which carries 4 copies of the sequence RGRKVVRR through a branched lysine core. B4010 displayed better antifungal properties than natamycin and amphotericin B. The peptide retained significant activity in the presence of monovalent/divalent cations, trypsin and serum and tear fluid. Moreover, B4010 is non-haemolytic and non-toxic to mice by intraperitoneal (200 mg/kg) or intravenous (100 mg/kg) routes. S. cerevisiae mutant strains with altered membrane sterol structures and composition showed hyper senstivity to B4010. The peptide had no affinity for cell wall polysaccharides and caused rapid dissipation of membrane potential and release of vital ions and ATP when treated with C. albicans. We demonstrate that additives which alter the membrane potential or membrane rigidity protect C. albicans from B4010-induced lethality. Calcein release assay and molecular dynamics simulations showed that the peptide preferentially binds to mixed bilayer containing ergosterol over phophotidylcholine-cholesterol bilayers. The studies further suggested that the first arginine is important for mediating peptide-bilayer interactions. Replacing the first arginine led to a 2-4 fold decrease in antifungal activities and reduced membrane disruption properties. The combined in silico and in vitro approach should facilitate rational design of new tetravalent antifungal peptides. © 2014 Lakshminarayanan et al.","author":[{"dropping-particle":"","family":"Lakshminarayanan","given":"Rajamani","non-dropping-particle":"","parse-names":false,"suffix":""},{"dropping-particle":"","family":"Liu","given":"Shouping","non-dropping-particle":"","parse-names":false,"suffix":""},{"dropping-particle":"","family":"Li","given":"Jianguo","non-dropping-particle":"","parse-names":false,"suffix":""},{"dropping-particle":"","family":"Nandhakumar","given":"Muruganantham","non-dropping-particle":"","parse-names":false,"suffix":""},{"dropping-particle":"","family":"Aung","given":"Thet Tun","non-dropping-particle":"","parse-names":false,"suffix":""},{"dropping-particle":"","family":"Goh","given":"Eunice","non-dropping-particle":"","parse-names":false,"suffix":""},{"dropping-particle":"","family":"Chang","given":"Jamie Ya Ting","non-dropping-particle":"","parse-names":false,"suffix":""},{"dropping-particle":"","family":"Saraswathi","given":"Padhmanaban","non-dropping-particle":"","parse-names":false,"suffix":""},{"dropping-particle":"","family":"Tang","given":"Charles","non-dropping-particle":"","parse-names":false,"suffix":""},{"dropping-particle":"","family":"Safie","given":"Siti Radiah Binte","non-dropping-particle":"","parse-names":false,"suffix":""},{"dropping-particle":"","family":"Lin","given":"Lim Yih","non-dropping-particle":"","parse-names":false,"suffix":""},{"dropping-particle":"","family":"Riezman","given":"Howard","non-dropping-particle":"","parse-names":false,"suffix":""},{"dropping-particle":"","family":"Lei","given":"Zhou","non-dropping-particle":"","parse-names":false,"suffix":""},{"dropping-particle":"","family":"Verma","given":"Chandra S.","non-dropping-particle":"","parse-names":false,"suffix":""},{"dropping-particle":"","family":"Beuerman","given":"Roger W.","non-dropping-particle":"","parse-names":false,"suffix":""}],"container-title":"PLoS ONE","editor":[{"dropping-particle":"","family":"Khan","given":"Rizwan H.","non-dropping-particle":"","parse-names":false,"suffix":""}],"id":"ITEM-1","issue":"2","issued":{"date-parts":[["2014","2","3"]]},"page":"e87730","publisher":"Public Library of Science","title":"Synthetic Multivalent Antifungal Peptides Effective against Fungi","type":"article-journal","volume":"9"},"uris":["http://www.mendeley.com/documents/?uuid=bb7b1b87-3027-3bce-b267-f2bb924a47e3"]},{"id":"ITEM-2","itemData":{"DOI":"10.1021/ct300084v","ISSN":"15499618","abstract":"Lipopolysaccharides (LPS) are the main constituent of the outer bacterial membrane of Gram-negative bacteria. Lipid-A is the structural region of LPS that interacts with the innate immune system and induces inflammatory responses. It is formed by a phosphorylated β-d-glucosaminyl-(1→6)-α-N- glucosamine disaccharide backbone containing ester-linked and amide-linked long-chain fatty acids, which may vary in length and number depending on the bacterial strains and the environment. Phenotypical variation (i.e., number of acyl chains), cation type, and temperature influence the phase transition, aggregate structure, and endotoxic activity of Lipid-A. We have applied an extension of the GROMOS force field 45a4 carbohydrate parameter set to investigate the behavior of hexa- and pentaacylated Lipid-A of Pseudomonas aeruginosa at two temperatures (300 and 328 K) and in the presence of mono- and divalent cations (represented by Ca 2+ and Na +, respectively) through molecular dynamics simulations. The distinct phase of Lipid-A aggregates was characterized by structural properties, deuterium order parameters, the molecular shape of the lipid units (conical versus cylindrical), and molecular packing. Our results show that Na + ions induce a transition from the lamellar to nonlamellar phase. In contrast, the bilayer integrity is maintained in the presence of Ca 2+ ions. Through these findings, we present microscopic insights on the influence of different cations on the molecular behavior of Lipid-A associated with the lamellar to nonlamellar transition. © 2012 American Chemical Society.","author":[{"dropping-particle":"","family":"Pontes","given":"Frederico J.S.","non-dropping-particle":"","parse-names":false,"suffix":""},{"dropping-particle":"","family":"Rusu","given":"Victor H.","non-dropping-particle":"","parse-names":false,"suffix":""},{"dropping-particle":"","family":"Soares","given":"Thereza A.","non-dropping-particle":"","parse-names":false,"suffix":""},{"dropping-particle":"","family":"Lins","given":"Roberto D.","non-dropping-particle":"","parse-names":false,"suffix":""}],"container-title":"Journal of Chemical Theory and Computation","id":"ITEM-2","issue":"10","issued":{"date-parts":[["2012","10","9"]]},"page":"3830-3838","publisher":"American Chemical Society","title":"The effect of temperature, cations, and number of Acyl chains on the lamellar to non-lamellar transition in Lipid-A membranes: A microscopic view","type":"article-journal","volume":"8"},"uris":["http://www.mendeley.com/documents/?uuid=16658201-dba5-3c24-8d2a-9cf1b70bbc73"]},{"id":"ITEM-3","itemData":{"DOI":"10.1038/nmat2915","ISSN":"14764660","PMID":"21151166","abstract":"Despite advanced sterilization and aseptic techniques, infections associated with medical implants have not been eradicated. Most present coatings cannot simultaneously fulfil the requirements of antibacterial and antifungal activity as well as biocompatibility and reusability. Here, we report an antimicrobial hydrogel based on dimethyldecylammonium chitosan (with high quaternization)-graft-poly(ethylene glycol) methacrylate (DMDC-Q-g-EM) and poly(ethylene glycol) diacrylate, which has excellent antimicrobial efficacy against Pseudomonas aeruginosa, Escherichia coli, Staphylococcus aureus and Fusarium solani. The proposed mechanism of the antimicrobial activity of the polycationic hydrogel is by attraction of sections of anionic microbial membrane into the internal nanopores of the hydrogel, like an ĝ€̃ anion spongeĝ€™, leading to microbial membrane disruption and then microbe death. We have also demonstrated a thin uniform adherent coating of the hydrogel by simple ultraviolet immobilization. An animal study shows that DMDC-Q-g-EM hydrogel coating is biocompatible with rabbit conjunctiva and has no toxicity to the epithelial cells or the underlying stroma. © 2011 Macmillan Publishers Limited. All rights reserved.","author":[{"dropping-particle":"","family":"Li","given":"Peng","non-dropping-particle":"","parse-names":false,"suffix":""},{"dropping-particle":"","family":"Poon","given":"Yin Fun","non-dropping-particle":"","parse-names":false,"suffix":""},{"dropping-particle":"","family":"Li","given":"Weifeng","non-dropping-particle":"","parse-names":false,"suffix":""},{"dropping-particle":"","family":"Zhu","given":"Hong Yuan","non-dropping-particle":"","parse-names":false,"suffix":""},{"dropping-particle":"","family":"Yeap","given":"Siew Hooi","non-dropping-particle":"","parse-names":false,"suffix":""},{"dropping-particle":"","family":"Cao","given":"Ye","non-dropping-particle":"","parse-names":false,"suffix":""},{"dropping-particle":"","family":"Qi","given":"Xiaobao","non-dropping-particle":"","parse-names":false,"suffix":""},{"dropping-particle":"","family":"Zhou","given":"Chuncai","non-dropping-particle":"","parse-names":false,"suffix":""},{"dropping-particle":"","family":"Lamrani","given":"Mouad","non-dropping-particle":"","parse-names":false,"suffix":""},{"dropping-particle":"","family":"Beuerman","given":"Roger W.","non-dropping-particle":"","parse-names":false,"suffix":""},{"dropping-particle":"","family":"Kang","given":"En Tang","non-dropping-particle":"","parse-names":false,"suffix":""},{"dropping-particle":"","family":"Mu","given":"Yuguang","non-dropping-particle":"","parse-names":false,"suffix":""},{"dropping-particle":"","family":"Li","given":"Chang Ming","non-dropping-particle":"","parse-names":false,"suffix":""},{"dropping-particle":"","family":"Chang","given":"Matthew W.","non-dropping-particle":"","parse-names":false,"suffix":""},{"dropping-particle":"","family":"Jan Leong","given":"Susanna Su","non-dropping-particle":"","parse-names":false,"suffix":""},{"dropping-particle":"","family":"Chan-Park","given":"Mary B.","non-dropping-particle":"","parse-names":false,"suffix":""}],"container-title":"Nature Materials","id":"ITEM-3","issue":"2","issued":{"date-parts":[["2011","12","12"]]},"page":"149-156","publisher":"Nature Publishing Group","title":"A polycationic antimicrobial and biocompatible hydrogel with microbe membrane suctioning ability","type":"article-journal","volume":"10"},"uris":["http://www.mendeley.com/documents/?uuid=fc89d429-a708-3f06-8cd4-d69116bb54b5"]},{"id":"ITEM-4","itemData":{"DOI":"10.1007/978-1-4939-2343-4_24","ISSN":"10643745","PMID":"25753722","abstract":"While membrane simulations are widely employed to study the structure and dynamics of various lipid bilayers and membrane proteins in the bilayers, simulations of lipopolysaccharides (LPS) in membrane environments have been limited due to their structural complexity, diffi culties in building LPS-membrane systems, and lack of the appropriate molecular force fi elds. In this work, as a fi rst step to extend CHARMMGUI Membrane Builder to incorporate LPS molecules and to explore their structures and dynamics in membrane environments using molecular dynamics simulations, we describe step-by-step procedures to build LPS bilayer systems using CHARMM and the recently developed CHARMM carbohydrate and lipid force fi elds. Such procedures are illustrated by building various bilayers of Escherichia coli R1.O6 LPS and the presentation of preliminary simulation results in terms of per-LPS area and density distributions of various components along the membrane normal.","author":[{"dropping-particle":"","family":"Jo","given":"Sunhwan","non-dropping-particle":"","parse-names":false,"suffix":""},{"dropping-particle":"","family":"Wu","given":"Emilia L.","non-dropping-particle":"","parse-names":false,"suffix":""},{"dropping-particle":"","family":"Stuhlsatz","given":"Danielle","non-dropping-particle":"","parse-names":false,"suffix":""},{"dropping-particle":"","family":"Klauda","given":"Jeffery B.","non-dropping-particle":"","parse-names":false,"suffix":""},{"dropping-particle":"","family":"Mackerell","given":"Alexander D.","non-dropping-particle":"","parse-names":false,"suffix":""},{"dropping-particle":"","family":"Widmalm","given":"Göran","non-dropping-particle":"","parse-names":false,"suffix":""},{"dropping-particle":"","family":"Im","given":"Wonpil","non-dropping-particle":"","parse-names":false,"suffix":""}],"container-title":"Methods in Molecular Biology","id":"ITEM-4","issued":{"date-parts":[["2015"]]},"page":"391-406","publisher":"Humana Press Inc.","title":"Lipopolysaccharide membrane building and simulation","type":"article-journal","volume":"1273"},"uris":["http://www.mendeley.com/documents/?uuid=38d777e3-e4fc-3840-a68d-b6c104d604cc"]},{"id":"ITEM-5","itemData":{"DOI":"10.1021/acs.accounts.8b00377","ISSN":"15204898","PMID":"30562009","abstract":"ConspectusBacterial membranes, and those of Gram-negative bacteria in particular, are some of the most biochemically diverse membranes known. They incorporate a wide range of lipid types and proteins of varying sizes, architectures, and functions. While simpler biological membranes have been the focus of myriad simulation studies over the years that have yielded invaluable details to complement, and often to direct, ongoing experimental studies, simulations of complex bacterial membranes have been slower to emerge. However, the past few years have seen tremendous activity in this area, leading to advances such as the development of atomistic and coarse-grain models of the lipopolysaccharide (LPS) component of the outer membrane that are compatible with widely used simulation codes.In this Account, we review our contributions to the field of molecular simulations of the bacterial cell envelope, including the development of models of both membranes and the cell wall of Gram-negative bacteria, with a predominant focus on E. coli. At the atomistic level, simulations of chemically accurate models of both membranes have revealed the tightly cross-linked nature of the LPS headgroups and have shown that penetration of solutes through these regions is not as straightforward as the route through phospholipids. The energetic differences between the two routes have been calculated. Simulations of native outer membrane proteins in LPS-containing membranes have shown that the conformational dynamics of the proteins is not only slower in LPS but also different compared to in simpler models of phospholipid bilayers. These chemically more complex and consequently biologically more relevant models are leading to details of conformational dynamics that were previously inaccessible from simulations.Coarse-grain models have enabled simulations of multiprotein systems on time scales of microseconds, leading to insights not only into the rates of protein and lipid diffusion but also into the trends in their respective directions of flow. We find that the motions of LPS molecules are highly correlated with each other but also with outer membrane proteins embedded within the membrane. We have shown that the two leaflets of the outer membrane exhibit communication, whereby regions of low disorder in one leaflet correspond to regions of high disorder in the other.The cell wall remains a comparatively neglected component, although models of the E. coli peptidoglycan are now emergi…","author":[{"dropping-particle":"","family":"Khalid","given":"Syma","non-dropping-particle":"","parse-names":false,"suffix":""},{"dropping-particle":"","family":"Piggot","given":"Thomas J.","non-dropping-particle":"","parse-names":false,"suffix":""},{"dropping-particle":"","family":"Samsudin","given":"Firdaus","non-dropping-particle":"","parse-names":false,"suffix":""}],"container-title":"Accounts of Chemical Research","id":"ITEM-5","issue":"1","issued":{"date-parts":[["2019","1","15"]]},"page":"180-188","publisher":"American Chemical Society","title":"Atomistic and Coarse Grain Simulations of the Cell Envelope of Gram-Negative Bacteria: What Have We Learned?","type":"article-journal","volume":"52"},"uris":["http://www.mendeley.com/documents/?uuid=ca10f3f5-8b2b-30ae-940f-5a3a930b2fca"]},{"id":"ITEM-6","itemData":{"DOI":"10.1021/acs.jpcb.8b12168","ISSN":"15205207","PMID":"30971088","abstract":"Lipopolysaccharide (LPS) is an important component of the outer membrane of Gram-negative bacteria, contributing to the structural integrity of the bacterial cell wall and conferring resistance to chemical attack. The rough variant of LPS contains a conserved lipid A domain and a complete core saccharide section, whereas the smooth variant additionally contains a terminal O-antigen chain. In the following, smooth LPS lipids are simulated in multicomponent membrane models using coarse-grained molecular dynamics. The simulations reveal that the lipid environment of smooth LPS lipids affects the orientation and clustering of their O-antigen chains. When the outer membrane leaflets contain smooth LPS lipids alone, the O-antigen chains are packed tightly, leading to strong cohesive intermolecular interactions. When the outer leaflets incorporate interstitial phospholipids and rough LPS variants, the O-antigen chains are tilted and less tightly bound. The different packing of terminal O-antigen chains affects lipid mobility and the mechanical strength of the Gram-negative membrane models. Gram-negative membranes with outer leaflets of smooth LPS alone can withstand surface tensions (150 mN m -1 ) that cause the membrane models with rough LPS lipids and comparable phospholipid bilayers to rupture much more readily.","author":[{"dropping-particle":"","family":"Jefferies","given":"Damien","non-dropping-particle":"","parse-names":false,"suffix":""},{"dropping-particle":"","family":"Shearer","given":"Jonathan","non-dropping-particle":"","parse-names":false,"suffix":""},{"dropping-particle":"","family":"Khalid","given":"Syma","non-dropping-particle":"","parse-names":false,"suffix":""}],"container-title":"Journal of Physical Chemistry B","id":"ITEM-6","issue":"17","issued":{"date-parts":[["2019","5","2"]]},"page":"3567-3575","publisher":"American Chemical Society","title":"Role of O-Antigen in Response to Mechanical Stress of the E. coli Outer Membrane: Insights from Coarse-Grained MD Simulations","type":"article-journal","volume":"123"},"uris":["http://www.mendeley.com/documents/?uuid=b2ccda5a-8257-3b17-881b-3aaca0bfa7b9"]},{"id":"ITEM-7","itemData":{"DOI":"10.1021/acs.jpcb.5b07122","ISSN":"15205207","PMID":"26374325","abstract":"The cell envelope of Gram-negative bacteria contains a lipopolysaccharide (LPS) rich outer membrane that acts as the first line of defense for bacterial cells in adverse physical and chemical environments. The LPS macromolecule has a negatively charged oligosaccharide domain that acts as an ionic brush, limiting the permeability of charged chemical agents through the membrane. Besides the LPS, the outer membrane has radially extending O-antigen polysaccharide chains and β-barrel membrane proteins that make the bacterial membrane physiologically unique compared to phospholipid cell membranes. Elucidating the interplay of these contributing macromolecular components and their role in the integrity of the bacterial outer membrane remains a challenge. To bridge the gap in our current understanding of the Gram-negative bacterial membrane, we have developed a coarse grained force field for outer membrane that is computationally affordable for simulating dynamical process over physiologically relevant time scales. The force field was benchmarked against available experimental and atomistic simulations data for properties such as membrane thickness, density profiles of the residues, area per lipid, gel to liquid-crystalline phase transition temperatures, and order parameters. More than 17 membrane compositions were studied with a combined simulation time of over 100 μs. A comparison of simulated structural and dynamical properties with corresponding experimental data shows that the developed force field reproduces the overall physiology of LPS rich membranes. The affordability of the developed model for long time scale simulations can be instrumental in determining the mechanistic aspects of the antimicrobial action of chemical agents as well as assist in designing antimicrobial peptides with enhanced outer membrane permeation properties.","author":[{"dropping-particle":"","family":"Ma","given":"Huilin","non-dropping-particle":"","parse-names":false,"suffix":""},{"dropping-particle":"","family":"Irudayanathan","given":"Flaviyan Jerome","non-dropping-particle":"","parse-names":false,"suffix":""},{"dropping-particle":"","family":"Jiang","given":"Wenjuan","non-dropping-particle":"","parse-names":false,"suffix":""},{"dropping-particle":"","family":"Nangia","given":"Shikha","non-dropping-particle":"","parse-names":false,"suffix":""}],"container-title":"Journal of Physical Chemistry B","id":"ITEM-7","issue":"46","issued":{"date-parts":[["2015","11","19"]]},"page":"14668-14682","publisher":"American Chemical Society","title":"Simulating Gram-Negative Bacterial Outer Membrane: A Coarse Grain Model","type":"article-journal","volume":"119"},"uris":["http://www.mendeley.com/documents/?uuid=f04cc46a-6f04-3790-bbe2-a1b9cc5ced8f"]},{"id":"ITEM-8","itemData":{"DOI":"10.1016/j.jmgm.2015.12.002","ISSN":"18734243","PMID":"26724453","abstract":"We report a course-grained, large scale simulation of the outer membrane from Pseudomonas aeruginosa. Using the MARTINI force field approach of 4-to-1 atom mapping, we simulate an asymmetrically constructed bilayer with over 1100 rough lipopolysaccharide (LPS) and 3100 16:0-18:1-phosphatidylethanolamine. We achieve 90-fold improvement in computational efficiency on a system much larger than reasonable for all-atom simulation. We also compare a coarse-grained LPS/LPS bilayer simulation with known parameters determined from neutron diffraction.","author":[{"dropping-particle":"","family":"Oosten","given":"Brad","non-dropping-particle":"Van","parse-names":false,"suffix":""},{"dropping-particle":"","family":"Harroun","given":"Thad A.","non-dropping-particle":"","parse-names":false,"suffix":""}],"container-title":"Journal of Molecular Graphics and Modelling","id":"ITEM-8","issued":{"date-parts":[["2016","1","1"]]},"page":"125-133","publisher":"Elsevier Inc.","title":"A MARTINI extension for Pseudomonas aeruginosa PAO1 lipopolysaccharide","type":"article-journal","volume":"63"},"uris":["http://www.mendeley.com/documents/?uuid=9e8f74e9-5eb4-3809-a878-9de70333937a"]}],"mendeley":{"formattedCitation":"&lt;sup&gt;302–309&lt;/sup&gt;","plainTextFormattedCitation":"302–309","previouslyFormattedCitation":"&lt;sup&gt;302–309&lt;/sup&gt;"},"properties":{"noteIndex":0},"schema":"https://github.com/citation-style-language/schema/raw/master/csl-citation.json"}</w:instrText>
      </w:r>
      <w:r w:rsidR="00C97B9E">
        <w:fldChar w:fldCharType="separate"/>
      </w:r>
      <w:r w:rsidR="00C44087" w:rsidRPr="00C44087">
        <w:rPr>
          <w:noProof/>
          <w:vertAlign w:val="superscript"/>
        </w:rPr>
        <w:t>302–309</w:t>
      </w:r>
      <w:r w:rsidR="00C97B9E">
        <w:fldChar w:fldCharType="end"/>
      </w:r>
      <w:r>
        <w:t xml:space="preserve">. </w:t>
      </w:r>
      <w:r w:rsidR="00D6767C">
        <w:t xml:space="preserve">We have collected membranes discussed in this review in table </w:t>
      </w:r>
      <w:r w:rsidR="00686AFA">
        <w:t>8</w:t>
      </w:r>
      <w:r w:rsidR="00D6767C">
        <w:t xml:space="preserve">. </w:t>
      </w:r>
      <w:r>
        <w:t>MD simulations of these membranes provide useful insights into the action mechanisms of certain AMPs. Li et al. used a four-component model membrane (POPC:POPE:POPS:ergosterol) to mimic the fungal membrane, and found that a branched peptide tetramer B4010 can preferentially interact with the anionic lipid POPS</w:t>
      </w:r>
      <w:r w:rsidR="00C97B9E">
        <w:fldChar w:fldCharType="begin" w:fldLock="1"/>
      </w:r>
      <w:r w:rsidR="00C44087">
        <w:instrText>ADDIN CSL_CITATION {"citationItems":[{"id":"ITEM-1","itemData":{"DOI":"10.1371/journal.pone.0087730","ISSN":"1932-6203","abstract":"Taking advantage of the cluster effect observed in multivalent peptides, this work describes antifungal activity and possible mechanism of action of tetravalent peptide (B4010) which carries 4 copies of the sequence RGRKVVRR through a branched lysine core. B4010 displayed better antifungal properties than natamycin and amphotericin B. The peptide retained significant activity in the presence of monovalent/divalent cations, trypsin and serum and tear fluid. Moreover, B4010 is non-haemolytic and non-toxic to mice by intraperitoneal (200 mg/kg) or intravenous (100 mg/kg) routes. S. cerevisiae mutant strains with altered membrane sterol structures and composition showed hyper senstivity to B4010. The peptide had no affinity for cell wall polysaccharides and caused rapid dissipation of membrane potential and release of vital ions and ATP when treated with C. albicans. We demonstrate that additives which alter the membrane potential or membrane rigidity protect C. albicans from B4010-induced lethality. Calcein release assay and molecular dynamics simulations showed that the peptide preferentially binds to mixed bilayer containing ergosterol over phophotidylcholine-cholesterol bilayers. The studies further suggested that the first arginine is important for mediating peptide-bilayer interactions. Replacing the first arginine led to a 2-4 fold decrease in antifungal activities and reduced membrane disruption properties. The combined in silico and in vitro approach should facilitate rational design of new tetravalent antifungal peptides. © 2014 Lakshminarayanan et al.","author":[{"dropping-particle":"","family":"Lakshminarayanan","given":"Rajamani","non-dropping-particle":"","parse-names":false,"suffix":""},{"dropping-particle":"","family":"Liu","given":"Shouping","non-dropping-particle":"","parse-names":false,"suffix":""},{"dropping-particle":"","family":"Li","given":"Jianguo","non-dropping-particle":"","parse-names":false,"suffix":""},{"dropping-particle":"","family":"Nandhakumar","given":"Muruganantham","non-dropping-particle":"","parse-names":false,"suffix":""},{"dropping-particle":"","family":"Aung","given":"Thet Tun","non-dropping-particle":"","parse-names":false,"suffix":""},{"dropping-particle":"","family":"Goh","given":"Eunice","non-dropping-particle":"","parse-names":false,"suffix":""},{"dropping-particle":"","family":"Chang","given":"Jamie Ya Ting","non-dropping-particle":"","parse-names":false,"suffix":""},{"dropping-particle":"","family":"Saraswathi","given":"Padhmanaban","non-dropping-particle":"","parse-names":false,"suffix":""},{"dropping-particle":"","family":"Tang","given":"Charles","non-dropping-particle":"","parse-names":false,"suffix":""},{"dropping-particle":"","family":"Safie","given":"Siti Radiah Binte","non-dropping-particle":"","parse-names":false,"suffix":""},{"dropping-particle":"","family":"Lin","given":"Lim Yih","non-dropping-particle":"","parse-names":false,"suffix":""},{"dropping-particle":"","family":"Riezman","given":"Howard","non-dropping-particle":"","parse-names":false,"suffix":""},{"dropping-particle":"","family":"Lei","given":"Zhou","non-dropping-particle":"","parse-names":false,"suffix":""},{"dropping-particle":"","family":"Verma","given":"Chandra S.","non-dropping-particle":"","parse-names":false,"suffix":""},{"dropping-particle":"","family":"Beuerman","given":"Roger W.","non-dropping-particle":"","parse-names":false,"suffix":""}],"container-title":"PLoS ONE","editor":[{"dropping-particle":"","family":"Khan","given":"Rizwan H.","non-dropping-particle":"","parse-names":false,"suffix":""}],"id":"ITEM-1","issue":"2","issued":{"date-parts":[["2014","2","3"]]},"page":"e87730","publisher":"Public Library of Science","title":"Synthetic Multivalent Antifungal Peptides Effective against Fungi","type":"article-journal","volume":"9"},"uris":["http://www.mendeley.com/documents/?uuid=bb7b1b87-3027-3bce-b267-f2bb924a47e3"]}],"mendeley":{"formattedCitation":"&lt;sup&gt;302&lt;/sup&gt;","plainTextFormattedCitation":"302","previouslyFormattedCitation":"&lt;sup&gt;302&lt;/sup&gt;"},"properties":{"noteIndex":0},"schema":"https://github.com/citation-style-language/schema/raw/master/csl-citation.json"}</w:instrText>
      </w:r>
      <w:r w:rsidR="00C97B9E">
        <w:fldChar w:fldCharType="separate"/>
      </w:r>
      <w:r w:rsidR="00C44087" w:rsidRPr="00C44087">
        <w:rPr>
          <w:noProof/>
          <w:vertAlign w:val="superscript"/>
        </w:rPr>
        <w:t>302</w:t>
      </w:r>
      <w:r w:rsidR="00C97B9E">
        <w:fldChar w:fldCharType="end"/>
      </w:r>
      <w:r>
        <w:t>. Subsequently, the same group studied the mode of interaction of a branched AMP dimer B2088 with the lipid A membrane, and observed substantial calcium release from the membrane surface and significant membrane deformation</w:t>
      </w:r>
      <w:r w:rsidR="00C97B9E">
        <w:fldChar w:fldCharType="begin" w:fldLock="1"/>
      </w:r>
      <w:r w:rsidR="00C44087">
        <w:instrText>ADDIN CSL_CITATION {"citationItems":[{"id":"ITEM-1","itemData":{"DOI":"10.1038/srep25905","ISSN":"20452322","PMID":"27174567","abstract":"Dissecting the complexities of branched peptide-lipopolysaccharides (LPS) interactions provide rationale for the development of non-cytotoxic antibiotic adjuvants. Using various biophysical methods, we show that the branched peptide, B2088, binds to lipid A and disrupts the supramolecular organization of LPS. The disruption of outer membrane in an intact bacterium was demonstrated by fluorescence spectroscopy and checkerboard assays, the latter confirming strong to moderate synergism between B2088 and various classes of antibiotics. The potency of synergistic combinations of B2088 and antibiotics was further established by time-kill kinetics, mammalian cell culture infections model and in vivo model of bacterial keratitis. Importantly, B2088 did not show any cytotoxicity to corneal epithelial cells for at least 96 h continuous exposure or hemolytic activity even at 20 mg/ml. Peptide congeners containing norvaline, phenylalanine and tyrosine (instead of valine in B2088) displayed better synergism compared to other substitutions. We propose that high affinity and subsequent disruption of the supramolecular assembly of LPS by the branched peptides are vital for the development of non-cytotoxic antibiotic adjuvants that can enhance the accessibility of conventional antibiotics to the intracellular targets, decrease the antibiotic consumption and holds promise in averting antibiotic resistance.","author":[{"dropping-particle":"","family":"Lakshminarayanan","given":"Rajamani","non-dropping-particle":"","parse-names":false,"suffix":""},{"dropping-particle":"","family":"Tan","given":"Wei Xiang","non-dropping-particle":"","parse-names":false,"suffix":""},{"dropping-particle":"","family":"Aung","given":"Thet Tun","non-dropping-particle":"","parse-names":false,"suffix":""},{"dropping-particle":"","family":"Goh","given":"Eunice Tze Leng","non-dropping-particle":"","parse-names":false,"suffix":""},{"dropping-particle":"","family":"Muruganantham","given":"Nandhakumar","non-dropping-particle":"","parse-names":false,"suffix":""},{"dropping-particle":"","family":"Li","given":"Jianguo","non-dropping-particle":"","parse-names":false,"suffix":""},{"dropping-particle":"","family":"Chang","given":"Jamie Ya Ting","non-dropping-particle":"","parse-names":false,"suffix":""},{"dropping-particle":"","family":"Dikshit","given":"Neha","non-dropping-particle":"","parse-names":false,"suffix":""},{"dropping-particle":"","family":"Saraswathi","given":"Padmanabhan","non-dropping-particle":"","parse-names":false,"suffix":""},{"dropping-particle":"","family":"Lim","given":"Rayne Rui","non-dropping-particle":"","parse-names":false,"suffix":""},{"dropping-particle":"","family":"Kang","given":"Tse Siang","non-dropping-particle":"","parse-names":false,"suffix":""},{"dropping-particle":"","family":"Balamuralidhar","given":"Vanniarajan","non-dropping-particle":"","parse-names":false,"suffix":""},{"dropping-particle":"","family":"Sukumaran","given":"Bindu","non-dropping-particle":"","parse-names":false,"suffix":""},{"dropping-particle":"","family":"Verma","given":"Chandra S.","non-dropping-particle":"","parse-names":false,"suffix":""},{"dropping-particle":"","family":"Sivaraman","given":"Jayaraman","non-dropping-particle":"","parse-names":false,"suffix":""},{"dropping-particle":"","family":"Chaurasia","given":"Shyam Sunder","non-dropping-particle":"","parse-names":false,"suffix":""},{"dropping-particle":"","family":"Liu","given":"Shouping","non-dropping-particle":"","parse-names":false,"suffix":""},{"dropping-particle":"","family":"Beuerman","given":"Roger W.","non-dropping-particle":"","parse-names":false,"suffix":""}],"container-title":"Scientific Reports","id":"ITEM-1","issue":"1","issued":{"date-parts":[["2016","5","13"]]},"page":"1-17","publisher":"Nature Publishing Group","title":"Branched peptide, B2088, disrupts the supramolecular organization of lipopolysaccharides and sensitizes the gram-negative bacteria","type":"article-journal","volume":"6"},"uris":["http://www.mendeley.com/documents/?uuid=affdd954-83ba-3ba4-9780-e08cbab86ee1"]}],"mendeley":{"formattedCitation":"&lt;sup&gt;310&lt;/sup&gt;","plainTextFormattedCitation":"310","previouslyFormattedCitation":"&lt;sup&gt;310&lt;/sup&gt;"},"properties":{"noteIndex":0},"schema":"https://github.com/citation-style-language/schema/raw/master/csl-citation.json"}</w:instrText>
      </w:r>
      <w:r w:rsidR="00C97B9E">
        <w:fldChar w:fldCharType="separate"/>
      </w:r>
      <w:r w:rsidR="00C44087" w:rsidRPr="00C44087">
        <w:rPr>
          <w:noProof/>
          <w:vertAlign w:val="superscript"/>
        </w:rPr>
        <w:t>310</w:t>
      </w:r>
      <w:r w:rsidR="00C97B9E">
        <w:fldChar w:fldCharType="end"/>
      </w:r>
      <w:r>
        <w:t>. Similar membrane effects were also observed in the simulations of polymyxin B with the lipid A membrane</w:t>
      </w:r>
      <w:r w:rsidR="00C97B9E">
        <w:fldChar w:fldCharType="begin" w:fldLock="1"/>
      </w:r>
      <w:r w:rsidR="00C44087">
        <w:instrText>ADDIN CSL_CITATION {"citationItems":[{"id":"ITEM-1","itemData":{"DOI":"10.1021/acs.jcim.7b00271","ISSN":"15205142","PMID":"28805387","abstract":"Lipid-A is the causative agent of Gram-negative sepsis and is responsible for an increasingly high mortality rate among hospitalized patients. Compounds that bind Lipid-A can limit this inflammatory process. The cationic antimicrobial peptide polymyxin B (Pmx-B) is one of the simplest molecules capable of selectively binding to Lipid-A and may serve as a model for further development of Lipid-A binding agents. Gram-negative bacteria resistance to Pmx-B relies on the upregulation of a number of regulatory systems, which promote chemical modifications of the lipopolysaccharide (LPS) structure and leads to major changes in the physical-chemical properties of the outer membrane. A detailed understanding of how the chemical structure of the LPS modulates macroscopic properties of the outer membrane is paramount for the design and optimization of novel drugs targeting clinically relevant strains. We have performed a systematic investigation of Pmx-B binding to outer membrane models composed of distinct LPS chemotypes experimentally shown to be either resistant or susceptible to the peptide. Molecular dynamics simulations were carried out for Pmx-B bound to the penta- and hexa-acylated forms of Lipid-A (more susceptible) and Lipid-A modified with 4-amino-4-deoxy-l-arabinose (resistant) as well as the penta-acylated form of LPS Re (less susceptible). The present simulations show that upon binding to the bacterial outer membrane surface, Pmx-B promotes cation displacement and structural changes in membrane curvature and integrity as a function of the LPS chemotype susceptibility or resistance to the antimicrobial peptide.","author":[{"dropping-particle":"","family":"Santos","given":"Denys E.S.","non-dropping-particle":"","parse-names":false,"suffix":""},{"dropping-particle":"","family":"Pol-Fachin","given":"Laércio","non-dropping-particle":"","parse-names":false,"suffix":""},{"dropping-particle":"","family":"Lins","given":"Roberto D.","non-dropping-particle":"","parse-names":false,"suffix":""},{"dropping-particle":"","family":"Soares","given":"Thereza A.","non-dropping-particle":"","parse-names":false,"suffix":""}],"container-title":"Journal of Chemical Information and Modeling","id":"ITEM-1","issue":"9","issued":{"date-parts":[["2017","9","25"]]},"page":"2181-2193","publisher":"American Chemical Society","title":"Polymyxin Binding to the Bacterial Outer Membrane Reveals Cation Displacement and Increasing Membrane Curvature in Susceptible but Not in Resistant Lipopolysaccharide Chemotypes","type":"article-journal","volume":"57"},"uris":["http://www.mendeley.com/documents/?uuid=a9004f4d-7c8f-3674-87fa-5055586f5699"]}],"mendeley":{"formattedCitation":"&lt;sup&gt;311&lt;/sup&gt;","plainTextFormattedCitation":"311","previouslyFormattedCitation":"&lt;sup&gt;311&lt;/sup&gt;"},"properties":{"noteIndex":0},"schema":"https://github.com/citation-style-language/schema/raw/master/csl-citation.json"}</w:instrText>
      </w:r>
      <w:r w:rsidR="00C97B9E">
        <w:fldChar w:fldCharType="separate"/>
      </w:r>
      <w:r w:rsidR="00C44087" w:rsidRPr="00C44087">
        <w:rPr>
          <w:noProof/>
          <w:vertAlign w:val="superscript"/>
        </w:rPr>
        <w:t>311</w:t>
      </w:r>
      <w:r w:rsidR="00C97B9E">
        <w:fldChar w:fldCharType="end"/>
      </w:r>
      <w:r>
        <w:t>. Development of various types of model membranes greatly advances the computational understanding of the effect of AMPs on these membranes using MD simulations, such as the work done in the Khalid group which encompasses atomistic studies of bacterial membranes</w:t>
      </w:r>
      <w:r w:rsidR="00C97B9E">
        <w:fldChar w:fldCharType="begin" w:fldLock="1"/>
      </w:r>
      <w:r w:rsidR="00576689">
        <w:instrText>ADDIN CSL_CITATION {"citationItems":[{"id":"ITEM-1","itemData":{"DOI":"10.1021/jp207013v","ISSN":"15205207","abstract":"Bacterial membranes are complex organelles composed of a variety of lipid types. The differences in their composition are a key factor in determining their relative permeabilities. The success of antibacterial agents depends upon their interaction with bacterial membranes, yet little is known about the molecular-level interactions within membranes of different bacterial species. To address this, we have performed molecular dynamics simulations of two bacterial membranes: the outer membrane of E. coli and the cell membrane of S. aureus. We have retained the chemical complexity of the membranes by considering the details of their lipidic components. We identify the extended network of lipid-lipid interactions that stabilize the membranes. Our simulations of electroporation show that the S. aureus cell membrane is less resistant to poration than the E. coli outer membrane. The mechanisms of poration for the two membranes have subtle differences; for the E. coli outer membrane, relative differences in mobilities of the lipids of both leaflets are key in the process of poration. © 2011 American Chemical Society.","author":[{"dropping-particle":"","family":"Piggot","given":"Thomas J.","non-dropping-particle":"","parse-names":false,"suffix":""},{"dropping-particle":"","family":"Holdbrook","given":"Daniel A.","non-dropping-particle":"","parse-names":false,"suffix":""},{"dropping-particle":"","family":"Khalid","given":"Syma","non-dropping-particle":"","parse-names":false,"suffix":""}],"container-title":"Journal of Physical Chemistry B","id":"ITEM-1","issue":"45","issued":{"date-parts":[["2011","11","17"]]},"page":"13381-13388","publisher":"American Chemical Society","title":"Electroporation of the E. coli and S. aureus membranes: Molecular dynamics simulations of complex bacterial membranes","type":"article-journal","volume":"115"},"uris":["http://www.mendeley.com/documents/?uuid=7a7831a7-2de7-3eaa-99f2-fc558bf270fe"]}],"mendeley":{"formattedCitation":"&lt;sup&gt;242&lt;/sup&gt;","plainTextFormattedCitation":"242","previouslyFormattedCitation":"&lt;sup&gt;242&lt;/sup&gt;"},"properties":{"noteIndex":0},"schema":"https://github.com/citation-style-language/schema/raw/master/csl-citation.json"}</w:instrText>
      </w:r>
      <w:r w:rsidR="00C97B9E">
        <w:fldChar w:fldCharType="separate"/>
      </w:r>
      <w:r w:rsidR="00A313B9" w:rsidRPr="00A313B9">
        <w:rPr>
          <w:noProof/>
          <w:vertAlign w:val="superscript"/>
        </w:rPr>
        <w:t>242</w:t>
      </w:r>
      <w:r w:rsidR="00C97B9E">
        <w:fldChar w:fldCharType="end"/>
      </w:r>
      <w:r>
        <w:t>, CG studies</w:t>
      </w:r>
      <w:r w:rsidR="00C97B9E">
        <w:fldChar w:fldCharType="begin" w:fldLock="1"/>
      </w:r>
      <w:r w:rsidR="00C44087">
        <w:instrText>ADDIN CSL_CITATION {"citationItems":[{"id":"ITEM-1","itemData":{"DOI":"10.1016/j.jsb.2006.10.004","ISSN":"10478477","PMID":"17116404","abstract":"Molecular dynamics (MD) simulations provide a valuable approach to the dynamics, structure, and stability of membrane-protein systems. Coarse-grained (CG) models, in which small groups of atoms are treated as single particles, enable extended (&gt;100 ns) timescales to be addressed. In this study, we explore how CG-MD methods that have been developed for detergents and lipids may be extended to membrane proteins. In particular, CG-MD simulations of a number of membrane peptides and proteins are used to characterize their interactions with lipid bilayers. CG-MD is used to simulate the insertion of synthetic model membrane peptides (WALPs and LS3) into a lipid (PC) bilayer. WALP peptides insert in a transmembrane orientation, whilst the LS3 peptide adopts an interfacial location, both in agreement with experimental biophysical data. This approach is extended to a transmembrane fragment of the Vpu protein from HIV-1, and to the coat protein from fd phage. Again, simulated protein/membrane interactions are in good agreement with solid state NMR data for these proteins. CG-MD has also been applied to an M3-M4 fragment from the CFTR protein. Simulations of CFTR M3-M4 in a detergent micelle reveal formation of an α-helical hairpin, consistent with a variety of biophysical data. In an I231D mutant, the M3-M4 hairpin is additionally stabilized via an inter-helix Q207/D231 interaction. Finally, CG-MD simulations are extended to a more complex membrane protein, the bacterial sugar transporter LacY. Comparison of a 200 ns CG-MD simulation of LacY in a DPPC bilayer with a 50 ns atomistic simulation of the same protein in a DMPC bilayer shows that the two methods yield comparable predictions of lipid-protein interactions. Taken together, these results demonstrate the utility of CG-MD simulations for studies of membrane/protein interactions. © 2006 Elsevier Inc. All rights reserved.","author":[{"dropping-particle":"","family":"Bond","given":"Peter J.","non-dropping-particle":"","parse-names":false,"suffix":""},{"dropping-particle":"","family":"Holyoake","given":"John","non-dropping-particle":"","parse-names":false,"suffix":""},{"dropping-particle":"","family":"Ivetac","given":"Anthony","non-dropping-particle":"","parse-names":false,"suffix":""},{"dropping-particle":"","family":"Khalid","given":"Syma","non-dropping-particle":"","parse-names":false,"suffix":""},{"dropping-particle":"","family":"Sansom","given":"Mark S.P.","non-dropping-particle":"","parse-names":false,"suffix":""}],"container-title":"Journal of Structural Biology","id":"ITEM-1","issue":"3","issued":{"date-parts":[["2007","3","1"]]},"page":"593-605","publisher":"Academic Press","title":"Coarse-grained molecular dynamics simulations of membrane proteins and peptides","type":"article-journal","volume":"157"},"uris":["http://www.mendeley.com/documents/?uuid=5a7b046b-3232-3cd4-ab05-c9a25ac24529"]}],"mendeley":{"formattedCitation":"&lt;sup&gt;312&lt;/sup&gt;","plainTextFormattedCitation":"312","previouslyFormattedCitation":"&lt;sup&gt;312&lt;/sup&gt;"},"properties":{"noteIndex":0},"schema":"https://github.com/citation-style-language/schema/raw/master/csl-citation.json"}</w:instrText>
      </w:r>
      <w:r w:rsidR="00C97B9E">
        <w:fldChar w:fldCharType="separate"/>
      </w:r>
      <w:r w:rsidR="00C44087" w:rsidRPr="00C44087">
        <w:rPr>
          <w:noProof/>
          <w:vertAlign w:val="superscript"/>
        </w:rPr>
        <w:t>312</w:t>
      </w:r>
      <w:r w:rsidR="00C97B9E">
        <w:fldChar w:fldCharType="end"/>
      </w:r>
      <w:r>
        <w:t xml:space="preserve"> and updating existing force fields to more easily model membranes</w:t>
      </w:r>
      <w:r w:rsidR="00C97B9E">
        <w:fldChar w:fldCharType="begin" w:fldLock="1"/>
      </w:r>
      <w:r w:rsidR="00912FFE">
        <w:instrText>ADDIN CSL_CITATION {"citationItems":[{"id":"ITEM-1","itemData":{"DOI":"10.1002/jcc.24895","ISSN":"1096987X","PMID":"28776689","abstract":"A complex cell envelope, composed of a mixture of lipid types including lipopolysaccharides, protects bacteria from the external environment. Clearly, the proteins embedded within the various components of the cell envelope have an intricate relationship with their local environment. Therefore, to obtain meaningful results, molecular simulations need to mimic as far as possible this chemically heterogeneous system. However, setting up such systems for computational studies is far from trivial, and consequently the vast majority of simulations of outer membrane proteins still rely on oversimplified phospholipid membrane models. This work presents an update of CHARMM-GUI Martini Maker for coarse-grained modeling and simulation of complex bacterial membranes with lipopolysaccharides. The qualities of the outer membrane systems generated by Martini Maker are validated by simulating them in bilayer, vesicle, nanodisc, and micelle environments (with and without outer membrane proteins) using the Martini force field. We expect this new feature in Martini Maker to be a useful tool for modeling large, complicated bacterial outer membrane systems in a user-friendly manner.","author":[{"dropping-particle":"","family":"Hsu","given":"Pin Chia","non-dropping-particle":"","parse-names":false,"suffix":""},{"dropping-particle":"","family":"Bruininks","given":"Bart M.H.","non-dropping-particle":"","parse-names":false,"suffix":""},{"dropping-particle":"","family":"Jefferies","given":"Damien","non-dropping-particle":"","parse-names":false,"suffix":""},{"dropping-particle":"","family":"Cesar Telles de Souza","given":"Paulo","non-dropping-particle":"","parse-names":false,"suffix":""},{"dropping-particle":"","family":"Lee","given":"Jumin","non-dropping-particle":"","parse-names":false,"suffix":""},{"dropping-particle":"","family":"Patel","given":"Dhilon S.","non-dropping-particle":"","parse-names":false,"suffix":""},{"dropping-particle":"","family":"Marrink","given":"Siewert J.","non-dropping-particle":"","parse-names":false,"suffix":""},{"dropping-particle":"","family":"Qi","given":"Yifei","non-dropping-particle":"","parse-names":false,"suffix":""},{"dropping-particle":"","family":"Khalid","given":"Syma","non-dropping-particle":"","parse-names":false,"suffix":""},{"dropping-particle":"","family":"Im","given":"Wonpil","non-dropping-particle":"","parse-names":false,"suffix":""}],"container-title":"Journal of Computational Chemistry","id":"ITEM-1","issue":"27","issued":{"date-parts":[["2017","10","15"]]},"page":"2354-2363","publisher":"John Wiley and Sons Inc.","title":"CHARMM-GUI Martini Maker for modeling and simulation of complex bacterial membranes with lipopolysaccharides","type":"article-journal","volume":"38"},"uris":["http://www.mendeley.com/documents/?uuid=058ec616-eaec-344c-8806-1ab20c9a8346"]}],"mendeley":{"formattedCitation":"&lt;sup&gt;313&lt;/sup&gt;","plainTextFormattedCitation":"313","previouslyFormattedCitation":"&lt;sup&gt;313&lt;/sup&gt;"},"properties":{"noteIndex":0},"schema":"https://github.com/citation-style-language/schema/raw/master/csl-citation.json"}</w:instrText>
      </w:r>
      <w:r w:rsidR="00C97B9E">
        <w:fldChar w:fldCharType="separate"/>
      </w:r>
      <w:r w:rsidR="00C44087" w:rsidRPr="00C44087">
        <w:rPr>
          <w:noProof/>
          <w:vertAlign w:val="superscript"/>
        </w:rPr>
        <w:t>313</w:t>
      </w:r>
      <w:r w:rsidR="00C97B9E">
        <w:fldChar w:fldCharType="end"/>
      </w:r>
      <w:r>
        <w:t>.</w:t>
      </w:r>
    </w:p>
    <w:p w14:paraId="6E991A9C" w14:textId="77777777" w:rsidR="001529CF" w:rsidRDefault="001529CF">
      <w:pPr>
        <w:pStyle w:val="LO-normal"/>
        <w:rPr>
          <w:b/>
        </w:rPr>
      </w:pPr>
    </w:p>
    <w:p w14:paraId="69FAE140" w14:textId="3D080B20" w:rsidR="00D6767C" w:rsidRPr="00D53A98" w:rsidRDefault="00D6767C" w:rsidP="00D53A98">
      <w:pPr>
        <w:pStyle w:val="LO-normal"/>
        <w:jc w:val="both"/>
      </w:pPr>
      <w:r>
        <w:t xml:space="preserve">Table </w:t>
      </w:r>
      <w:r w:rsidR="00686AFA">
        <w:t>8</w:t>
      </w:r>
      <w:r>
        <w:t>: Lipid compositions used in the simulation papers discussed throughout this review and the membranes they represent. POPE: 1-Palmitoyl-2-oleoyl-sn-glycero-3-phosphoethanolamine; POPG: 1-Palmitoyl-2-oleoyl-sn-glycero-3-phospho-(1’-rac-glycerol); SDS: Sodium dodecyl sulfate; POPC: 1-</w:t>
      </w:r>
      <w:r w:rsidRPr="00354B43">
        <w:t>Palmitoyl-2-oleoyl-sn-glycero-3-</w:t>
      </w:r>
      <w:r w:rsidRPr="00440556">
        <w:t xml:space="preserve">phosphocholine; POPS: 1-Palmitoyl-2-oleoyl-sn-glycero-3-phospho-L-serine; POPI: </w:t>
      </w:r>
      <w:r w:rsidRPr="00D53A98">
        <w:rPr>
          <w:color w:val="3C4043"/>
          <w:spacing w:val="2"/>
          <w:shd w:val="clear" w:color="auto" w:fill="FFFFFF"/>
        </w:rPr>
        <w:t>1-</w:t>
      </w:r>
      <w:r w:rsidR="00354B43" w:rsidRPr="00D53A98">
        <w:rPr>
          <w:color w:val="3C4043"/>
          <w:spacing w:val="2"/>
          <w:shd w:val="clear" w:color="auto" w:fill="FFFFFF"/>
        </w:rPr>
        <w:t>P</w:t>
      </w:r>
      <w:r w:rsidRPr="00D53A98">
        <w:rPr>
          <w:color w:val="3C4043"/>
          <w:spacing w:val="2"/>
          <w:shd w:val="clear" w:color="auto" w:fill="FFFFFF"/>
        </w:rPr>
        <w:t>almitoyl-2-oleoyl-sn-glycero-3-phosphoinositol;</w:t>
      </w:r>
      <w:r w:rsidRPr="00354B43">
        <w:t xml:space="preserve"> DMPC: </w:t>
      </w:r>
      <w:r w:rsidRPr="00440556">
        <w:t>1,2-</w:t>
      </w:r>
      <w:r w:rsidR="00354B43" w:rsidRPr="00440556">
        <w:t>D</w:t>
      </w:r>
      <w:r w:rsidRPr="00440556">
        <w:t xml:space="preserve">imyristoylphosphatidylcholine; DMPG: </w:t>
      </w:r>
      <w:r w:rsidRPr="00D53A98">
        <w:rPr>
          <w:color w:val="3C4043"/>
          <w:spacing w:val="2"/>
          <w:shd w:val="clear" w:color="auto" w:fill="FFFFFF"/>
        </w:rPr>
        <w:t>1,2-</w:t>
      </w:r>
      <w:r w:rsidR="00354B43" w:rsidRPr="00D53A98">
        <w:rPr>
          <w:color w:val="3C4043"/>
          <w:spacing w:val="2"/>
          <w:shd w:val="clear" w:color="auto" w:fill="FFFFFF"/>
        </w:rPr>
        <w:t>D</w:t>
      </w:r>
      <w:r w:rsidRPr="00D53A98">
        <w:rPr>
          <w:color w:val="3C4043"/>
          <w:spacing w:val="2"/>
          <w:shd w:val="clear" w:color="auto" w:fill="FFFFFF"/>
        </w:rPr>
        <w:t>imyristoyl-sn-glycero-3-phospho-(1'-rac-glycerol).</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80" w:type="dxa"/>
          <w:bottom w:w="100" w:type="dxa"/>
          <w:right w:w="100" w:type="dxa"/>
        </w:tblCellMar>
        <w:tblLook w:val="04A0" w:firstRow="1" w:lastRow="0" w:firstColumn="1" w:lastColumn="0" w:noHBand="0" w:noVBand="1"/>
      </w:tblPr>
      <w:tblGrid>
        <w:gridCol w:w="3120"/>
        <w:gridCol w:w="4732"/>
        <w:gridCol w:w="1508"/>
      </w:tblGrid>
      <w:tr w:rsidR="00D21F7F" w14:paraId="533779E1" w14:textId="77777777">
        <w:tc>
          <w:tcPr>
            <w:tcW w:w="3120" w:type="dxa"/>
            <w:tcBorders>
              <w:top w:val="single" w:sz="8" w:space="0" w:color="000000"/>
              <w:left w:val="single" w:sz="8" w:space="0" w:color="000000"/>
              <w:bottom w:val="single" w:sz="8" w:space="0" w:color="000000"/>
              <w:right w:val="single" w:sz="8" w:space="0" w:color="000000"/>
            </w:tcBorders>
            <w:shd w:val="clear" w:color="auto" w:fill="auto"/>
          </w:tcPr>
          <w:p w14:paraId="029ED041" w14:textId="77777777" w:rsidR="001529CF" w:rsidRDefault="00492337">
            <w:pPr>
              <w:pStyle w:val="LO-normal"/>
              <w:widowControl w:val="0"/>
              <w:spacing w:line="240" w:lineRule="auto"/>
              <w:rPr>
                <w:b/>
              </w:rPr>
            </w:pPr>
            <w:r>
              <w:rPr>
                <w:b/>
              </w:rPr>
              <w:t>Lipid composition</w:t>
            </w:r>
          </w:p>
        </w:tc>
        <w:tc>
          <w:tcPr>
            <w:tcW w:w="4732" w:type="dxa"/>
            <w:tcBorders>
              <w:top w:val="single" w:sz="8" w:space="0" w:color="000000"/>
              <w:left w:val="single" w:sz="8" w:space="0" w:color="000000"/>
              <w:bottom w:val="single" w:sz="8" w:space="0" w:color="000000"/>
              <w:right w:val="single" w:sz="8" w:space="0" w:color="000000"/>
            </w:tcBorders>
            <w:shd w:val="clear" w:color="auto" w:fill="auto"/>
          </w:tcPr>
          <w:p w14:paraId="21A81193" w14:textId="77777777" w:rsidR="001529CF" w:rsidRDefault="00492337">
            <w:pPr>
              <w:pStyle w:val="LO-normal"/>
              <w:widowControl w:val="0"/>
              <w:spacing w:line="240" w:lineRule="auto"/>
              <w:rPr>
                <w:b/>
              </w:rPr>
            </w:pPr>
            <w:r>
              <w:rPr>
                <w:b/>
              </w:rPr>
              <w:t>Membranes the model has been used to represent</w:t>
            </w:r>
          </w:p>
        </w:tc>
        <w:tc>
          <w:tcPr>
            <w:tcW w:w="1508" w:type="dxa"/>
            <w:tcBorders>
              <w:top w:val="single" w:sz="8" w:space="0" w:color="000000"/>
              <w:left w:val="single" w:sz="8" w:space="0" w:color="000000"/>
              <w:bottom w:val="single" w:sz="8" w:space="0" w:color="000000"/>
              <w:right w:val="single" w:sz="8" w:space="0" w:color="000000"/>
            </w:tcBorders>
            <w:shd w:val="clear" w:color="auto" w:fill="auto"/>
          </w:tcPr>
          <w:p w14:paraId="47B70494" w14:textId="77777777" w:rsidR="001529CF" w:rsidRDefault="00492337">
            <w:pPr>
              <w:pStyle w:val="LO-normal"/>
              <w:widowControl w:val="0"/>
              <w:spacing w:line="240" w:lineRule="auto"/>
              <w:rPr>
                <w:b/>
              </w:rPr>
            </w:pPr>
            <w:r>
              <w:rPr>
                <w:b/>
              </w:rPr>
              <w:t>References</w:t>
            </w:r>
          </w:p>
        </w:tc>
      </w:tr>
      <w:tr w:rsidR="00D21F7F" w14:paraId="13C83BD5" w14:textId="77777777">
        <w:tc>
          <w:tcPr>
            <w:tcW w:w="3120" w:type="dxa"/>
            <w:tcBorders>
              <w:top w:val="single" w:sz="8" w:space="0" w:color="000000"/>
              <w:left w:val="single" w:sz="8" w:space="0" w:color="000000"/>
              <w:bottom w:val="single" w:sz="8" w:space="0" w:color="000000"/>
              <w:right w:val="single" w:sz="8" w:space="0" w:color="000000"/>
            </w:tcBorders>
            <w:shd w:val="clear" w:color="auto" w:fill="auto"/>
          </w:tcPr>
          <w:p w14:paraId="124B9DF5" w14:textId="77777777" w:rsidR="00257F38" w:rsidRDefault="00492337" w:rsidP="002C1AE1">
            <w:pPr>
              <w:pStyle w:val="LO-normal"/>
              <w:widowControl w:val="0"/>
              <w:spacing w:line="240" w:lineRule="auto"/>
            </w:pPr>
            <w:r>
              <w:t>POPE:POPG 3:1</w:t>
            </w:r>
          </w:p>
        </w:tc>
        <w:tc>
          <w:tcPr>
            <w:tcW w:w="4732" w:type="dxa"/>
            <w:tcBorders>
              <w:top w:val="single" w:sz="8" w:space="0" w:color="000000"/>
              <w:left w:val="single" w:sz="8" w:space="0" w:color="000000"/>
              <w:bottom w:val="single" w:sz="8" w:space="0" w:color="000000"/>
              <w:right w:val="single" w:sz="8" w:space="0" w:color="000000"/>
            </w:tcBorders>
            <w:shd w:val="clear" w:color="auto" w:fill="auto"/>
          </w:tcPr>
          <w:p w14:paraId="79F78516" w14:textId="77777777" w:rsidR="001529CF" w:rsidRDefault="00492337">
            <w:pPr>
              <w:pStyle w:val="LO-normal"/>
              <w:widowControl w:val="0"/>
              <w:spacing w:line="240" w:lineRule="auto"/>
            </w:pPr>
            <w:r>
              <w:t>Bacterial, Gram-negative, inner-leaflet</w:t>
            </w:r>
          </w:p>
        </w:tc>
        <w:tc>
          <w:tcPr>
            <w:tcW w:w="1508" w:type="dxa"/>
            <w:tcBorders>
              <w:top w:val="single" w:sz="8" w:space="0" w:color="000000"/>
              <w:left w:val="single" w:sz="8" w:space="0" w:color="000000"/>
              <w:bottom w:val="single" w:sz="8" w:space="0" w:color="000000"/>
              <w:right w:val="single" w:sz="8" w:space="0" w:color="000000"/>
            </w:tcBorders>
            <w:shd w:val="clear" w:color="auto" w:fill="auto"/>
          </w:tcPr>
          <w:p w14:paraId="27B988F7" w14:textId="1E8FEB34" w:rsidR="001529CF" w:rsidRDefault="00C97B9E" w:rsidP="00A313B9">
            <w:pPr>
              <w:pStyle w:val="LO-normal"/>
              <w:widowControl w:val="0"/>
              <w:spacing w:line="240" w:lineRule="auto"/>
            </w:pPr>
            <w:r>
              <w:fldChar w:fldCharType="begin" w:fldLock="1"/>
            </w:r>
            <w:r w:rsidR="00576689">
              <w:instrText>ADDIN CSL_CITATION {"citationItems":[{"id":"ITEM-1","itemData":{"DOI":"10.1016/j.jsb.2018.10.003","ISSN":"10958657","PMID":"30336202","abstract":"Structural characterization of BMAP-28(1–18), a potent bovine myeloid antimicrobial peptide can aid in understanding its mechanism of action at molecular level. We report NMR structure of the BMAP-28(1–18) and its mutated analogue mutBMAP18 in SDS micelles. Structural comparison of the peptides bound to SDS micelles and POPE-POPG vesicles using circular dichroism, suggest that structures in the two lipid preparations are similar. Antimicrobial assays show that even though both these peptides adopt helical conformation, BMAP-28(1–18) is more potent than mutBMAP18 in killing bacterial cells. Our EM images clearly indicate that the peptides target the bacterial cell membrane resulting in leakage of its contents. The structural basis for difference in activity between these peptides was investigated by molecular dynamics simulations. Inability of the mutBMAP18 to retain its helical structure in presence of POPE:POPG membrane as opposed to the BMAP-28(1–18) at identical peptide/lipid ratios could be responsible for its decreased activity. Residues Ser5, Arg8 and Arg12 of the BMAP-28(1–18) are crucial for its initial anchoring to the bilayer. We conclude that along with amphipathicity, a stable secondary structure that can promote/initiate membrane anchoring is key in determining membrane destabilization potential of these AMPs. Our findings are a step towards understanding the role of specific residues in antimicrobial activity of BMAP-28(1–18), which will facilitate design of smaller, cost-effective therapeutics and would also help prediction algorithms to expedite screening out variants of the parent peptide with greater accuracy.","author":[{"dropping-particle":"","family":"Agadi","given":"Nutan","non-dropping-particle":"","parse-names":false,"suffix":""},{"dropping-particle":"","family":"Vasudevan","given":"Sheeja","non-dropping-particle":"","parse-names":false,"suffix":""},{"dropping-particle":"","family":"Kumar","given":"Ashutosh","non-dropping-particle":"","parse-names":false,"suffix":""}],"container-title":"Journal of Structural Biology","id":"ITEM-1","issue":"3","issued":{"date-parts":[["2018","12","1"]]},"page":"435-448","publisher":"Academic Press Inc.","title":"Structural insight into the mechanism of action of antimicrobial peptide BMAP-28(1–18) and its analogue mutBMAP18","type":"article-journal","volume":"204"},"uris":["http://www.mendeley.com/documents/?uuid=15f17575-a33f-3cb2-bf67-415ea65747fd"]},{"id":"ITEM-2","itemData":{"DOI":"10.1038/s41598-018-37630-3","ISSN":"20452322","PMID":"30718667","abstract":"Antimicrobial peptides (AMPs) are a potential source of new molecules to counter the increase in antimicrobial resistant infections but a better understanding of their properties is required to understand their native function and for effective translation as therapeutics. Details of the mechanism of their interaction with the bacterial plasma membrane are desired since damage or penetration of this structure is considered essential for AMPs activity. Relatively modest modifications to AMPs primary sequence can induce substantial changes in potency and/or spectrum of activity but, hitherto, have not been predicted to substantially alter the mechanism of interaction with the bacterial plasma membrane. Here we use a combination of molecular dynamics simulations, circular dichroism, solid-state NMR and patch clamp to investigate the extent to which temporin B and its analogues can be distinguished both in vitro and in silico on the basis of their interactions with model membranes. Enhancing the hydrophobicity of the N-terminus and cationicity of the C-terminus in temporin B improves its membrane activity and potency against both Gram-negative and Gram-positive bacteria. In contrast, enhancing the cationicity of the N-terminus abrogates its ability to trigger channel conductance and renders it ineffective against Gram-positive bacteria while nevertheless enhancing its potency against Escherichia coli. Our findings suggest even closely related AMPs may target the same bacterium with fundamentally differing mechanisms of action.","author":[{"dropping-particle":"","family":"Manzo","given":"Giorgia","non-dropping-particle":"","parse-names":false,"suffix":""},{"dropping-particle":"","family":"Ferguson","given":"Philip M.","non-dropping-particle":"","parse-names":false,"suffix":""},{"dropping-particle":"","family":"Gustilo","given":"V. Benjamin","non-dropping-particle":"","parse-names":false,"suffix":""},{"dropping-particle":"","family":"Hind","given":"Charlotte K.","non-dropping-particle":"","parse-names":false,"suffix":""},{"dropping-particle":"","family":"Clifford","given":"Melanie","non-dropping-particle":"","parse-names":false,"suffix":""},{"dropping-particle":"","family":"Bui","given":"Tam T.","non-dropping-particle":"","parse-names":false,"suffix":""},{"dropping-particle":"","family":"Drake","given":"Alex F.","non-dropping-particle":"","parse-names":false,"suffix":""},{"dropping-particle":"","family":"Atkinson","given":"R. Andrew","non-dropping-particle":"","parse-names":false,"suffix":""},{"dropping-particle":"","family":"Sutton","given":"J. Mark","non-dropping-particle":"","parse-names":false,"suffix":""},{"dropping-particle":"","family":"Batoni","given":"Giovanna","non-dropping-particle":"","parse-names":false,"suffix":""},{"dropping-particle":"","family":"Lorenz","given":"Christian D.","non-dropping-particle":"","parse-names":false,"suffix":""},{"dropping-particle":"","family":"Phoenix","given":"David A.","non-dropping-particle":"","parse-names":false,"suffix":""},{"dropping-particle":"","family":"James Mason","given":"A.","non-dropping-particle":"","parse-names":false,"suffix":""}],"container-title":"Scientific Reports","id":"ITEM-2","issue":"1","issued":{"date-parts":[["2019","2","4"]]},"page":"1-16","publisher":"Nature Publishing Group","title":"Minor sequence modifications in temporin B cause drastic changes in antibacterial potency and selectivity by fundamentally altering membrane activity","type":"article-journal","volume":"9"},"uris":["http://www.mendeley.com/documents/?uuid=ba0a81d8-aedd-38f7-9c54-37544b375d23"]},{"id":"ITEM-3","itemData":{"DOI":"10.1021/acs.biochem.8b00052","ISSN":"15204995","PMID":"29638118","abstract":"Antimicrobial peptides (AMPs) are a promising alternative to antibiotics for mitigating bacterial infections, in light of increasing bacterial resistance to antibiotics. However, predicting, understanding, and controlling the antibacterial activity of AMPs remain a significant challenge. While peptide intramolecular interactions are known to modulate AMP antimicrobial activity, peptide intermolecular interactions remain elusive in their impact on peptide bioactivity. Herein, we test the relationship between AMP intermolecular interactions and antibacterial efficacy by controlling AMP intermolecular hydrophobic and hydrogen bonding interactions. Molecular dynamics simulations and Gibbs free energy calculations in concert with experimental assays show that increasing intermolecular interactions via interpeptide aggregation increases the energy cost for the peptide to embed into the bacterial cell membrane, which in turn decreases the AMP antibacterial activity. Our findings provide a route for predicting and controlling the antibacterial activity of AMPs against Gram-negative bacteria via reductions of intermolecular AMP interactions.","author":[{"dropping-particle":"","family":"Zou","given":"Rongfeng","non-dropping-particle":"","parse-names":false,"suffix":""},{"dropping-particle":"","family":"Zhu","given":"Xiaomin","non-dropping-particle":"","parse-names":false,"suffix":""},{"dropping-particle":"","family":"Tu","given":"Yaoquan","non-dropping-particle":"","parse-names":false,"suffix":""},{"dropping-particle":"","family":"Wu","given":"Junchen","non-dropping-particle":"","parse-names":false,"suffix":""},{"dropping-particle":"","family":"Landry","given":"Markita P.","non-dropping-particle":"","parse-names":false,"suffix":""}],"container-title":"Biochemistry","id":"ITEM-3","issue":"18","issued":{"date-parts":[["2018","5","8"]]},"page":"2606-2610","publisher":"American Chemical Society","title":"Activity of Antimicrobial Peptide Aggregates Decreases with Increased Cell Membrane Embedding Free Energy Cost","type":"article-journal","volume":"57"},"uris":["http://www.mendeley.com/documents/?uuid=e4a6cbc5-e180-3f9e-bad5-926030b94702"]},{"id":"ITEM-4","itemData":{"DOI":"10.1039/c7cp01941f","ISSN":"14639076","PMID":"28702543","abstract":"Multidrug resistance against the existing antibiotics is one of the most challenging threats across the globe. Antimicrobial peptides (AMPs), in this regard, are considered to be one of the effective alternatives that can overcome bacterial resistance. MSI-594, a 24-residue linear alpha-helical cationic AMP, has been shown to function via the carpet mechanism to disrupt bacterial membrane systems. To better understand the role of lipid composition in the function of MSI-594, in the present study, eight different model membrane systems have been studied using accelerated molecular dynamics (aMD) simulations. The simulated results are helpful in discriminating the particular effects of cationic MSI-594 against zwitterionic POPC, anionic POPG and POPS, and neutral POPE lipid moieties. Additionally, the effects of various heterogeneous POPC/POPG (7:3), POPC/POPS (7:3), and POPG/POPE (1:3 and 3:1) bilayer systems on the dynamic interaction of MSI-594 have also been investigated. The effect on the lipid bilayer due to the interaction with the peptide is characterized by lipid acyl-chain order, membrane thickness, and acyl-chain dynamics. Our simulation results show that the lipid composition affects the membrane interaction of MSI-594, suggesting that membrane selectivity is crucial to its mechanism of action. The results reported in this study are helpful to obtain accurate atomistic-level information governing MSI-594 and its membrane disruptive antimicrobial mechanism of action, and to design next generation potent antimicrobial peptides.","author":[{"dropping-particle":"","family":"Mukherjee","given":"Shruti","non-dropping-particle":"","parse-names":false,"suffix":""},{"dropping-particle":"","family":"Kar","given":"Rajiv K.","non-dropping-particle":"","parse-names":false,"suffix":""},{"dropping-particle":"","family":"Nanga","given":"Ravi Prakash Reddy","non-dropping-particle":"","parse-names":false,"suffix":""},{"dropping-particle":"","family":"Mroue","given":"Kamal H.","non-dropping-particle":"","parse-names":false,"suffix":""},{"dropping-particle":"","family":"Ramamoorthy","given":"Ayyalusamy","non-dropping-particle":"","parse-names":false,"suffix":""},{"dropping-particle":"","family":"Bhunia","given":"Anirban","non-dropping-particle":"","parse-names":false,"suffix":""}],"container-title":"Physical Chemistry Chemical Physics","id":"ITEM-4","issue":"29","issued":{"date-parts":[["2017","7","26"]]},"page":"19289-19299","publisher":"Royal Society of Chemistry","title":"Accelerated molecular dynamics simulation analysis of MSI-594 in a lipid bilayer","type":"article-journal","volume":"19"},"uris":["http://www.mendeley.com/documents/?uuid=917b28e6-2689-363c-9c5f-44e76bab0072"]},{"id":"ITEM-5","itemData":{"DOI":"10.1021/acsomega.8b00483","ISSN":"24701343","abstract":"Protegrin-1 (PG-1) is a cationic arginine-rich antimicrobial peptide. It is widely accepted that PG-1 induces membrane disruption by forming pores that lead to cell death. However, the insertion mechanism for these highly cationic peptides into the hydrophobic membrane environment is still poorly understood at the molecular scale. It has previously been determined that the association of arginine guanidinium and lipid phosphate groups results in strong bidentate bonds that stabilize peptide-lipid complexes. It has also been suggested that arginine residues are able to drag phosphate groups as they insert inside the membrane to form a toroidal pore. However, whether bidentate bonds play a significant role in inducing a pore formation remains unclear. To investigate the role of bidentate complexes in PG-1 translocation, we conducted molecular dynamics simulations. Two computational electroporation methods were implemented to examine the translocation process. We found that PG-1 could insert into the membrane, provided the external electric potential is large enough to first induce a water column or a pore within the lipid bilayer membrane. We also found that the highly charged PG-1 is capable in itself of inducing molecular electroporation. Substitution of arginines with charge-equivalent lysines showed a markedly reduced tendency for insertion. This indicates that the guanidinium group likely facilitates PG-1 translocation. Potential of mean force calculations suggests that peptide insertion inside the hydrophobic environment of the membrane core is not favored. We found that formation of a water column or a pore might be a prerequisite for PG-1 translocation. We also found that PG-1 can stabilize the pore after insertion. We suggest that PG-1 could be a pore inducer and stabilizer. This work sheds some light on PG-1 translocation mechanisms at the molecular level. Methods presented in this study may be extended to other arginine-rich antimicrobial and cell-penetrating peptides.","author":[{"dropping-particle":"","family":"Lai","given":"Pin Kuang","non-dropping-particle":"","parse-names":false,"suffix":""},{"dropping-particle":"","family":"Kaznessis","given":"Yiannis N.","non-dropping-particle":"","parse-names":false,"suffix":""}],"container-title":"ACS Omega","id":"ITEM-5","issue":"6","issued":{"date-parts":[["2018","6","30"]]},"page":"6056-6065","publisher":"American Chemical Society","title":"Insights into Membrane Translocation of Protegrin Antimicrobial Peptides by Multistep Molecular Dynamics Simulations","type":"article-journal","volume":"3"},"uris":["http://www.mendeley.com/documents/?uuid=7a73ac9d-bbd5-380a-8e90-d87428774b72"]}],"mendeley":{"formattedCitation":"&lt;sup&gt;74,214,216,222,241&lt;/sup&gt;","plainTextFormattedCitation":"74,214,216,222,241","previouslyFormattedCitation":"&lt;sup&gt;74,214,216,222,241&lt;/sup&gt;"},"properties":{"noteIndex":0},"schema":"https://github.com/citation-style-language/schema/raw/master/csl-citation.json"}</w:instrText>
            </w:r>
            <w:r>
              <w:fldChar w:fldCharType="separate"/>
            </w:r>
            <w:r w:rsidR="00A313B9" w:rsidRPr="00A313B9">
              <w:rPr>
                <w:noProof/>
                <w:vertAlign w:val="superscript"/>
              </w:rPr>
              <w:t>74,214,216,222,241</w:t>
            </w:r>
            <w:r>
              <w:fldChar w:fldCharType="end"/>
            </w:r>
          </w:p>
        </w:tc>
      </w:tr>
      <w:tr w:rsidR="00D21F7F" w14:paraId="28657B13" w14:textId="77777777">
        <w:tc>
          <w:tcPr>
            <w:tcW w:w="3120" w:type="dxa"/>
            <w:tcBorders>
              <w:top w:val="single" w:sz="8" w:space="0" w:color="000000"/>
              <w:left w:val="single" w:sz="8" w:space="0" w:color="000000"/>
              <w:bottom w:val="single" w:sz="8" w:space="0" w:color="000000"/>
              <w:right w:val="single" w:sz="8" w:space="0" w:color="000000"/>
            </w:tcBorders>
            <w:shd w:val="clear" w:color="auto" w:fill="auto"/>
          </w:tcPr>
          <w:p w14:paraId="03AC1487" w14:textId="77777777" w:rsidR="00257F38" w:rsidRDefault="00492337" w:rsidP="002C1AE1">
            <w:pPr>
              <w:pStyle w:val="LO-normal"/>
              <w:widowControl w:val="0"/>
              <w:spacing w:line="240" w:lineRule="auto"/>
            </w:pPr>
            <w:r>
              <w:t>SDS Micelle</w:t>
            </w:r>
          </w:p>
        </w:tc>
        <w:tc>
          <w:tcPr>
            <w:tcW w:w="4732" w:type="dxa"/>
            <w:tcBorders>
              <w:top w:val="single" w:sz="8" w:space="0" w:color="000000"/>
              <w:left w:val="single" w:sz="8" w:space="0" w:color="000000"/>
              <w:bottom w:val="single" w:sz="8" w:space="0" w:color="000000"/>
              <w:right w:val="single" w:sz="8" w:space="0" w:color="000000"/>
            </w:tcBorders>
            <w:shd w:val="clear" w:color="auto" w:fill="auto"/>
          </w:tcPr>
          <w:p w14:paraId="7B9C30B8" w14:textId="77777777" w:rsidR="001529CF" w:rsidRDefault="00492337">
            <w:pPr>
              <w:pStyle w:val="LO-normal"/>
              <w:widowControl w:val="0"/>
              <w:spacing w:line="240" w:lineRule="auto"/>
            </w:pPr>
            <w:r>
              <w:t>Bacterial</w:t>
            </w:r>
          </w:p>
        </w:tc>
        <w:tc>
          <w:tcPr>
            <w:tcW w:w="1508" w:type="dxa"/>
            <w:tcBorders>
              <w:top w:val="single" w:sz="8" w:space="0" w:color="000000"/>
              <w:left w:val="single" w:sz="8" w:space="0" w:color="000000"/>
              <w:bottom w:val="single" w:sz="8" w:space="0" w:color="000000"/>
              <w:right w:val="single" w:sz="8" w:space="0" w:color="000000"/>
            </w:tcBorders>
            <w:shd w:val="clear" w:color="auto" w:fill="auto"/>
          </w:tcPr>
          <w:p w14:paraId="3205ED18" w14:textId="5FB9DD61" w:rsidR="001529CF" w:rsidRDefault="00823C98" w:rsidP="0019024E">
            <w:pPr>
              <w:pStyle w:val="LO-normal"/>
              <w:widowControl w:val="0"/>
              <w:spacing w:line="240" w:lineRule="auto"/>
            </w:pPr>
            <w:r>
              <w:fldChar w:fldCharType="begin" w:fldLock="1"/>
            </w:r>
            <w:r w:rsidR="00D217EC">
              <w:instrText>ADDIN CSL_CITATION {"citationItems":[{"id":"ITEM-1","itemData":{"DOI":"10.1007/s00249-019-01346-7","ISSN":"14321017","PMID":"30734844","abstract":"Maximin 3 is a 27-residue-long cationic antimicrobial peptide found in the skin secretion and brain of the Chinese red-belly toad Bombina maxima. The peptide is of biological interest as it possesses anti-HIV activity, not found in the other maximin peptides, in addition to antimicrobial, antitumor and spermicidal activities. The three-dimensional structure of maximin 3 was obtained in a 50/50% water/2,2,2-trifluoroethanol-d 3 mixture using two-dimensional NMR spectroscopy. Maximin 3 was found to adopt an α-helical structure from residue G1 to A22, and a coil structure with a helical propensity in the C-terminal tail. The peptide is amphipathic, showing a clear separation between polar and hydrophobic residues. Interactions with sodium dodecyl sulfate micelles, a widely used bacterial membrane-mimicking environment, were modeled using molecular dynamics simulations. The peptide maintained an α-helical conformation, occasionally displaying a flexibility around residues G9 and G16, which is likely responsible for the peptide’s low haemolytic activity. It is found to preferentially adopt a position parallel to the micellar surface, establishing a number of hydrophobic and electrostatic interactions with it.","author":[{"dropping-particle":"","family":"Benetti","given":"Silvia","non-dropping-particle":"","parse-names":false,"suffix":""},{"dropping-particle":"","family":"Timmons","given":"Patrick Brendan","non-dropping-particle":"","parse-names":false,"suffix":""},{"dropping-particle":"","family":"Hewage","given":"Chandralal M.","non-dropping-particle":"","parse-names":false,"suffix":""}],"container-title":"European Biophysics Journal","id":"ITEM-1","issue":"2","issued":{"date-parts":[["2019","3","4"]]},"page":"203-212","publisher":"Springer Verlag","title":"NMR model structure of the antimicrobial peptide maximin 3","type":"article-journal","volume":"48"},"uris":["http://www.mendeley.com/documents/?uuid=e484f10f-5a1e-3649-8e53-8b03c0ccd452"]}],"mendeley":{"formattedCitation":"&lt;sup&gt;53&lt;/sup&gt;","plainTextFormattedCitation":"53","previouslyFormattedCitation":"&lt;sup&gt;53&lt;/sup&gt;"},"properties":{"noteIndex":0},"schema":"https://github.com/citation-style-language/schema/raw/master/csl-citation.json"}</w:instrText>
            </w:r>
            <w:r>
              <w:fldChar w:fldCharType="separate"/>
            </w:r>
            <w:r w:rsidR="0019024E" w:rsidRPr="0019024E">
              <w:rPr>
                <w:noProof/>
                <w:vertAlign w:val="superscript"/>
              </w:rPr>
              <w:t>53</w:t>
            </w:r>
            <w:r>
              <w:fldChar w:fldCharType="end"/>
            </w:r>
          </w:p>
        </w:tc>
      </w:tr>
      <w:tr w:rsidR="00D21F7F" w14:paraId="6588B243" w14:textId="77777777">
        <w:tc>
          <w:tcPr>
            <w:tcW w:w="3120" w:type="dxa"/>
            <w:tcBorders>
              <w:top w:val="single" w:sz="8" w:space="0" w:color="000000"/>
              <w:left w:val="single" w:sz="8" w:space="0" w:color="000000"/>
              <w:bottom w:val="single" w:sz="8" w:space="0" w:color="000000"/>
              <w:right w:val="single" w:sz="8" w:space="0" w:color="000000"/>
            </w:tcBorders>
            <w:shd w:val="clear" w:color="auto" w:fill="auto"/>
          </w:tcPr>
          <w:p w14:paraId="582F5B12" w14:textId="77777777" w:rsidR="00257F38" w:rsidRDefault="00492337" w:rsidP="00257F38">
            <w:pPr>
              <w:pStyle w:val="LO-normal"/>
              <w:widowControl w:val="0"/>
              <w:spacing w:line="240" w:lineRule="auto"/>
              <w:jc w:val="both"/>
            </w:pPr>
            <w:r>
              <w:t>POPC</w:t>
            </w:r>
          </w:p>
        </w:tc>
        <w:tc>
          <w:tcPr>
            <w:tcW w:w="4732" w:type="dxa"/>
            <w:tcBorders>
              <w:top w:val="single" w:sz="8" w:space="0" w:color="000000"/>
              <w:left w:val="single" w:sz="8" w:space="0" w:color="000000"/>
              <w:bottom w:val="single" w:sz="8" w:space="0" w:color="000000"/>
              <w:right w:val="single" w:sz="8" w:space="0" w:color="000000"/>
            </w:tcBorders>
            <w:shd w:val="clear" w:color="auto" w:fill="auto"/>
          </w:tcPr>
          <w:p w14:paraId="2BC5B335" w14:textId="77777777" w:rsidR="001529CF" w:rsidRDefault="00492337">
            <w:pPr>
              <w:pStyle w:val="LO-normal"/>
              <w:widowControl w:val="0"/>
              <w:spacing w:line="240" w:lineRule="auto"/>
              <w:jc w:val="both"/>
            </w:pPr>
            <w:r>
              <w:t>Mammalian, outer-leaflet</w:t>
            </w:r>
          </w:p>
        </w:tc>
        <w:tc>
          <w:tcPr>
            <w:tcW w:w="1508" w:type="dxa"/>
            <w:tcBorders>
              <w:top w:val="single" w:sz="8" w:space="0" w:color="000000"/>
              <w:left w:val="single" w:sz="8" w:space="0" w:color="000000"/>
              <w:bottom w:val="single" w:sz="8" w:space="0" w:color="000000"/>
              <w:right w:val="single" w:sz="8" w:space="0" w:color="000000"/>
            </w:tcBorders>
            <w:shd w:val="clear" w:color="auto" w:fill="auto"/>
          </w:tcPr>
          <w:p w14:paraId="5A78C0C9" w14:textId="5B95CF2E" w:rsidR="001529CF" w:rsidRDefault="00D21F7F" w:rsidP="00A313B9">
            <w:pPr>
              <w:pStyle w:val="LO-normal"/>
              <w:widowControl w:val="0"/>
              <w:spacing w:line="240" w:lineRule="auto"/>
              <w:jc w:val="both"/>
            </w:pPr>
            <w:r>
              <w:fldChar w:fldCharType="begin" w:fldLock="1"/>
            </w:r>
            <w:r w:rsidR="00576689">
              <w:instrText>ADDIN CSL_CITATION {"citationItems":[{"id":"ITEM-1","itemData":{"DOI":"10.1039/c7cp01941f","ISSN":"14639076","PMID":"28702543","abstract":"Multidrug resistance against the existing antibiotics is one of the most challenging threats across the globe. Antimicrobial peptides (AMPs), in this regard, are considered to be one of the effective alternatives that can overcome bacterial resistance. MSI-594, a 24-residue linear alpha-helical cationic AMP, has been shown to function via the carpet mechanism to disrupt bacterial membrane systems. To better understand the role of lipid composition in the function of MSI-594, in the present study, eight different model membrane systems have been studied using accelerated molecular dynamics (aMD) simulations. The simulated results are helpful in discriminating the particular effects of cationic MSI-594 against zwitterionic POPC, anionic POPG and POPS, and neutral POPE lipid moieties. Additionally, the effects of various heterogeneous POPC/POPG (7:3), POPC/POPS (7:3), and POPG/POPE (1:3 and 3:1) bilayer systems on the dynamic interaction of MSI-594 have also been investigated. The effect on the lipid bilayer due to the interaction with the peptide is characterized by lipid acyl-chain order, membrane thickness, and acyl-chain dynamics. Our simulation results show that the lipid composition affects the membrane interaction of MSI-594, suggesting that membrane selectivity is crucial to its mechanism of action. The results reported in this study are helpful to obtain accurate atomistic-level information governing MSI-594 and its membrane disruptive antimicrobial mechanism of action, and to design next generation potent antimicrobial peptides.","author":[{"dropping-particle":"","family":"Mukherjee","given":"Shruti","non-dropping-particle":"","parse-names":false,"suffix":""},{"dropping-particle":"","family":"Kar","given":"Rajiv K.","non-dropping-particle":"","parse-names":false,"suffix":""},{"dropping-particle":"","family":"Nanga","given":"Ravi Prakash Reddy","non-dropping-particle":"","parse-names":false,"suffix":""},{"dropping-particle":"","family":"Mroue","given":"Kamal H.","non-dropping-particle":"","parse-names":false,"suffix":""},{"dropping-particle":"","family":"Ramamoorthy","given":"Ayyalusamy","non-dropping-particle":"","parse-names":false,"suffix":""},{"dropping-particle":"","family":"Bhunia","given":"Anirban","non-dropping-particle":"","parse-names":false,"suffix":""}],"container-title":"Physical Chemistry Chemical Physics","id":"ITEM-1","issue":"29","issued":{"date-parts":[["2017","7","26"]]},"page":"19289-19299","publisher":"Royal Society of Chemistry","title":"Accelerated molecular dynamics simulation analysis of MSI-594 in a lipid bilayer","type":"article-journal","volume":"19"},"uris":["http://www.mendeley.com/documents/?uuid=917b28e6-2689-363c-9c5f-44e76bab0072"]},{"id":"ITEM-2","itemData":{"DOI":"10.1021/acs.jctc.6b00265","ISSN":"15499626","PMID":"27529120","abstract":"Due to antimicrobial resistance, the development of new drugs to combat bacterial and fungal infections is an important area of research. Nature uses short, charged, and amphipathic peptides for antimicrobial defense, many of which disrupt the lipid membrane in addition to other possible targets inside the cell. Computer simulations have revealed atomistic details for the interactions of antimicrobial peptides and cell-penetrating peptides with lipid bilayers. Strong interactions between the polar interface and the charged peptides can induce bilayer deformations - including membrane rupture and peptide stabilization of a hydrophilic pore. Here, we performed microsecond-long simulations of the antimicrobial peptide CM15 in a POPC bilayer expecting to observe pore formation (based on previous molecular dynamics simulations). We show that caution is needed when interpreting results of equilibrium peptide-membrane simulations, given the length of time single trajectories can dwell in local energy minima for 100's of ns to microseconds. While we did record significant membrane perturbations from the CM15 peptide, pores were not observed. We explain this discrepancy by computing the free energy for pore formation with different force fields. Our results show a large difference in the free energy barrier (ca. 40 kJ/mol) against pore formation predicted by the different force fields that would result in orders of magnitude differences in the simulation time required to observe spontaneous pore formation. This explains why previous simulations using the Berger lipid parameters reported pores induced by charged peptides, while with CHARMM based models pores were not observed in our long time-scale simulations. We reconcile some of the differences in the distance dependent free energies by shifting the free energy profiles to account for thickness differences between force fields. The shifted curves show that all the models describe small defects in lipid bilayers in a consistent manner, suggesting a common physical basis.","author":[{"dropping-particle":"","family":"Bennett","given":"W. F.Drew","non-dropping-particle":"","parse-names":false,"suffix":""},{"dropping-particle":"","family":"Hong","given":"Chun Kit","non-dropping-particle":"","parse-names":false,"suffix":""},{"dropping-particle":"","family":"Wang","given":"Yi","non-dropping-particle":"","parse-names":false,"suffix":""},{"dropping-particle":"","family":"Tieleman","given":"D. Peter","non-dropping-particle":"","parse-names":false,"suffix":""}],"container-title":"Journal of Chemical Theory and Computation","id":"ITEM-2","issue":"9","issued":{"date-parts":[["2016","9","13"]]},"page":"4524-4533","publisher":"American Chemical Society","title":"Antimicrobial Peptide Simulations and the Influence of Force Field on the Free Energy for Pore Formation in Lipid Bilayers","type":"article-journal","volume":"12"},"uris":["http://www.mendeley.com/documents/?uuid=9b54e288-2973-3099-a07f-ebfc81572c4e"]}],"mendeley":{"formattedCitation":"&lt;sup&gt;222,238&lt;/sup&gt;","plainTextFormattedCitation":"222,238","previouslyFormattedCitation":"&lt;sup&gt;222,238&lt;/sup&gt;"},"properties":{"noteIndex":0},"schema":"https://github.com/citation-style-language/schema/raw/master/csl-citation.json"}</w:instrText>
            </w:r>
            <w:r>
              <w:fldChar w:fldCharType="separate"/>
            </w:r>
            <w:r w:rsidR="00A313B9" w:rsidRPr="00A313B9">
              <w:rPr>
                <w:noProof/>
                <w:vertAlign w:val="superscript"/>
              </w:rPr>
              <w:t>222,238</w:t>
            </w:r>
            <w:r>
              <w:fldChar w:fldCharType="end"/>
            </w:r>
          </w:p>
        </w:tc>
      </w:tr>
      <w:tr w:rsidR="00D21F7F" w14:paraId="6989B5D5" w14:textId="77777777">
        <w:tc>
          <w:tcPr>
            <w:tcW w:w="3120" w:type="dxa"/>
            <w:tcBorders>
              <w:top w:val="single" w:sz="8" w:space="0" w:color="000000"/>
              <w:left w:val="single" w:sz="8" w:space="0" w:color="000000"/>
              <w:bottom w:val="single" w:sz="8" w:space="0" w:color="000000"/>
              <w:right w:val="single" w:sz="8" w:space="0" w:color="000000"/>
            </w:tcBorders>
            <w:shd w:val="clear" w:color="auto" w:fill="auto"/>
          </w:tcPr>
          <w:p w14:paraId="482BACF9" w14:textId="77777777" w:rsidR="001529CF" w:rsidRDefault="00492337">
            <w:pPr>
              <w:pStyle w:val="LO-normal"/>
              <w:widowControl w:val="0"/>
              <w:spacing w:line="240" w:lineRule="auto"/>
              <w:jc w:val="both"/>
            </w:pPr>
            <w:r>
              <w:t>POPG</w:t>
            </w:r>
          </w:p>
        </w:tc>
        <w:tc>
          <w:tcPr>
            <w:tcW w:w="4732" w:type="dxa"/>
            <w:tcBorders>
              <w:top w:val="single" w:sz="8" w:space="0" w:color="000000"/>
              <w:left w:val="single" w:sz="8" w:space="0" w:color="000000"/>
              <w:bottom w:val="single" w:sz="8" w:space="0" w:color="000000"/>
              <w:right w:val="single" w:sz="8" w:space="0" w:color="000000"/>
            </w:tcBorders>
            <w:shd w:val="clear" w:color="auto" w:fill="auto"/>
          </w:tcPr>
          <w:p w14:paraId="4E97B73B" w14:textId="77777777" w:rsidR="001529CF" w:rsidRDefault="00492337">
            <w:pPr>
              <w:pStyle w:val="LO-normal"/>
              <w:widowControl w:val="0"/>
              <w:spacing w:line="240" w:lineRule="auto"/>
              <w:jc w:val="both"/>
            </w:pPr>
            <w:r>
              <w:t>Bacterial, Gram-positive</w:t>
            </w:r>
          </w:p>
        </w:tc>
        <w:tc>
          <w:tcPr>
            <w:tcW w:w="1508" w:type="dxa"/>
            <w:tcBorders>
              <w:top w:val="single" w:sz="8" w:space="0" w:color="000000"/>
              <w:left w:val="single" w:sz="8" w:space="0" w:color="000000"/>
              <w:bottom w:val="single" w:sz="8" w:space="0" w:color="000000"/>
              <w:right w:val="single" w:sz="8" w:space="0" w:color="000000"/>
            </w:tcBorders>
            <w:shd w:val="clear" w:color="auto" w:fill="auto"/>
          </w:tcPr>
          <w:p w14:paraId="2D5D260E" w14:textId="7EF4E350" w:rsidR="001529CF" w:rsidRDefault="00D21F7F" w:rsidP="00A313B9">
            <w:pPr>
              <w:pStyle w:val="LO-normal"/>
              <w:widowControl w:val="0"/>
              <w:spacing w:line="240" w:lineRule="auto"/>
              <w:jc w:val="both"/>
            </w:pPr>
            <w:r>
              <w:fldChar w:fldCharType="begin" w:fldLock="1"/>
            </w:r>
            <w:r w:rsidR="00576689">
              <w:instrText>ADDIN CSL_CITATION {"citationItems":[{"id":"ITEM-1","itemData":{"DOI":"10.1038/s41598-018-37630-3","ISSN":"20452322","PMID":"30718667","abstract":"Antimicrobial peptides (AMPs) are a potential source of new molecules to counter the increase in antimicrobial resistant infections but a better understanding of their properties is required to understand their native function and for effective translation as therapeutics. Details of the mechanism of their interaction with the bacterial plasma membrane are desired since damage or penetration of this structure is considered essential for AMPs activity. Relatively modest modifications to AMPs primary sequence can induce substantial changes in potency and/or spectrum of activity but, hitherto, have not been predicted to substantially alter the mechanism of interaction with the bacterial plasma membrane. Here we use a combination of molecular dynamics simulations, circular dichroism, solid-state NMR and patch clamp to investigate the extent to which temporin B and its analogues can be distinguished both in vitro and in silico on the basis of their interactions with model membranes. Enhancing the hydrophobicity of the N-terminus and cationicity of the C-terminus in temporin B improves its membrane activity and potency against both Gram-negative and Gram-positive bacteria. In contrast, enhancing the cationicity of the N-terminus abrogates its ability to trigger channel conductance and renders it ineffective against Gram-positive bacteria while nevertheless enhancing its potency against Escherichia coli. Our findings suggest even closely related AMPs may target the same bacterium with fundamentally differing mechanisms of action.","author":[{"dropping-particle":"","family":"Manzo","given":"Giorgia","non-dropping-particle":"","parse-names":false,"suffix":""},{"dropping-particle":"","family":"Ferguson","given":"Philip M.","non-dropping-particle":"","parse-names":false,"suffix":""},{"dropping-particle":"","family":"Gustilo","given":"V. Benjamin","non-dropping-particle":"","parse-names":false,"suffix":""},{"dropping-particle":"","family":"Hind","given":"Charlotte K.","non-dropping-particle":"","parse-names":false,"suffix":""},{"dropping-particle":"","family":"Clifford","given":"Melanie","non-dropping-particle":"","parse-names":false,"suffix":""},{"dropping-particle":"","family":"Bui","given":"Tam T.","non-dropping-particle":"","parse-names":false,"suffix":""},{"dropping-particle":"","family":"Drake","given":"Alex F.","non-dropping-particle":"","parse-names":false,"suffix":""},{"dropping-particle":"","family":"Atkinson","given":"R. Andrew","non-dropping-particle":"","parse-names":false,"suffix":""},{"dropping-particle":"","family":"Sutton","given":"J. Mark","non-dropping-particle":"","parse-names":false,"suffix":""},{"dropping-particle":"","family":"Batoni","given":"Giovanna","non-dropping-particle":"","parse-names":false,"suffix":""},{"dropping-particle":"","family":"Lorenz","given":"Christian D.","non-dropping-particle":"","parse-names":false,"suffix":""},{"dropping-particle":"","family":"Phoenix","given":"David A.","non-dropping-particle":"","parse-names":false,"suffix":""},{"dropping-particle":"","family":"James Mason","given":"A.","non-dropping-particle":"","parse-names":false,"suffix":""}],"container-title":"Scientific Reports","id":"ITEM-1","issue":"1","issued":{"date-parts":[["2019","2","4"]]},"page":"1-16","publisher":"Nature Publishing Group","title":"Minor sequence modifications in temporin B cause drastic changes in antibacterial potency and selectivity by fundamentally altering membrane activity","type":"article-journal","volume":"9"},"uris":["http://www.mendeley.com/documents/?uuid=ba0a81d8-aedd-38f7-9c54-37544b375d23"]},{"id":"ITEM-2","itemData":{"DOI":"10.3390/ijms19041186","ISSN":"14220067","PMID":"29652823","abstract":"Cathelicidins are a large family of cationic antimicrobial peptides (AMPs) found in mammals with broad spectrum antimicrobial activity. LL-37 is the sole amphipathic α-helical AMP from human Cathelicidins family. In addition to its bactericidal capability, LL-37 has antiviral, anti-tumor, and immunoregulatory activity. Despite many experimental studies, its molecular mechanism of action is not yet fully understood. Here, we performed three independent molecular dynamics simulations (600 ns or more) of a LL-37 peptide in the presence of 256 lipid bilayers with 1-palmitoyl-2-oleoyl-sn-glycero-3-phosphoglycerol (POPG) mimicking bacterial and 1-palmitoyl-2-oleoyl-sn-glycero-3-phosphocholine (POPC) mimicking mammalian membranes. We found that LL-37 can be quickly absorbed onto the POPG bilayer without loss of its helical conformation in the core region and with the helix lying in parallel to the bilayer. The POPG bilayer was deformed. In contrast, LL-37 is slower in reaching the POPC surface and loss much of its helical conformation during the interaction with the bilayer. LL-37 only partially entered the POPC bilayer without significant deformation of the membrane. The observed difference for different bilayers is largely due to the fact that LL-37 is positively charged, POPG is negatively charged, and POPC is neutral. Our simulation results demonstrated the initial stage of disruption of the bacterial membrane by LL-37 in atomic details. Comparison to experimental results on LL-37 and simulation studies in other systems was made.","author":[{"dropping-particle":"","family":"Zhao","given":"Liling","non-dropping-particle":"","parse-names":false,"suffix":""},{"dropping-particle":"","family":"Cao","given":"Zanxia","non-dropping-particle":"","parse-names":false,"suffix":""},{"dropping-particle":"","family":"Bian","given":"Yunqiang","non-dropping-particle":"","parse-names":false,"suffix":""},{"dropping-particle":"","family":"Hu","given":"Guodong","non-dropping-particle":"","parse-names":false,"suffix":""},{"dropping-particle":"","family":"Wang","given":"Jihua","non-dropping-particle":"","parse-names":false,"suffix":""},{"dropping-particle":"","family":"Zhou","given":"Yaoqi","non-dropping-particle":"","parse-names":false,"suffix":""}],"container-title":"International Journal of Molecular Sciences","id":"ITEM-2","issue":"4","issued":{"date-parts":[["2018","4","13"]]},"publisher":"MDPI AG","title":"Molecular dynamics simulations of human antimicrobial peptide LL-37 in model POPC and POPG lipid bilayers","type":"article-journal","volume":"19"},"uris":["http://www.mendeley.com/documents/?uuid=74f716af-c869-3a93-bf70-b5ebc186adcb"]}],"mendeley":{"formattedCitation":"&lt;sup&gt;213,214&lt;/sup&gt;","plainTextFormattedCitation":"213,214","previouslyFormattedCitation":"&lt;sup&gt;213,214&lt;/sup&gt;"},"properties":{"noteIndex":0},"schema":"https://github.com/citation-style-language/schema/raw/master/csl-citation.json"}</w:instrText>
            </w:r>
            <w:r>
              <w:fldChar w:fldCharType="separate"/>
            </w:r>
            <w:r w:rsidR="00A313B9" w:rsidRPr="00A313B9">
              <w:rPr>
                <w:noProof/>
                <w:vertAlign w:val="superscript"/>
              </w:rPr>
              <w:t>213,214</w:t>
            </w:r>
            <w:r>
              <w:fldChar w:fldCharType="end"/>
            </w:r>
          </w:p>
        </w:tc>
      </w:tr>
      <w:tr w:rsidR="00D21F7F" w14:paraId="2D8DA894" w14:textId="77777777">
        <w:tc>
          <w:tcPr>
            <w:tcW w:w="3120" w:type="dxa"/>
            <w:tcBorders>
              <w:top w:val="single" w:sz="8" w:space="0" w:color="000000"/>
              <w:left w:val="single" w:sz="8" w:space="0" w:color="000000"/>
              <w:bottom w:val="single" w:sz="8" w:space="0" w:color="000000"/>
              <w:right w:val="single" w:sz="8" w:space="0" w:color="000000"/>
            </w:tcBorders>
            <w:shd w:val="clear" w:color="auto" w:fill="auto"/>
          </w:tcPr>
          <w:p w14:paraId="6311A8E8" w14:textId="77777777" w:rsidR="001529CF" w:rsidRDefault="00492337">
            <w:pPr>
              <w:pStyle w:val="LO-normal"/>
              <w:widowControl w:val="0"/>
              <w:spacing w:line="240" w:lineRule="auto"/>
              <w:jc w:val="both"/>
            </w:pPr>
            <w:r>
              <w:t>POPC:POPG 3:1</w:t>
            </w:r>
          </w:p>
        </w:tc>
        <w:tc>
          <w:tcPr>
            <w:tcW w:w="4732" w:type="dxa"/>
            <w:tcBorders>
              <w:top w:val="single" w:sz="8" w:space="0" w:color="000000"/>
              <w:left w:val="single" w:sz="8" w:space="0" w:color="000000"/>
              <w:bottom w:val="single" w:sz="8" w:space="0" w:color="000000"/>
              <w:right w:val="single" w:sz="8" w:space="0" w:color="000000"/>
            </w:tcBorders>
            <w:shd w:val="clear" w:color="auto" w:fill="auto"/>
          </w:tcPr>
          <w:p w14:paraId="3789C823" w14:textId="77777777" w:rsidR="001529CF" w:rsidRDefault="00492337">
            <w:pPr>
              <w:pStyle w:val="LO-normal"/>
              <w:widowControl w:val="0"/>
              <w:spacing w:line="240" w:lineRule="auto"/>
              <w:jc w:val="both"/>
            </w:pPr>
            <w:r>
              <w:t>Bacterial, Gram-positive</w:t>
            </w:r>
          </w:p>
        </w:tc>
        <w:tc>
          <w:tcPr>
            <w:tcW w:w="1508" w:type="dxa"/>
            <w:tcBorders>
              <w:top w:val="single" w:sz="8" w:space="0" w:color="000000"/>
              <w:left w:val="single" w:sz="8" w:space="0" w:color="000000"/>
              <w:bottom w:val="single" w:sz="8" w:space="0" w:color="000000"/>
              <w:right w:val="single" w:sz="8" w:space="0" w:color="000000"/>
            </w:tcBorders>
            <w:shd w:val="clear" w:color="auto" w:fill="auto"/>
          </w:tcPr>
          <w:p w14:paraId="3BCFCA38" w14:textId="07CD04E6" w:rsidR="001529CF" w:rsidRDefault="00D21F7F" w:rsidP="00A313B9">
            <w:pPr>
              <w:pStyle w:val="LO-normal"/>
              <w:widowControl w:val="0"/>
              <w:spacing w:line="240" w:lineRule="auto"/>
              <w:jc w:val="both"/>
            </w:pPr>
            <w:r>
              <w:fldChar w:fldCharType="begin" w:fldLock="1"/>
            </w:r>
            <w:r w:rsidR="00576689">
              <w:instrText>ADDIN CSL_CITATION {"citationItems":[{"id":"ITEM-1","itemData":{"DOI":"10.1016/j.bpc.2019.02.005","ISSN":"18734200","PMID":"30836162","abstract":"New ideas and methods are being developed to generate highly designable small functional protein folds beyond the confines of natural structures, from secondary to quaternary level. Highly designable folds can have multiple sequence solutions, which are thermodynamically and kinetically stable. We have previously described how short syndiotactic helices can be exceptionally stable energetically, and how they can be used as a template for designing antibacterial agents. In this work, we have designed four syndiotactic, single turn, amphipathic; cationic 7-mer peptides which are the sequence and structural subset of earlier published 12-mer sequences. We examined the stability of the designed structures and its effects on the biological activity of such short peptide sequences. This was achieved by making objective comparisons between 12-mer and 7-mer sequences in terms of their antibacterial activity. Further, we investigated the mechanistic origins of clearly different bactericidal potency of single (7-mer) and double (12-mer) turn syndiotactic helices using molecular dynamics simulations. Our results suggest that conformationally constrained stable short double turn peptide scaffolds are highly designable, whereas single turn structures are more likely to be disordered. The stability of the designed peptide structure provides a platform for inclusion of multiple sequence variables and defined electrostatic fingerprints. Therefore, a stable peptide scaffold along with pre-defined electrostatic signatures can together be utilized for the design of novel antimicrobial peptides.","author":[{"dropping-particle":"","family":"Hazam","given":"Prakash Kishore","non-dropping-particle":"","parse-names":false,"suffix":""},{"dropping-particle":"","family":"Akhil","given":"R.","non-dropping-particle":"","parse-names":false,"suffix":""},{"dropping-particle":"","family":"Jerath","given":"Gaurav","non-dropping-particle":"","parse-names":false,"suffix":""},{"dropping-particle":"","family":"Saikia","given":"Jahnu","non-dropping-particle":"","parse-names":false,"suffix":""},{"dropping-particle":"","family":"Ramakrishnan","given":"Vibin","non-dropping-particle":"","parse-names":false,"suffix":""}],"container-title":"Biophysical Chemistry","id":"ITEM-1","issued":{"date-parts":[["2019","5","1"]]},"page":"1-8","publisher":"Elsevier B.V.","title":"Topological effects on the designability and bactericidal potency of antimicrobial peptides","type":"article-journal","volume":"248"},"uris":["http://www.mendeley.com/documents/?uuid=9290c746-ddb7-36bf-8631-ff7fde20b2c1"]}],"mendeley":{"formattedCitation":"&lt;sup&gt;215&lt;/sup&gt;","plainTextFormattedCitation":"215","previouslyFormattedCitation":"&lt;sup&gt;215&lt;/sup&gt;"},"properties":{"noteIndex":0},"schema":"https://github.com/citation-style-language/schema/raw/master/csl-citation.json"}</w:instrText>
            </w:r>
            <w:r>
              <w:fldChar w:fldCharType="separate"/>
            </w:r>
            <w:r w:rsidR="00A313B9" w:rsidRPr="00A313B9">
              <w:rPr>
                <w:noProof/>
                <w:vertAlign w:val="superscript"/>
              </w:rPr>
              <w:t>215</w:t>
            </w:r>
            <w:r>
              <w:fldChar w:fldCharType="end"/>
            </w:r>
          </w:p>
        </w:tc>
      </w:tr>
      <w:tr w:rsidR="00D21F7F" w14:paraId="38253766" w14:textId="77777777">
        <w:tc>
          <w:tcPr>
            <w:tcW w:w="3120" w:type="dxa"/>
            <w:tcBorders>
              <w:top w:val="single" w:sz="8" w:space="0" w:color="000000"/>
              <w:left w:val="single" w:sz="8" w:space="0" w:color="000000"/>
              <w:bottom w:val="single" w:sz="8" w:space="0" w:color="000000"/>
              <w:right w:val="single" w:sz="8" w:space="0" w:color="000000"/>
            </w:tcBorders>
            <w:shd w:val="clear" w:color="auto" w:fill="auto"/>
          </w:tcPr>
          <w:p w14:paraId="2E88EE43" w14:textId="77777777" w:rsidR="001529CF" w:rsidRDefault="00492337">
            <w:pPr>
              <w:pStyle w:val="LO-normal"/>
              <w:widowControl w:val="0"/>
              <w:spacing w:line="240" w:lineRule="auto"/>
              <w:jc w:val="both"/>
            </w:pPr>
            <w:r>
              <w:t>POPE:POPG 7:3</w:t>
            </w:r>
          </w:p>
        </w:tc>
        <w:tc>
          <w:tcPr>
            <w:tcW w:w="4732" w:type="dxa"/>
            <w:tcBorders>
              <w:top w:val="single" w:sz="8" w:space="0" w:color="000000"/>
              <w:left w:val="single" w:sz="8" w:space="0" w:color="000000"/>
              <w:bottom w:val="single" w:sz="8" w:space="0" w:color="000000"/>
              <w:right w:val="single" w:sz="8" w:space="0" w:color="000000"/>
            </w:tcBorders>
            <w:shd w:val="clear" w:color="auto" w:fill="auto"/>
          </w:tcPr>
          <w:p w14:paraId="56295888" w14:textId="77777777" w:rsidR="001529CF" w:rsidRDefault="00492337">
            <w:pPr>
              <w:pStyle w:val="LO-normal"/>
              <w:widowControl w:val="0"/>
              <w:spacing w:line="240" w:lineRule="auto"/>
              <w:jc w:val="both"/>
            </w:pPr>
            <w:r>
              <w:t>Bacterial</w:t>
            </w:r>
          </w:p>
        </w:tc>
        <w:tc>
          <w:tcPr>
            <w:tcW w:w="1508" w:type="dxa"/>
            <w:tcBorders>
              <w:top w:val="single" w:sz="8" w:space="0" w:color="000000"/>
              <w:left w:val="single" w:sz="8" w:space="0" w:color="000000"/>
              <w:bottom w:val="single" w:sz="8" w:space="0" w:color="000000"/>
              <w:right w:val="single" w:sz="8" w:space="0" w:color="000000"/>
            </w:tcBorders>
            <w:shd w:val="clear" w:color="auto" w:fill="auto"/>
          </w:tcPr>
          <w:p w14:paraId="0B362B3B" w14:textId="14011D2E" w:rsidR="001529CF" w:rsidRDefault="00D21F7F" w:rsidP="00A313B9">
            <w:pPr>
              <w:pStyle w:val="LO-normal"/>
              <w:widowControl w:val="0"/>
              <w:spacing w:line="240" w:lineRule="auto"/>
              <w:jc w:val="both"/>
            </w:pPr>
            <w:r>
              <w:fldChar w:fldCharType="begin" w:fldLock="1"/>
            </w:r>
            <w:r w:rsidR="00576689">
              <w:instrText>ADDIN CSL_CITATION {"citationItems":[{"id":"ITEM-1","itemData":{"DOI":"10.1021/acs.jpcb.7b06591","ISSN":"15205207","PMID":"28879767","abstract":"Protegrin-1 is an 18-residue β-hairpin antimicrobial peptide (AMP) that has been suggested to form transmembrane β-barrels in biological membranes. However, alternative structures have also been proposed. Here, we performed multimicrosecond, all-atom molecular dynamics simulations of various protegrin-1 oligomers on the membrane surface and in transmembrane topologies. The membrane surface simulations indicated that protegrin dimers are stable, whereas trimers and tetramers break down. Tetrameric arcs remained stably inserted in lipid membranes, but the pore water was displaced by lipid molecules. Unsheared protegrin β-barrels opened into β-sheets that surrounded stable aqueous pores, whereas tilted barrels with sheared hydrogen bonding patterns were stable in most topologies. A third type of observed pore consisted of multiple small oligomers surrounding a small, partially lipidic pore. We also considered the β-hairpin AMP tachyplesin, which showed less tendency to oligomerize than protegrin: the octameric bundle resulted in small pores surrounded by six peptides as monomers and dimers, with some peptides returning to the membrane surface. The results imply that multiple configurations of protegrin oligomers may produce aqueous pores and illustrate the relationship between topology and putative steps in protegrin-1's pore formation. However, the long-term stability of these structures needs to be assessed further.","author":[{"dropping-particle":"","family":"Lipkin","given":"Richard","non-dropping-particle":"","parse-names":false,"suffix":""},{"dropping-particle":"","family":"Pino-Angeles","given":"Almudena","non-dropping-particle":"","parse-names":false,"suffix":""},{"dropping-particle":"","family":"Lazaridis","given":"Themis","non-dropping-particle":"","parse-names":false,"suffix":""}],"container-title":"Journal of Physical Chemistry B","id":"ITEM-1","issue":"39","issued":{"date-parts":[["2017","10","5"]]},"page":"9126-9140","publisher":"American Chemical Society","title":"Transmembrane Pore Structures of β-Hairpin Antimicrobial Peptides by All-Atom Simulations","type":"article-journal","volume":"121"},"uris":["http://www.mendeley.com/documents/?uuid=eb2b277d-758b-380f-978a-8a1af0200847"]}],"mendeley":{"formattedCitation":"&lt;sup&gt;233&lt;/sup&gt;","plainTextFormattedCitation":"233","previouslyFormattedCitation":"&lt;sup&gt;233&lt;/sup&gt;"},"properties":{"noteIndex":0},"schema":"https://github.com/citation-style-language/schema/raw/master/csl-citation.json"}</w:instrText>
            </w:r>
            <w:r>
              <w:fldChar w:fldCharType="separate"/>
            </w:r>
            <w:r w:rsidR="00A313B9" w:rsidRPr="00A313B9">
              <w:rPr>
                <w:noProof/>
                <w:vertAlign w:val="superscript"/>
              </w:rPr>
              <w:t>233</w:t>
            </w:r>
            <w:r>
              <w:fldChar w:fldCharType="end"/>
            </w:r>
          </w:p>
        </w:tc>
      </w:tr>
      <w:tr w:rsidR="00D21F7F" w14:paraId="1D3FB358" w14:textId="77777777">
        <w:tc>
          <w:tcPr>
            <w:tcW w:w="3120" w:type="dxa"/>
            <w:tcBorders>
              <w:top w:val="single" w:sz="8" w:space="0" w:color="000000"/>
              <w:left w:val="single" w:sz="8" w:space="0" w:color="000000"/>
              <w:bottom w:val="single" w:sz="8" w:space="0" w:color="000000"/>
              <w:right w:val="single" w:sz="8" w:space="0" w:color="000000"/>
            </w:tcBorders>
            <w:shd w:val="clear" w:color="auto" w:fill="auto"/>
          </w:tcPr>
          <w:p w14:paraId="06CB0A0B" w14:textId="77777777" w:rsidR="001529CF" w:rsidRDefault="00492337">
            <w:pPr>
              <w:pStyle w:val="LO-normal"/>
              <w:widowControl w:val="0"/>
              <w:spacing w:line="240" w:lineRule="auto"/>
              <w:jc w:val="both"/>
            </w:pPr>
            <w:r>
              <w:lastRenderedPageBreak/>
              <w:t xml:space="preserve">POPE:POPG:Cholesterol 7:2.2:0.8 </w:t>
            </w:r>
          </w:p>
        </w:tc>
        <w:tc>
          <w:tcPr>
            <w:tcW w:w="4732" w:type="dxa"/>
            <w:tcBorders>
              <w:top w:val="single" w:sz="8" w:space="0" w:color="000000"/>
              <w:left w:val="single" w:sz="8" w:space="0" w:color="000000"/>
              <w:bottom w:val="single" w:sz="8" w:space="0" w:color="000000"/>
              <w:right w:val="single" w:sz="8" w:space="0" w:color="000000"/>
            </w:tcBorders>
            <w:shd w:val="clear" w:color="auto" w:fill="auto"/>
          </w:tcPr>
          <w:p w14:paraId="364CEE23" w14:textId="77777777" w:rsidR="001529CF" w:rsidRDefault="00492337">
            <w:pPr>
              <w:pStyle w:val="LO-normal"/>
              <w:widowControl w:val="0"/>
              <w:spacing w:line="240" w:lineRule="auto"/>
              <w:jc w:val="both"/>
            </w:pPr>
            <w:r>
              <w:t>Bacterial</w:t>
            </w:r>
          </w:p>
        </w:tc>
        <w:tc>
          <w:tcPr>
            <w:tcW w:w="1508" w:type="dxa"/>
            <w:tcBorders>
              <w:top w:val="single" w:sz="8" w:space="0" w:color="000000"/>
              <w:left w:val="single" w:sz="8" w:space="0" w:color="000000"/>
              <w:bottom w:val="single" w:sz="8" w:space="0" w:color="000000"/>
              <w:right w:val="single" w:sz="8" w:space="0" w:color="000000"/>
            </w:tcBorders>
            <w:shd w:val="clear" w:color="auto" w:fill="auto"/>
          </w:tcPr>
          <w:p w14:paraId="405879A6" w14:textId="0A175367" w:rsidR="001529CF" w:rsidRDefault="00D21F7F" w:rsidP="00A313B9">
            <w:pPr>
              <w:pStyle w:val="LO-normal"/>
              <w:widowControl w:val="0"/>
              <w:spacing w:line="240" w:lineRule="auto"/>
              <w:jc w:val="both"/>
            </w:pPr>
            <w:r>
              <w:fldChar w:fldCharType="begin" w:fldLock="1"/>
            </w:r>
            <w:r w:rsidR="00576689">
              <w:instrText>ADDIN CSL_CITATION {"citationItems":[{"id":"ITEM-1","itemData":{"DOI":"10.1021/acs.jpcb.7b06591","ISSN":"15205207","PMID":"28879767","abstract":"Protegrin-1 is an 18-residue β-hairpin antimicrobial peptide (AMP) that has been suggested to form transmembrane β-barrels in biological membranes. However, alternative structures have also been proposed. Here, we performed multimicrosecond, all-atom molecular dynamics simulations of various protegrin-1 oligomers on the membrane surface and in transmembrane topologies. The membrane surface simulations indicated that protegrin dimers are stable, whereas trimers and tetramers break down. Tetrameric arcs remained stably inserted in lipid membranes, but the pore water was displaced by lipid molecules. Unsheared protegrin β-barrels opened into β-sheets that surrounded stable aqueous pores, whereas tilted barrels with sheared hydrogen bonding patterns were stable in most topologies. A third type of observed pore consisted of multiple small oligomers surrounding a small, partially lipidic pore. We also considered the β-hairpin AMP tachyplesin, which showed less tendency to oligomerize than protegrin: the octameric bundle resulted in small pores surrounded by six peptides as monomers and dimers, with some peptides returning to the membrane surface. The results imply that multiple configurations of protegrin oligomers may produce aqueous pores and illustrate the relationship between topology and putative steps in protegrin-1's pore formation. However, the long-term stability of these structures needs to be assessed further.","author":[{"dropping-particle":"","family":"Lipkin","given":"Richard","non-dropping-particle":"","parse-names":false,"suffix":""},{"dropping-particle":"","family":"Pino-Angeles","given":"Almudena","non-dropping-particle":"","parse-names":false,"suffix":""},{"dropping-particle":"","family":"Lazaridis","given":"Themis","non-dropping-particle":"","parse-names":false,"suffix":""}],"container-title":"Journal of Physical Chemistry B","id":"ITEM-1","issue":"39","issued":{"date-parts":[["2017","10","5"]]},"page":"9126-9140","publisher":"American Chemical Society","title":"Transmembrane Pore Structures of β-Hairpin Antimicrobial Peptides by All-Atom Simulations","type":"article-journal","volume":"121"},"uris":["http://www.mendeley.com/documents/?uuid=eb2b277d-758b-380f-978a-8a1af0200847"]}],"mendeley":{"formattedCitation":"&lt;sup&gt;233&lt;/sup&gt;","plainTextFormattedCitation":"233","previouslyFormattedCitation":"&lt;sup&gt;233&lt;/sup&gt;"},"properties":{"noteIndex":0},"schema":"https://github.com/citation-style-language/schema/raw/master/csl-citation.json"}</w:instrText>
            </w:r>
            <w:r>
              <w:fldChar w:fldCharType="separate"/>
            </w:r>
            <w:r w:rsidR="00A313B9" w:rsidRPr="00A313B9">
              <w:rPr>
                <w:noProof/>
                <w:vertAlign w:val="superscript"/>
              </w:rPr>
              <w:t>233</w:t>
            </w:r>
            <w:r>
              <w:fldChar w:fldCharType="end"/>
            </w:r>
          </w:p>
        </w:tc>
      </w:tr>
      <w:tr w:rsidR="00D21F7F" w14:paraId="03194B93" w14:textId="77777777">
        <w:tc>
          <w:tcPr>
            <w:tcW w:w="3120" w:type="dxa"/>
            <w:tcBorders>
              <w:top w:val="single" w:sz="8" w:space="0" w:color="000000"/>
              <w:left w:val="single" w:sz="8" w:space="0" w:color="000000"/>
              <w:bottom w:val="single" w:sz="8" w:space="0" w:color="000000"/>
              <w:right w:val="single" w:sz="8" w:space="0" w:color="000000"/>
            </w:tcBorders>
            <w:shd w:val="clear" w:color="auto" w:fill="auto"/>
          </w:tcPr>
          <w:p w14:paraId="2FCFE8DF" w14:textId="77777777" w:rsidR="00257F38" w:rsidRDefault="00492337" w:rsidP="002C1AE1">
            <w:pPr>
              <w:pStyle w:val="LO-normal"/>
              <w:widowControl w:val="0"/>
              <w:spacing w:line="240" w:lineRule="auto"/>
              <w:jc w:val="both"/>
            </w:pPr>
            <w:r>
              <w:t>POPS</w:t>
            </w:r>
          </w:p>
        </w:tc>
        <w:tc>
          <w:tcPr>
            <w:tcW w:w="4732" w:type="dxa"/>
            <w:tcBorders>
              <w:top w:val="single" w:sz="8" w:space="0" w:color="000000"/>
              <w:left w:val="single" w:sz="8" w:space="0" w:color="000000"/>
              <w:bottom w:val="single" w:sz="8" w:space="0" w:color="000000"/>
              <w:right w:val="single" w:sz="8" w:space="0" w:color="000000"/>
            </w:tcBorders>
            <w:shd w:val="clear" w:color="auto" w:fill="auto"/>
          </w:tcPr>
          <w:p w14:paraId="56258BCD" w14:textId="77777777" w:rsidR="001529CF" w:rsidRDefault="00492337">
            <w:pPr>
              <w:pStyle w:val="LO-normal"/>
              <w:widowControl w:val="0"/>
              <w:spacing w:line="240" w:lineRule="auto"/>
              <w:jc w:val="both"/>
            </w:pPr>
            <w:r>
              <w:t>Mammalian, inner-leaflet</w:t>
            </w:r>
          </w:p>
        </w:tc>
        <w:tc>
          <w:tcPr>
            <w:tcW w:w="1508" w:type="dxa"/>
            <w:tcBorders>
              <w:top w:val="single" w:sz="8" w:space="0" w:color="000000"/>
              <w:left w:val="single" w:sz="8" w:space="0" w:color="000000"/>
              <w:bottom w:val="single" w:sz="8" w:space="0" w:color="000000"/>
              <w:right w:val="single" w:sz="8" w:space="0" w:color="000000"/>
            </w:tcBorders>
            <w:shd w:val="clear" w:color="auto" w:fill="auto"/>
          </w:tcPr>
          <w:p w14:paraId="79711AAD" w14:textId="6A419B14" w:rsidR="001529CF" w:rsidRDefault="00D21F7F" w:rsidP="00A313B9">
            <w:pPr>
              <w:pStyle w:val="LO-normal"/>
              <w:widowControl w:val="0"/>
              <w:spacing w:line="240" w:lineRule="auto"/>
              <w:jc w:val="both"/>
            </w:pPr>
            <w:r>
              <w:fldChar w:fldCharType="begin" w:fldLock="1"/>
            </w:r>
            <w:r w:rsidR="00576689">
              <w:instrText>ADDIN CSL_CITATION {"citationItems":[{"id":"ITEM-1","itemData":{"DOI":"10.1039/c7cp01941f","ISSN":"14639076","PMID":"28702543","abstract":"Multidrug resistance against the existing antibiotics is one of the most challenging threats across the globe. Antimicrobial peptides (AMPs), in this regard, are considered to be one of the effective alternatives that can overcome bacterial resistance. MSI-594, a 24-residue linear alpha-helical cationic AMP, has been shown to function via the carpet mechanism to disrupt bacterial membrane systems. To better understand the role of lipid composition in the function of MSI-594, in the present study, eight different model membrane systems have been studied using accelerated molecular dynamics (aMD) simulations. The simulated results are helpful in discriminating the particular effects of cationic MSI-594 against zwitterionic POPC, anionic POPG and POPS, and neutral POPE lipid moieties. Additionally, the effects of various heterogeneous POPC/POPG (7:3), POPC/POPS (7:3), and POPG/POPE (1:3 and 3:1) bilayer systems on the dynamic interaction of MSI-594 have also been investigated. The effect on the lipid bilayer due to the interaction with the peptide is characterized by lipid acyl-chain order, membrane thickness, and acyl-chain dynamics. Our simulation results show that the lipid composition affects the membrane interaction of MSI-594, suggesting that membrane selectivity is crucial to its mechanism of action. The results reported in this study are helpful to obtain accurate atomistic-level information governing MSI-594 and its membrane disruptive antimicrobial mechanism of action, and to design next generation potent antimicrobial peptides.","author":[{"dropping-particle":"","family":"Mukherjee","given":"Shruti","non-dropping-particle":"","parse-names":false,"suffix":""},{"dropping-particle":"","family":"Kar","given":"Rajiv K.","non-dropping-particle":"","parse-names":false,"suffix":""},{"dropping-particle":"","family":"Nanga","given":"Ravi Prakash Reddy","non-dropping-particle":"","parse-names":false,"suffix":""},{"dropping-particle":"","family":"Mroue","given":"Kamal H.","non-dropping-particle":"","parse-names":false,"suffix":""},{"dropping-particle":"","family":"Ramamoorthy","given":"Ayyalusamy","non-dropping-particle":"","parse-names":false,"suffix":""},{"dropping-particle":"","family":"Bhunia","given":"Anirban","non-dropping-particle":"","parse-names":false,"suffix":""}],"container-title":"Physical Chemistry Chemical Physics","id":"ITEM-1","issue":"29","issued":{"date-parts":[["2017","7","26"]]},"page":"19289-19299","publisher":"Royal Society of Chemistry","title":"Accelerated molecular dynamics simulation analysis of MSI-594 in a lipid bilayer","type":"article-journal","volume":"19"},"uris":["http://www.mendeley.com/documents/?uuid=917b28e6-2689-363c-9c5f-44e76bab0072"]}],"mendeley":{"formattedCitation":"&lt;sup&gt;222&lt;/sup&gt;","plainTextFormattedCitation":"222","previouslyFormattedCitation":"&lt;sup&gt;222&lt;/sup&gt;"},"properties":{"noteIndex":0},"schema":"https://github.com/citation-style-language/schema/raw/master/csl-citation.json"}</w:instrText>
            </w:r>
            <w:r>
              <w:fldChar w:fldCharType="separate"/>
            </w:r>
            <w:r w:rsidR="00A313B9" w:rsidRPr="00A313B9">
              <w:rPr>
                <w:noProof/>
                <w:vertAlign w:val="superscript"/>
              </w:rPr>
              <w:t>222</w:t>
            </w:r>
            <w:r>
              <w:fldChar w:fldCharType="end"/>
            </w:r>
          </w:p>
        </w:tc>
      </w:tr>
      <w:tr w:rsidR="00D21F7F" w14:paraId="48D00FBE" w14:textId="77777777">
        <w:tc>
          <w:tcPr>
            <w:tcW w:w="3120" w:type="dxa"/>
            <w:tcBorders>
              <w:top w:val="single" w:sz="8" w:space="0" w:color="000000"/>
              <w:left w:val="single" w:sz="8" w:space="0" w:color="000000"/>
              <w:bottom w:val="single" w:sz="8" w:space="0" w:color="000000"/>
              <w:right w:val="single" w:sz="8" w:space="0" w:color="000000"/>
            </w:tcBorders>
            <w:shd w:val="clear" w:color="auto" w:fill="auto"/>
          </w:tcPr>
          <w:p w14:paraId="7C74E917" w14:textId="77777777" w:rsidR="002C1AE1" w:rsidRDefault="00492337">
            <w:pPr>
              <w:pStyle w:val="LO-normal"/>
              <w:widowControl w:val="0"/>
              <w:spacing w:line="240" w:lineRule="auto"/>
              <w:jc w:val="both"/>
            </w:pPr>
            <w:r>
              <w:t>POPC:POPG 7:3</w:t>
            </w:r>
          </w:p>
        </w:tc>
        <w:tc>
          <w:tcPr>
            <w:tcW w:w="4732" w:type="dxa"/>
            <w:tcBorders>
              <w:top w:val="single" w:sz="8" w:space="0" w:color="000000"/>
              <w:left w:val="single" w:sz="8" w:space="0" w:color="000000"/>
              <w:bottom w:val="single" w:sz="8" w:space="0" w:color="000000"/>
              <w:right w:val="single" w:sz="8" w:space="0" w:color="000000"/>
            </w:tcBorders>
            <w:shd w:val="clear" w:color="auto" w:fill="auto"/>
          </w:tcPr>
          <w:p w14:paraId="2C1F1B62" w14:textId="77777777" w:rsidR="001529CF" w:rsidRDefault="00492337">
            <w:pPr>
              <w:pStyle w:val="LO-normal"/>
              <w:widowControl w:val="0"/>
              <w:spacing w:line="240" w:lineRule="auto"/>
              <w:jc w:val="both"/>
            </w:pPr>
            <w:r>
              <w:t>Bacterial, inner-leaflet</w:t>
            </w:r>
          </w:p>
        </w:tc>
        <w:tc>
          <w:tcPr>
            <w:tcW w:w="1508" w:type="dxa"/>
            <w:tcBorders>
              <w:top w:val="single" w:sz="8" w:space="0" w:color="000000"/>
              <w:left w:val="single" w:sz="8" w:space="0" w:color="000000"/>
              <w:bottom w:val="single" w:sz="8" w:space="0" w:color="000000"/>
              <w:right w:val="single" w:sz="8" w:space="0" w:color="000000"/>
            </w:tcBorders>
            <w:shd w:val="clear" w:color="auto" w:fill="auto"/>
          </w:tcPr>
          <w:p w14:paraId="406A4B1B" w14:textId="05782E7B" w:rsidR="001529CF" w:rsidRDefault="00D21F7F" w:rsidP="00A313B9">
            <w:pPr>
              <w:pStyle w:val="LO-normal"/>
              <w:widowControl w:val="0"/>
              <w:spacing w:line="240" w:lineRule="auto"/>
              <w:jc w:val="both"/>
            </w:pPr>
            <w:r>
              <w:fldChar w:fldCharType="begin" w:fldLock="1"/>
            </w:r>
            <w:r w:rsidR="00576689">
              <w:instrText>ADDIN CSL_CITATION {"citationItems":[{"id":"ITEM-1","itemData":{"DOI":"10.1039/c7cp01941f","ISSN":"14639076","PMID":"28702543","abstract":"Multidrug resistance against the existing antibiotics is one of the most challenging threats across the globe. Antimicrobial peptides (AMPs), in this regard, are considered to be one of the effective alternatives that can overcome bacterial resistance. MSI-594, a 24-residue linear alpha-helical cationic AMP, has been shown to function via the carpet mechanism to disrupt bacterial membrane systems. To better understand the role of lipid composition in the function of MSI-594, in the present study, eight different model membrane systems have been studied using accelerated molecular dynamics (aMD) simulations. The simulated results are helpful in discriminating the particular effects of cationic MSI-594 against zwitterionic POPC, anionic POPG and POPS, and neutral POPE lipid moieties. Additionally, the effects of various heterogeneous POPC/POPG (7:3), POPC/POPS (7:3), and POPG/POPE (1:3 and 3:1) bilayer systems on the dynamic interaction of MSI-594 have also been investigated. The effect on the lipid bilayer due to the interaction with the peptide is characterized by lipid acyl-chain order, membrane thickness, and acyl-chain dynamics. Our simulation results show that the lipid composition affects the membrane interaction of MSI-594, suggesting that membrane selectivity is crucial to its mechanism of action. The results reported in this study are helpful to obtain accurate atomistic-level information governing MSI-594 and its membrane disruptive antimicrobial mechanism of action, and to design next generation potent antimicrobial peptides.","author":[{"dropping-particle":"","family":"Mukherjee","given":"Shruti","non-dropping-particle":"","parse-names":false,"suffix":""},{"dropping-particle":"","family":"Kar","given":"Rajiv K.","non-dropping-particle":"","parse-names":false,"suffix":""},{"dropping-particle":"","family":"Nanga","given":"Ravi Prakash Reddy","non-dropping-particle":"","parse-names":false,"suffix":""},{"dropping-particle":"","family":"Mroue","given":"Kamal H.","non-dropping-particle":"","parse-names":false,"suffix":""},{"dropping-particle":"","family":"Ramamoorthy","given":"Ayyalusamy","non-dropping-particle":"","parse-names":false,"suffix":""},{"dropping-particle":"","family":"Bhunia","given":"Anirban","non-dropping-particle":"","parse-names":false,"suffix":""}],"container-title":"Physical Chemistry Chemical Physics","id":"ITEM-1","issue":"29","issued":{"date-parts":[["2017","7","26"]]},"page":"19289-19299","publisher":"Royal Society of Chemistry","title":"Accelerated molecular dynamics simulation analysis of MSI-594 in a lipid bilayer","type":"article-journal","volume":"19"},"uris":["http://www.mendeley.com/documents/?uuid=917b28e6-2689-363c-9c5f-44e76bab0072"]}],"mendeley":{"formattedCitation":"&lt;sup&gt;222&lt;/sup&gt;","plainTextFormattedCitation":"222","previouslyFormattedCitation":"&lt;sup&gt;222&lt;/sup&gt;"},"properties":{"noteIndex":0},"schema":"https://github.com/citation-style-language/schema/raw/master/csl-citation.json"}</w:instrText>
            </w:r>
            <w:r>
              <w:fldChar w:fldCharType="separate"/>
            </w:r>
            <w:r w:rsidR="00A313B9" w:rsidRPr="00A313B9">
              <w:rPr>
                <w:noProof/>
                <w:vertAlign w:val="superscript"/>
              </w:rPr>
              <w:t>222</w:t>
            </w:r>
            <w:r>
              <w:fldChar w:fldCharType="end"/>
            </w:r>
          </w:p>
        </w:tc>
      </w:tr>
      <w:tr w:rsidR="00D21F7F" w14:paraId="0F7C0C04" w14:textId="77777777">
        <w:tc>
          <w:tcPr>
            <w:tcW w:w="3120" w:type="dxa"/>
            <w:tcBorders>
              <w:top w:val="single" w:sz="8" w:space="0" w:color="000000"/>
              <w:left w:val="single" w:sz="8" w:space="0" w:color="000000"/>
              <w:bottom w:val="single" w:sz="8" w:space="0" w:color="000000"/>
              <w:right w:val="single" w:sz="8" w:space="0" w:color="000000"/>
            </w:tcBorders>
            <w:shd w:val="clear" w:color="auto" w:fill="auto"/>
          </w:tcPr>
          <w:p w14:paraId="70F8CA0E" w14:textId="77777777" w:rsidR="001529CF" w:rsidRDefault="00492337">
            <w:pPr>
              <w:pStyle w:val="LO-normal"/>
              <w:widowControl w:val="0"/>
              <w:spacing w:line="240" w:lineRule="auto"/>
              <w:jc w:val="both"/>
            </w:pPr>
            <w:r>
              <w:t>POPC:POPS 7:3</w:t>
            </w:r>
          </w:p>
        </w:tc>
        <w:tc>
          <w:tcPr>
            <w:tcW w:w="4732" w:type="dxa"/>
            <w:tcBorders>
              <w:top w:val="single" w:sz="8" w:space="0" w:color="000000"/>
              <w:left w:val="single" w:sz="8" w:space="0" w:color="000000"/>
              <w:bottom w:val="single" w:sz="8" w:space="0" w:color="000000"/>
              <w:right w:val="single" w:sz="8" w:space="0" w:color="000000"/>
            </w:tcBorders>
            <w:shd w:val="clear" w:color="auto" w:fill="auto"/>
          </w:tcPr>
          <w:p w14:paraId="136C79B8" w14:textId="77777777" w:rsidR="001529CF" w:rsidRDefault="00492337">
            <w:pPr>
              <w:pStyle w:val="LO-normal"/>
              <w:widowControl w:val="0"/>
              <w:spacing w:line="240" w:lineRule="auto"/>
              <w:jc w:val="both"/>
            </w:pPr>
            <w:r>
              <w:t>Bacterial</w:t>
            </w:r>
          </w:p>
        </w:tc>
        <w:tc>
          <w:tcPr>
            <w:tcW w:w="1508" w:type="dxa"/>
            <w:tcBorders>
              <w:top w:val="single" w:sz="8" w:space="0" w:color="000000"/>
              <w:left w:val="single" w:sz="8" w:space="0" w:color="000000"/>
              <w:bottom w:val="single" w:sz="8" w:space="0" w:color="000000"/>
              <w:right w:val="single" w:sz="8" w:space="0" w:color="000000"/>
            </w:tcBorders>
            <w:shd w:val="clear" w:color="auto" w:fill="auto"/>
          </w:tcPr>
          <w:p w14:paraId="43863A6C" w14:textId="5C7FD162" w:rsidR="001529CF" w:rsidRDefault="00D21F7F" w:rsidP="00A313B9">
            <w:pPr>
              <w:pStyle w:val="LO-normal"/>
              <w:widowControl w:val="0"/>
              <w:spacing w:line="240" w:lineRule="auto"/>
              <w:jc w:val="both"/>
            </w:pPr>
            <w:r>
              <w:fldChar w:fldCharType="begin" w:fldLock="1"/>
            </w:r>
            <w:r w:rsidR="00576689">
              <w:instrText>ADDIN CSL_CITATION {"citationItems":[{"id":"ITEM-1","itemData":{"DOI":"10.1039/c7cp01941f","ISSN":"14639076","PMID":"28702543","abstract":"Multidrug resistance against the existing antibiotics is one of the most challenging threats across the globe. Antimicrobial peptides (AMPs), in this regard, are considered to be one of the effective alternatives that can overcome bacterial resistance. MSI-594, a 24-residue linear alpha-helical cationic AMP, has been shown to function via the carpet mechanism to disrupt bacterial membrane systems. To better understand the role of lipid composition in the function of MSI-594, in the present study, eight different model membrane systems have been studied using accelerated molecular dynamics (aMD) simulations. The simulated results are helpful in discriminating the particular effects of cationic MSI-594 against zwitterionic POPC, anionic POPG and POPS, and neutral POPE lipid moieties. Additionally, the effects of various heterogeneous POPC/POPG (7:3), POPC/POPS (7:3), and POPG/POPE (1:3 and 3:1) bilayer systems on the dynamic interaction of MSI-594 have also been investigated. The effect on the lipid bilayer due to the interaction with the peptide is characterized by lipid acyl-chain order, membrane thickness, and acyl-chain dynamics. Our simulation results show that the lipid composition affects the membrane interaction of MSI-594, suggesting that membrane selectivity is crucial to its mechanism of action. The results reported in this study are helpful to obtain accurate atomistic-level information governing MSI-594 and its membrane disruptive antimicrobial mechanism of action, and to design next generation potent antimicrobial peptides.","author":[{"dropping-particle":"","family":"Mukherjee","given":"Shruti","non-dropping-particle":"","parse-names":false,"suffix":""},{"dropping-particle":"","family":"Kar","given":"Rajiv K.","non-dropping-particle":"","parse-names":false,"suffix":""},{"dropping-particle":"","family":"Nanga","given":"Ravi Prakash Reddy","non-dropping-particle":"","parse-names":false,"suffix":""},{"dropping-particle":"","family":"Mroue","given":"Kamal H.","non-dropping-particle":"","parse-names":false,"suffix":""},{"dropping-particle":"","family":"Ramamoorthy","given":"Ayyalusamy","non-dropping-particle":"","parse-names":false,"suffix":""},{"dropping-particle":"","family":"Bhunia","given":"Anirban","non-dropping-particle":"","parse-names":false,"suffix":""}],"container-title":"Physical Chemistry Chemical Physics","id":"ITEM-1","issue":"29","issued":{"date-parts":[["2017","7","26"]]},"page":"19289-19299","publisher":"Royal Society of Chemistry","title":"Accelerated molecular dynamics simulation analysis of MSI-594 in a lipid bilayer","type":"article-journal","volume":"19"},"uris":["http://www.mendeley.com/documents/?uuid=917b28e6-2689-363c-9c5f-44e76bab0072"]}],"mendeley":{"formattedCitation":"&lt;sup&gt;222&lt;/sup&gt;","plainTextFormattedCitation":"222","previouslyFormattedCitation":"&lt;sup&gt;222&lt;/sup&gt;"},"properties":{"noteIndex":0},"schema":"https://github.com/citation-style-language/schema/raw/master/csl-citation.json"}</w:instrText>
            </w:r>
            <w:r>
              <w:fldChar w:fldCharType="separate"/>
            </w:r>
            <w:r w:rsidR="00A313B9" w:rsidRPr="00A313B9">
              <w:rPr>
                <w:noProof/>
                <w:vertAlign w:val="superscript"/>
              </w:rPr>
              <w:t>222</w:t>
            </w:r>
            <w:r>
              <w:fldChar w:fldCharType="end"/>
            </w:r>
          </w:p>
        </w:tc>
      </w:tr>
      <w:tr w:rsidR="00D21F7F" w14:paraId="3321F50B" w14:textId="77777777">
        <w:tc>
          <w:tcPr>
            <w:tcW w:w="3120" w:type="dxa"/>
            <w:tcBorders>
              <w:top w:val="single" w:sz="8" w:space="0" w:color="000000"/>
              <w:left w:val="single" w:sz="8" w:space="0" w:color="000000"/>
              <w:bottom w:val="single" w:sz="8" w:space="0" w:color="000000"/>
              <w:right w:val="single" w:sz="8" w:space="0" w:color="000000"/>
            </w:tcBorders>
            <w:shd w:val="clear" w:color="auto" w:fill="auto"/>
          </w:tcPr>
          <w:p w14:paraId="24E5B392" w14:textId="77777777" w:rsidR="001529CF" w:rsidRDefault="00492337">
            <w:pPr>
              <w:pStyle w:val="LO-normal"/>
              <w:widowControl w:val="0"/>
              <w:spacing w:line="240" w:lineRule="auto"/>
              <w:jc w:val="both"/>
            </w:pPr>
            <w:r>
              <w:t>POPG:POPE 3:1</w:t>
            </w:r>
          </w:p>
        </w:tc>
        <w:tc>
          <w:tcPr>
            <w:tcW w:w="4732" w:type="dxa"/>
            <w:tcBorders>
              <w:top w:val="single" w:sz="8" w:space="0" w:color="000000"/>
              <w:left w:val="single" w:sz="8" w:space="0" w:color="000000"/>
              <w:bottom w:val="single" w:sz="8" w:space="0" w:color="000000"/>
              <w:right w:val="single" w:sz="8" w:space="0" w:color="000000"/>
            </w:tcBorders>
            <w:shd w:val="clear" w:color="auto" w:fill="auto"/>
          </w:tcPr>
          <w:p w14:paraId="1B26B1C5" w14:textId="77777777" w:rsidR="001529CF" w:rsidRDefault="00492337">
            <w:pPr>
              <w:pStyle w:val="LO-normal"/>
              <w:widowControl w:val="0"/>
              <w:spacing w:line="240" w:lineRule="auto"/>
              <w:jc w:val="both"/>
            </w:pPr>
            <w:r>
              <w:t>Bacterial, Gram-positive</w:t>
            </w:r>
          </w:p>
        </w:tc>
        <w:tc>
          <w:tcPr>
            <w:tcW w:w="1508" w:type="dxa"/>
            <w:tcBorders>
              <w:top w:val="single" w:sz="8" w:space="0" w:color="000000"/>
              <w:left w:val="single" w:sz="8" w:space="0" w:color="000000"/>
              <w:bottom w:val="single" w:sz="8" w:space="0" w:color="000000"/>
              <w:right w:val="single" w:sz="8" w:space="0" w:color="000000"/>
            </w:tcBorders>
            <w:shd w:val="clear" w:color="auto" w:fill="auto"/>
          </w:tcPr>
          <w:p w14:paraId="367EA237" w14:textId="3935E931" w:rsidR="001529CF" w:rsidRDefault="00D21F7F" w:rsidP="00A313B9">
            <w:pPr>
              <w:pStyle w:val="LO-normal"/>
              <w:widowControl w:val="0"/>
              <w:spacing w:line="240" w:lineRule="auto"/>
              <w:jc w:val="both"/>
            </w:pPr>
            <w:r>
              <w:fldChar w:fldCharType="begin" w:fldLock="1"/>
            </w:r>
            <w:r w:rsidR="00576689">
              <w:instrText>ADDIN CSL_CITATION {"citationItems":[{"id":"ITEM-1","itemData":{"DOI":"10.1039/c7cp01941f","ISSN":"14639076","PMID":"28702543","abstract":"Multidrug resistance against the existing antibiotics is one of the most challenging threats across the globe. Antimicrobial peptides (AMPs), in this regard, are considered to be one of the effective alternatives that can overcome bacterial resistance. MSI-594, a 24-residue linear alpha-helical cationic AMP, has been shown to function via the carpet mechanism to disrupt bacterial membrane systems. To better understand the role of lipid composition in the function of MSI-594, in the present study, eight different model membrane systems have been studied using accelerated molecular dynamics (aMD) simulations. The simulated results are helpful in discriminating the particular effects of cationic MSI-594 against zwitterionic POPC, anionic POPG and POPS, and neutral POPE lipid moieties. Additionally, the effects of various heterogeneous POPC/POPG (7:3), POPC/POPS (7:3), and POPG/POPE (1:3 and 3:1) bilayer systems on the dynamic interaction of MSI-594 have also been investigated. The effect on the lipid bilayer due to the interaction with the peptide is characterized by lipid acyl-chain order, membrane thickness, and acyl-chain dynamics. Our simulation results show that the lipid composition affects the membrane interaction of MSI-594, suggesting that membrane selectivity is crucial to its mechanism of action. The results reported in this study are helpful to obtain accurate atomistic-level information governing MSI-594 and its membrane disruptive antimicrobial mechanism of action, and to design next generation potent antimicrobial peptides.","author":[{"dropping-particle":"","family":"Mukherjee","given":"Shruti","non-dropping-particle":"","parse-names":false,"suffix":""},{"dropping-particle":"","family":"Kar","given":"Rajiv K.","non-dropping-particle":"","parse-names":false,"suffix":""},{"dropping-particle":"","family":"Nanga","given":"Ravi Prakash Reddy","non-dropping-particle":"","parse-names":false,"suffix":""},{"dropping-particle":"","family":"Mroue","given":"Kamal H.","non-dropping-particle":"","parse-names":false,"suffix":""},{"dropping-particle":"","family":"Ramamoorthy","given":"Ayyalusamy","non-dropping-particle":"","parse-names":false,"suffix":""},{"dropping-particle":"","family":"Bhunia","given":"Anirban","non-dropping-particle":"","parse-names":false,"suffix":""}],"container-title":"Physical Chemistry Chemical Physics","id":"ITEM-1","issue":"29","issued":{"date-parts":[["2017","7","26"]]},"page":"19289-19299","publisher":"Royal Society of Chemistry","title":"Accelerated molecular dynamics simulation analysis of MSI-594 in a lipid bilayer","type":"article-journal","volume":"19"},"uris":["http://www.mendeley.com/documents/?uuid=917b28e6-2689-363c-9c5f-44e76bab0072"]}],"mendeley":{"formattedCitation":"&lt;sup&gt;222&lt;/sup&gt;","plainTextFormattedCitation":"222","previouslyFormattedCitation":"&lt;sup&gt;222&lt;/sup&gt;"},"properties":{"noteIndex":0},"schema":"https://github.com/citation-style-language/schema/raw/master/csl-citation.json"}</w:instrText>
            </w:r>
            <w:r>
              <w:fldChar w:fldCharType="separate"/>
            </w:r>
            <w:r w:rsidR="00A313B9" w:rsidRPr="00A313B9">
              <w:rPr>
                <w:noProof/>
                <w:vertAlign w:val="superscript"/>
              </w:rPr>
              <w:t>222</w:t>
            </w:r>
            <w:r>
              <w:fldChar w:fldCharType="end"/>
            </w:r>
          </w:p>
        </w:tc>
      </w:tr>
      <w:tr w:rsidR="00D21F7F" w14:paraId="779A6602" w14:textId="77777777">
        <w:tc>
          <w:tcPr>
            <w:tcW w:w="3120" w:type="dxa"/>
            <w:tcBorders>
              <w:top w:val="single" w:sz="8" w:space="0" w:color="000000"/>
              <w:left w:val="single" w:sz="8" w:space="0" w:color="000000"/>
              <w:bottom w:val="single" w:sz="8" w:space="0" w:color="000000"/>
              <w:right w:val="single" w:sz="8" w:space="0" w:color="000000"/>
            </w:tcBorders>
            <w:shd w:val="clear" w:color="auto" w:fill="auto"/>
          </w:tcPr>
          <w:p w14:paraId="38C27167" w14:textId="77777777" w:rsidR="002C1AE1" w:rsidRDefault="00492337">
            <w:pPr>
              <w:pStyle w:val="LO-normal"/>
              <w:widowControl w:val="0"/>
              <w:spacing w:line="240" w:lineRule="auto"/>
              <w:jc w:val="both"/>
            </w:pPr>
            <w:r>
              <w:t>DMPC:DMPG 1:1</w:t>
            </w:r>
          </w:p>
        </w:tc>
        <w:tc>
          <w:tcPr>
            <w:tcW w:w="4732" w:type="dxa"/>
            <w:tcBorders>
              <w:top w:val="single" w:sz="8" w:space="0" w:color="000000"/>
              <w:left w:val="single" w:sz="8" w:space="0" w:color="000000"/>
              <w:bottom w:val="single" w:sz="8" w:space="0" w:color="000000"/>
              <w:right w:val="single" w:sz="8" w:space="0" w:color="000000"/>
            </w:tcBorders>
            <w:shd w:val="clear" w:color="auto" w:fill="auto"/>
          </w:tcPr>
          <w:p w14:paraId="16853E0F" w14:textId="77777777" w:rsidR="001529CF" w:rsidRDefault="00492337">
            <w:pPr>
              <w:pStyle w:val="LO-normal"/>
              <w:widowControl w:val="0"/>
              <w:spacing w:line="240" w:lineRule="auto"/>
              <w:jc w:val="both"/>
            </w:pPr>
            <w:r>
              <w:t>Bacterial</w:t>
            </w:r>
          </w:p>
        </w:tc>
        <w:tc>
          <w:tcPr>
            <w:tcW w:w="1508" w:type="dxa"/>
            <w:tcBorders>
              <w:top w:val="single" w:sz="8" w:space="0" w:color="000000"/>
              <w:left w:val="single" w:sz="8" w:space="0" w:color="000000"/>
              <w:bottom w:val="single" w:sz="8" w:space="0" w:color="000000"/>
              <w:right w:val="single" w:sz="8" w:space="0" w:color="000000"/>
            </w:tcBorders>
            <w:shd w:val="clear" w:color="auto" w:fill="auto"/>
          </w:tcPr>
          <w:p w14:paraId="10AA7D6D" w14:textId="17D3FB09" w:rsidR="001529CF" w:rsidRDefault="00D21F7F" w:rsidP="00A313B9">
            <w:pPr>
              <w:pStyle w:val="LO-normal"/>
              <w:widowControl w:val="0"/>
              <w:spacing w:line="240" w:lineRule="auto"/>
              <w:jc w:val="both"/>
            </w:pPr>
            <w:r>
              <w:fldChar w:fldCharType="begin" w:fldLock="1"/>
            </w:r>
            <w:r w:rsidR="00576689">
              <w:instrText>ADDIN CSL_CITATION {"citationItems":[{"id":"ITEM-1","itemData":{"DOI":"10.1016/j.bbamem.2018.03.028","ISSN":"18792642","PMID":"29627322","abstract":"Daptomycin is a cyclic lipopeptide effective against multidrug Gram-positive bacteria. Despite having a net negative charge, it is selective against negatively charged bacterial membranes. It has been established that daptomycin's antibiotic activity is based on directly targeting the bacterial membranes and that this antibacterial activity depends on calcium ions. Importantly, however, both the precise role of ions and the physical mechanisms responsible for daptomycin's action remain poorly understood. We investigate these issues using three types of molecular dynamics simulations: umbrella sampling free energy calculations for a single daptomycin, unbiased simulations for daptomycin tetramers, and unbiased simulations of micellation of daptomycin both in the absence and presence of calcium ions. The simulations are in the excess of 4 μs. As the most important finding, we establish that binding of the calcium ions on the aspartic acid residues is the key to stabilizing daptomycin tetramers inside the model material membrane. These complexes are vital for daptomycin's antibacterial activity. In the absence of binding, the tetramer is not stable and moves slowly out of the membrane. We also demonstrate that in solution, micellation of daptomycin occurs both in the presence and absence of calcium ions, and discuss the similarities between the behaviors of daptomycin and amyloid peptides in membranes.","author":[{"dropping-particle":"","family":"Liu","given":"Bin","non-dropping-particle":"","parse-names":false,"suffix":""},{"dropping-particle":"","family":"Karttunen","given":"Mikko","non-dropping-particle":"","parse-names":false,"suffix":""}],"container-title":"Biochimica et Biophysica Acta - Biomembranes","id":"ITEM-1","issue":"9","issued":{"date-parts":[["2018","9","1"]]},"page":"1949-1954","publisher":"Elsevier B.V.","title":"Lipopeptide daptomycin: Interactions with bacterial and phospholipid membranes, stability of membrane aggregates and micellation in solution","type":"article-journal","volume":"1860"},"uris":["http://www.mendeley.com/documents/?uuid=7b3d93aa-733a-3fa0-a2a0-95a671450a26"]}],"mendeley":{"formattedCitation":"&lt;sup&gt;234&lt;/sup&gt;","plainTextFormattedCitation":"234","previouslyFormattedCitation":"&lt;sup&gt;234&lt;/sup&gt;"},"properties":{"noteIndex":0},"schema":"https://github.com/citation-style-language/schema/raw/master/csl-citation.json"}</w:instrText>
            </w:r>
            <w:r>
              <w:fldChar w:fldCharType="separate"/>
            </w:r>
            <w:r w:rsidR="00A313B9" w:rsidRPr="00A313B9">
              <w:rPr>
                <w:noProof/>
                <w:vertAlign w:val="superscript"/>
              </w:rPr>
              <w:t>234</w:t>
            </w:r>
            <w:r>
              <w:fldChar w:fldCharType="end"/>
            </w:r>
          </w:p>
        </w:tc>
      </w:tr>
      <w:tr w:rsidR="00D21F7F" w14:paraId="4052EC90" w14:textId="77777777">
        <w:tc>
          <w:tcPr>
            <w:tcW w:w="3120" w:type="dxa"/>
            <w:tcBorders>
              <w:top w:val="single" w:sz="8" w:space="0" w:color="000000"/>
              <w:left w:val="single" w:sz="8" w:space="0" w:color="000000"/>
              <w:bottom w:val="single" w:sz="8" w:space="0" w:color="000000"/>
              <w:right w:val="single" w:sz="8" w:space="0" w:color="000000"/>
            </w:tcBorders>
            <w:shd w:val="clear" w:color="auto" w:fill="auto"/>
          </w:tcPr>
          <w:p w14:paraId="79484964" w14:textId="77777777" w:rsidR="001529CF" w:rsidRDefault="00492337">
            <w:pPr>
              <w:pStyle w:val="LO-normal"/>
              <w:widowControl w:val="0"/>
              <w:spacing w:line="240" w:lineRule="auto"/>
              <w:jc w:val="both"/>
            </w:pPr>
            <w:r>
              <w:t>DMPC</w:t>
            </w:r>
          </w:p>
        </w:tc>
        <w:tc>
          <w:tcPr>
            <w:tcW w:w="4732" w:type="dxa"/>
            <w:tcBorders>
              <w:top w:val="single" w:sz="8" w:space="0" w:color="000000"/>
              <w:left w:val="single" w:sz="8" w:space="0" w:color="000000"/>
              <w:bottom w:val="single" w:sz="8" w:space="0" w:color="000000"/>
              <w:right w:val="single" w:sz="8" w:space="0" w:color="000000"/>
            </w:tcBorders>
            <w:shd w:val="clear" w:color="auto" w:fill="auto"/>
          </w:tcPr>
          <w:p w14:paraId="65348C78" w14:textId="77777777" w:rsidR="001529CF" w:rsidRDefault="00492337">
            <w:pPr>
              <w:pStyle w:val="LO-normal"/>
              <w:widowControl w:val="0"/>
              <w:spacing w:line="240" w:lineRule="auto"/>
              <w:jc w:val="both"/>
            </w:pPr>
            <w:r>
              <w:t>Mammalian</w:t>
            </w:r>
          </w:p>
        </w:tc>
        <w:tc>
          <w:tcPr>
            <w:tcW w:w="1508" w:type="dxa"/>
            <w:tcBorders>
              <w:top w:val="single" w:sz="8" w:space="0" w:color="000000"/>
              <w:left w:val="single" w:sz="8" w:space="0" w:color="000000"/>
              <w:bottom w:val="single" w:sz="8" w:space="0" w:color="000000"/>
              <w:right w:val="single" w:sz="8" w:space="0" w:color="000000"/>
            </w:tcBorders>
            <w:shd w:val="clear" w:color="auto" w:fill="auto"/>
          </w:tcPr>
          <w:p w14:paraId="2BFDBD46" w14:textId="2896BB6A" w:rsidR="001529CF" w:rsidRDefault="00D21F7F" w:rsidP="00A313B9">
            <w:pPr>
              <w:pStyle w:val="LO-normal"/>
              <w:widowControl w:val="0"/>
              <w:spacing w:line="240" w:lineRule="auto"/>
              <w:jc w:val="both"/>
            </w:pPr>
            <w:r>
              <w:fldChar w:fldCharType="begin" w:fldLock="1"/>
            </w:r>
            <w:r w:rsidR="00576689">
              <w:instrText>ADDIN CSL_CITATION {"citationItems":[{"id":"ITEM-1","itemData":{"DOI":"10.1016/j.bbamem.2018.03.028","ISSN":"18792642","PMID":"29627322","abstract":"Daptomycin is a cyclic lipopeptide effective against multidrug Gram-positive bacteria. Despite having a net negative charge, it is selective against negatively charged bacterial membranes. It has been established that daptomycin's antibiotic activity is based on directly targeting the bacterial membranes and that this antibacterial activity depends on calcium ions. Importantly, however, both the precise role of ions and the physical mechanisms responsible for daptomycin's action remain poorly understood. We investigate these issues using three types of molecular dynamics simulations: umbrella sampling free energy calculations for a single daptomycin, unbiased simulations for daptomycin tetramers, and unbiased simulations of micellation of daptomycin both in the absence and presence of calcium ions. The simulations are in the excess of 4 μs. As the most important finding, we establish that binding of the calcium ions on the aspartic acid residues is the key to stabilizing daptomycin tetramers inside the model material membrane. These complexes are vital for daptomycin's antibacterial activity. In the absence of binding, the tetramer is not stable and moves slowly out of the membrane. We also demonstrate that in solution, micellation of daptomycin occurs both in the presence and absence of calcium ions, and discuss the similarities between the behaviors of daptomycin and amyloid peptides in membranes.","author":[{"dropping-particle":"","family":"Liu","given":"Bin","non-dropping-particle":"","parse-names":false,"suffix":""},{"dropping-particle":"","family":"Karttunen","given":"Mikko","non-dropping-particle":"","parse-names":false,"suffix":""}],"container-title":"Biochimica et Biophysica Acta - Biomembranes","id":"ITEM-1","issue":"9","issued":{"date-parts":[["2018","9","1"]]},"page":"1949-1954","publisher":"Elsevier B.V.","title":"Lipopeptide daptomycin: Interactions with bacterial and phospholipid membranes, stability of membrane aggregates and micellation in solution","type":"article-journal","volume":"1860"},"uris":["http://www.mendeley.com/documents/?uuid=7b3d93aa-733a-3fa0-a2a0-95a671450a26"]}],"mendeley":{"formattedCitation":"&lt;sup&gt;234&lt;/sup&gt;","plainTextFormattedCitation":"234","previouslyFormattedCitation":"&lt;sup&gt;234&lt;/sup&gt;"},"properties":{"noteIndex":0},"schema":"https://github.com/citation-style-language/schema/raw/master/csl-citation.json"}</w:instrText>
            </w:r>
            <w:r>
              <w:fldChar w:fldCharType="separate"/>
            </w:r>
            <w:r w:rsidR="00A313B9" w:rsidRPr="00A313B9">
              <w:rPr>
                <w:noProof/>
                <w:vertAlign w:val="superscript"/>
              </w:rPr>
              <w:t>234</w:t>
            </w:r>
            <w:r>
              <w:fldChar w:fldCharType="end"/>
            </w:r>
          </w:p>
        </w:tc>
      </w:tr>
      <w:tr w:rsidR="00D21F7F" w14:paraId="5D1607FC" w14:textId="77777777">
        <w:tc>
          <w:tcPr>
            <w:tcW w:w="3120" w:type="dxa"/>
            <w:tcBorders>
              <w:top w:val="single" w:sz="8" w:space="0" w:color="000000"/>
              <w:left w:val="single" w:sz="8" w:space="0" w:color="000000"/>
              <w:bottom w:val="single" w:sz="8" w:space="0" w:color="000000"/>
              <w:right w:val="single" w:sz="8" w:space="0" w:color="000000"/>
            </w:tcBorders>
            <w:shd w:val="clear" w:color="auto" w:fill="auto"/>
          </w:tcPr>
          <w:p w14:paraId="484A2AC0" w14:textId="77777777" w:rsidR="001529CF" w:rsidRDefault="00492337">
            <w:pPr>
              <w:pStyle w:val="LO-normal"/>
              <w:widowControl w:val="0"/>
              <w:spacing w:line="240" w:lineRule="auto"/>
              <w:jc w:val="both"/>
            </w:pPr>
            <w:r>
              <w:t>DOPC:DOPG 7:3</w:t>
            </w:r>
          </w:p>
        </w:tc>
        <w:tc>
          <w:tcPr>
            <w:tcW w:w="4732" w:type="dxa"/>
            <w:tcBorders>
              <w:top w:val="single" w:sz="8" w:space="0" w:color="000000"/>
              <w:left w:val="single" w:sz="8" w:space="0" w:color="000000"/>
              <w:bottom w:val="single" w:sz="8" w:space="0" w:color="000000"/>
              <w:right w:val="single" w:sz="8" w:space="0" w:color="000000"/>
            </w:tcBorders>
            <w:shd w:val="clear" w:color="auto" w:fill="auto"/>
          </w:tcPr>
          <w:p w14:paraId="6056EACE" w14:textId="77777777" w:rsidR="001529CF" w:rsidRDefault="00492337">
            <w:pPr>
              <w:pStyle w:val="LO-normal"/>
              <w:widowControl w:val="0"/>
              <w:spacing w:line="240" w:lineRule="auto"/>
              <w:jc w:val="both"/>
            </w:pPr>
            <w:r>
              <w:t>Bacterial</w:t>
            </w:r>
          </w:p>
        </w:tc>
        <w:tc>
          <w:tcPr>
            <w:tcW w:w="1508" w:type="dxa"/>
            <w:tcBorders>
              <w:top w:val="single" w:sz="8" w:space="0" w:color="000000"/>
              <w:left w:val="single" w:sz="8" w:space="0" w:color="000000"/>
              <w:bottom w:val="single" w:sz="8" w:space="0" w:color="000000"/>
              <w:right w:val="single" w:sz="8" w:space="0" w:color="000000"/>
            </w:tcBorders>
            <w:shd w:val="clear" w:color="auto" w:fill="auto"/>
          </w:tcPr>
          <w:p w14:paraId="017ABFA0" w14:textId="545DD6B8" w:rsidR="001529CF" w:rsidRDefault="00D21F7F" w:rsidP="00A313B9">
            <w:pPr>
              <w:pStyle w:val="LO-normal"/>
              <w:widowControl w:val="0"/>
              <w:spacing w:line="240" w:lineRule="auto"/>
              <w:jc w:val="both"/>
            </w:pPr>
            <w:r>
              <w:fldChar w:fldCharType="begin" w:fldLock="1"/>
            </w:r>
            <w:r w:rsidR="00576689">
              <w:instrText>ADDIN CSL_CITATION {"citationItems":[{"id":"ITEM-1","itemData":{"DOI":"10.1016/j.bpj.2018.08.040","ISSN":"15420086","PMID":"30268538","abstract":"This article presents coarse-grained molecular dynamics simulations of pore-forming antimicrobial peptide melittin and its interactions with vesicles composed of a mixture of zwitterionic and anionic phospholipids. Besides creating holes in the membrane, the adsorption of melittin also induces vesicle budding, which can develop into vesiculation at high peptide concentrations, as well as vesicle invagination, which can eventually result in a corrugated membrane surface. These rich morphology changes are mediated by the curvature of the vesicles and the peptide concentration. Highly curved vesicles favor the recruitment of melittins with a higher density of binding sites. The peptides mainly penetrate into the membrane surface in monomers via hydrophobic interaction. Lowly curved vesicles recruit melittins with a low density of binding sites. Surplus peptides are prone to form oligomers and shallowly adsorb on the surface of membrane via electrostatic interaction. The penetration of monomers induces membrane pore formation and positive membrane curvature, which promote vesicle budding. The adsorption of oligomers induces negative membrane curvature, which promotes vesicle invagination. This work demonstrates that antimicrobial peptides adopt multiple actions to destroy bacterial membranes.","author":[{"dropping-particle":"","family":"Shi","given":"Yu","non-dropping-particle":"","parse-names":false,"suffix":""},{"dropping-particle":"","family":"Wan","given":"Mingwei","non-dropping-particle":"","parse-names":false,"suffix":""},{"dropping-particle":"","family":"Fu","given":"Lei","non-dropping-particle":"","parse-names":false,"suffix":""},{"dropping-particle":"","family":"Zhang","given":"Shan","non-dropping-particle":"","parse-names":false,"suffix":""},{"dropping-particle":"","family":"Wang","given":"Shiyuan","non-dropping-particle":"","parse-names":false,"suffix":""},{"dropping-particle":"","family":"Gao","given":"Lianghui","non-dropping-particle":"","parse-names":false,"suffix":""},{"dropping-particle":"","family":"Fang","given":"Weihai","non-dropping-particle":"","parse-names":false,"suffix":""}],"container-title":"Biophysical Journal","id":"ITEM-1","issue":"8","issued":{"date-parts":[["2018","10","16"]]},"page":"1518-1529","publisher":"Biophysical Society","title":"Peptide-Lipid Interaction Sites Affect Vesicles’ Responses to Antimicrobial Peptides","type":"article-journal","volume":"115"},"uris":["http://www.mendeley.com/documents/?uuid=79a6d00b-7120-3b06-b5f5-5c0b33a47b9a"]}],"mendeley":{"formattedCitation":"&lt;sup&gt;236&lt;/sup&gt;","plainTextFormattedCitation":"236","previouslyFormattedCitation":"&lt;sup&gt;236&lt;/sup&gt;"},"properties":{"noteIndex":0},"schema":"https://github.com/citation-style-language/schema/raw/master/csl-citation.json"}</w:instrText>
            </w:r>
            <w:r>
              <w:fldChar w:fldCharType="separate"/>
            </w:r>
            <w:r w:rsidR="00A313B9" w:rsidRPr="00A313B9">
              <w:rPr>
                <w:noProof/>
                <w:vertAlign w:val="superscript"/>
              </w:rPr>
              <w:t>236</w:t>
            </w:r>
            <w:r>
              <w:fldChar w:fldCharType="end"/>
            </w:r>
          </w:p>
        </w:tc>
      </w:tr>
      <w:tr w:rsidR="00D21F7F" w14:paraId="3E1A5C43" w14:textId="77777777">
        <w:tc>
          <w:tcPr>
            <w:tcW w:w="3120" w:type="dxa"/>
            <w:tcBorders>
              <w:top w:val="single" w:sz="8" w:space="0" w:color="000000"/>
              <w:left w:val="single" w:sz="8" w:space="0" w:color="000000"/>
              <w:bottom w:val="single" w:sz="8" w:space="0" w:color="000000"/>
              <w:right w:val="single" w:sz="8" w:space="0" w:color="000000"/>
            </w:tcBorders>
            <w:shd w:val="clear" w:color="auto" w:fill="auto"/>
          </w:tcPr>
          <w:p w14:paraId="313D247E" w14:textId="77777777" w:rsidR="001529CF" w:rsidRDefault="00492337">
            <w:pPr>
              <w:pStyle w:val="LO-normal"/>
              <w:widowControl w:val="0"/>
              <w:spacing w:line="240" w:lineRule="auto"/>
              <w:jc w:val="both"/>
            </w:pPr>
            <w:r>
              <w:t>POPE:POPG 1:1</w:t>
            </w:r>
          </w:p>
        </w:tc>
        <w:tc>
          <w:tcPr>
            <w:tcW w:w="4732" w:type="dxa"/>
            <w:tcBorders>
              <w:top w:val="single" w:sz="8" w:space="0" w:color="000000"/>
              <w:left w:val="single" w:sz="8" w:space="0" w:color="000000"/>
              <w:bottom w:val="single" w:sz="8" w:space="0" w:color="000000"/>
              <w:right w:val="single" w:sz="8" w:space="0" w:color="000000"/>
            </w:tcBorders>
            <w:shd w:val="clear" w:color="auto" w:fill="auto"/>
          </w:tcPr>
          <w:p w14:paraId="11ADC1D4" w14:textId="77777777" w:rsidR="001529CF" w:rsidRDefault="00492337">
            <w:pPr>
              <w:pStyle w:val="LO-normal"/>
              <w:widowControl w:val="0"/>
              <w:spacing w:line="240" w:lineRule="auto"/>
              <w:jc w:val="both"/>
            </w:pPr>
            <w:r>
              <w:t>Bacterial</w:t>
            </w:r>
          </w:p>
        </w:tc>
        <w:tc>
          <w:tcPr>
            <w:tcW w:w="1508" w:type="dxa"/>
            <w:tcBorders>
              <w:top w:val="single" w:sz="8" w:space="0" w:color="000000"/>
              <w:left w:val="single" w:sz="8" w:space="0" w:color="000000"/>
              <w:bottom w:val="single" w:sz="8" w:space="0" w:color="000000"/>
              <w:right w:val="single" w:sz="8" w:space="0" w:color="000000"/>
            </w:tcBorders>
            <w:shd w:val="clear" w:color="auto" w:fill="auto"/>
          </w:tcPr>
          <w:p w14:paraId="51F1A381" w14:textId="731D08C9" w:rsidR="001529CF" w:rsidRDefault="00D21F7F" w:rsidP="00A313B9">
            <w:pPr>
              <w:pStyle w:val="LO-normal"/>
              <w:widowControl w:val="0"/>
              <w:spacing w:line="240" w:lineRule="auto"/>
              <w:jc w:val="both"/>
            </w:pPr>
            <w:r>
              <w:fldChar w:fldCharType="begin" w:fldLock="1"/>
            </w:r>
            <w:r w:rsidR="00576689">
              <w:instrText>ADDIN CSL_CITATION {"citationItems":[{"id":"ITEM-1","itemData":{"DOI":"10.1021/acs.jctc.6b00265","ISSN":"15499626","PMID":"27529120","abstract":"Due to antimicrobial resistance, the development of new drugs to combat bacterial and fungal infections is an important area of research. Nature uses short, charged, and amphipathic peptides for antimicrobial defense, many of which disrupt the lipid membrane in addition to other possible targets inside the cell. Computer simulations have revealed atomistic details for the interactions of antimicrobial peptides and cell-penetrating peptides with lipid bilayers. Strong interactions between the polar interface and the charged peptides can induce bilayer deformations - including membrane rupture and peptide stabilization of a hydrophilic pore. Here, we performed microsecond-long simulations of the antimicrobial peptide CM15 in a POPC bilayer expecting to observe pore formation (based on previous molecular dynamics simulations). We show that caution is needed when interpreting results of equilibrium peptide-membrane simulations, given the length of time single trajectories can dwell in local energy minima for 100's of ns to microseconds. While we did record significant membrane perturbations from the CM15 peptide, pores were not observed. We explain this discrepancy by computing the free energy for pore formation with different force fields. Our results show a large difference in the free energy barrier (ca. 40 kJ/mol) against pore formation predicted by the different force fields that would result in orders of magnitude differences in the simulation time required to observe spontaneous pore formation. This explains why previous simulations using the Berger lipid parameters reported pores induced by charged peptides, while with CHARMM based models pores were not observed in our long time-scale simulations. We reconcile some of the differences in the distance dependent free energies by shifting the free energy profiles to account for thickness differences between force fields. The shifted curves show that all the models describe small defects in lipid bilayers in a consistent manner, suggesting a common physical basis.","author":[{"dropping-particle":"","family":"Bennett","given":"W. F.Drew","non-dropping-particle":"","parse-names":false,"suffix":""},{"dropping-particle":"","family":"Hong","given":"Chun Kit","non-dropping-particle":"","parse-names":false,"suffix":""},{"dropping-particle":"","family":"Wang","given":"Yi","non-dropping-particle":"","parse-names":false,"suffix":""},{"dropping-particle":"","family":"Tieleman","given":"D. Peter","non-dropping-particle":"","parse-names":false,"suffix":""}],"container-title":"Journal of Chemical Theory and Computation","id":"ITEM-1","issue":"9","issued":{"date-parts":[["2016","9","13"]]},"page":"4524-4533","publisher":"American Chemical Society","title":"Antimicrobial Peptide Simulations and the Influence of Force Field on the Free Energy for Pore Formation in Lipid Bilayers","type":"article-journal","volume":"12"},"uris":["http://www.mendeley.com/documents/?uuid=9b54e288-2973-3099-a07f-ebfc81572c4e"]}],"mendeley":{"formattedCitation":"&lt;sup&gt;238&lt;/sup&gt;","plainTextFormattedCitation":"238","previouslyFormattedCitation":"&lt;sup&gt;238&lt;/sup&gt;"},"properties":{"noteIndex":0},"schema":"https://github.com/citation-style-language/schema/raw/master/csl-citation.json"}</w:instrText>
            </w:r>
            <w:r>
              <w:fldChar w:fldCharType="separate"/>
            </w:r>
            <w:r w:rsidR="00A313B9" w:rsidRPr="00A313B9">
              <w:rPr>
                <w:noProof/>
                <w:vertAlign w:val="superscript"/>
              </w:rPr>
              <w:t>238</w:t>
            </w:r>
            <w:r>
              <w:fldChar w:fldCharType="end"/>
            </w:r>
          </w:p>
        </w:tc>
      </w:tr>
      <w:tr w:rsidR="00D21F7F" w14:paraId="2022C229" w14:textId="77777777">
        <w:tc>
          <w:tcPr>
            <w:tcW w:w="3120" w:type="dxa"/>
            <w:tcBorders>
              <w:top w:val="single" w:sz="8" w:space="0" w:color="000000"/>
              <w:left w:val="single" w:sz="8" w:space="0" w:color="000000"/>
              <w:bottom w:val="single" w:sz="8" w:space="0" w:color="000000"/>
              <w:right w:val="single" w:sz="8" w:space="0" w:color="000000"/>
            </w:tcBorders>
            <w:shd w:val="clear" w:color="auto" w:fill="auto"/>
          </w:tcPr>
          <w:p w14:paraId="14524C5C" w14:textId="77777777" w:rsidR="002C1AE1" w:rsidRDefault="00492337" w:rsidP="002C1AE1">
            <w:pPr>
              <w:pStyle w:val="LO-normal"/>
              <w:widowControl w:val="0"/>
              <w:spacing w:line="240" w:lineRule="auto"/>
              <w:jc w:val="both"/>
            </w:pPr>
            <w:r>
              <w:t>POPC:POPE:POPS:POPI 5:3:1:1</w:t>
            </w:r>
          </w:p>
        </w:tc>
        <w:tc>
          <w:tcPr>
            <w:tcW w:w="4732" w:type="dxa"/>
            <w:tcBorders>
              <w:top w:val="single" w:sz="8" w:space="0" w:color="000000"/>
              <w:left w:val="single" w:sz="8" w:space="0" w:color="000000"/>
              <w:bottom w:val="single" w:sz="8" w:space="0" w:color="000000"/>
              <w:right w:val="single" w:sz="8" w:space="0" w:color="000000"/>
            </w:tcBorders>
            <w:shd w:val="clear" w:color="auto" w:fill="auto"/>
          </w:tcPr>
          <w:p w14:paraId="34482CFB" w14:textId="77777777" w:rsidR="001529CF" w:rsidRDefault="00492337">
            <w:pPr>
              <w:pStyle w:val="LO-normal"/>
              <w:widowControl w:val="0"/>
              <w:spacing w:line="240" w:lineRule="auto"/>
              <w:jc w:val="both"/>
            </w:pPr>
            <w:r>
              <w:t>Fungal</w:t>
            </w:r>
          </w:p>
        </w:tc>
        <w:tc>
          <w:tcPr>
            <w:tcW w:w="1508" w:type="dxa"/>
            <w:tcBorders>
              <w:top w:val="single" w:sz="8" w:space="0" w:color="000000"/>
              <w:left w:val="single" w:sz="8" w:space="0" w:color="000000"/>
              <w:bottom w:val="single" w:sz="8" w:space="0" w:color="000000"/>
              <w:right w:val="single" w:sz="8" w:space="0" w:color="000000"/>
            </w:tcBorders>
            <w:shd w:val="clear" w:color="auto" w:fill="auto"/>
          </w:tcPr>
          <w:p w14:paraId="4FF25E91" w14:textId="59B0FD99" w:rsidR="001529CF" w:rsidRDefault="00D21F7F" w:rsidP="00C44087">
            <w:pPr>
              <w:pStyle w:val="LO-normal"/>
              <w:widowControl w:val="0"/>
              <w:spacing w:line="240" w:lineRule="auto"/>
              <w:jc w:val="both"/>
            </w:pPr>
            <w:r>
              <w:fldChar w:fldCharType="begin" w:fldLock="1"/>
            </w:r>
            <w:r w:rsidR="00912FFE">
              <w:instrText>ADDIN CSL_CITATION {"citationItems":[{"id":"ITEM-1","itemData":{"DOI":"10.1016/j.jmgm.2018.11.003","ISSN":"18734243","PMID":"30448729","abstract":"Transmembrane pores play an important role in various cell processes. However, the detailed structures of these pores and their influence on the membrane properties remain undetermined. We performed microsecond coarse-grained molecular dynamics simulations to study the interaction of cationic β-structural peptides with multicomponent lipid bilayers consisting of two types of anionic (POPS, POPI) and two types of zwitterionic (POPE, POPC) lipids. The formation of semitoroidal pores was analyzed from a standpoint of self-organization of lipids and peptides. Our results showed that semitoroidal pores were mainly formed by POPI molecules with a strong negative charge. We found that peptide aggregation is a necessary step of pore formation; single peptide is unable to stabilize the semitoroidal pore. To characterize the influence of semitoroidal pores on membrane properties, we evaluated the bilayer thickness, the two-dimensional density maps of lipids, the deuterium order parameters, and the lateral diffusion coefficients of lipids. The pore formation induced perturbation of the phospholipid organization in membrane and facilitated the organization of zones with different electrostatic potential.","author":[{"dropping-particle":"","family":"Ermakova","given":"Elena","non-dropping-particle":"","parse-names":false,"suffix":""},{"dropping-particle":"","family":"Kurbanov","given":"Rauf","non-dropping-particle":"","parse-names":false,"suffix":""},{"dropping-particle":"","family":"Zuev","given":"Yuriy","non-dropping-particle":"","parse-names":false,"suffix":""}],"container-title":"Journal of Molecular Graphics and Modelling","id":"ITEM-1","issue":"3","issued":{"date-parts":[["2019","3","1"]]},"page":"1-10","publisher":"Elsevier Inc.","title":"Coarse-grained molecular dynamics of membrane semitoroidal pore formation in model lipid-peptide systems","type":"article-journal","volume":"87"},"uris":["http://www.mendeley.com/documents/?uuid=d6b01bdc-e760-3e65-ad63-2ca988619c0b"]}],"mendeley":{"formattedCitation":"&lt;sup&gt;299&lt;/sup&gt;","plainTextFormattedCitation":"299","previouslyFormattedCitation":"&lt;sup&gt;299&lt;/sup&gt;"},"properties":{"noteIndex":0},"schema":"https://github.com/citation-style-language/schema/raw/master/csl-citation.json"}</w:instrText>
            </w:r>
            <w:r>
              <w:fldChar w:fldCharType="separate"/>
            </w:r>
            <w:r w:rsidR="00C44087" w:rsidRPr="00C44087">
              <w:rPr>
                <w:noProof/>
                <w:vertAlign w:val="superscript"/>
              </w:rPr>
              <w:t>299</w:t>
            </w:r>
            <w:r>
              <w:fldChar w:fldCharType="end"/>
            </w:r>
          </w:p>
        </w:tc>
      </w:tr>
    </w:tbl>
    <w:p w14:paraId="6156A35C" w14:textId="77777777" w:rsidR="001529CF" w:rsidRDefault="001529CF">
      <w:pPr>
        <w:pStyle w:val="LO-normal"/>
        <w:jc w:val="both"/>
      </w:pPr>
    </w:p>
    <w:p w14:paraId="53C5F4EF" w14:textId="4AD75C6D" w:rsidR="001529CF" w:rsidRDefault="00492337">
      <w:pPr>
        <w:pStyle w:val="LO-normal"/>
        <w:jc w:val="both"/>
      </w:pPr>
      <w:bookmarkStart w:id="13" w:name="_35nkun2"/>
      <w:bookmarkEnd w:id="13"/>
      <w:r>
        <w:t>To summarise, computational modelling and simulations are of great importance in aiding our understanding of how AMPs insert, disrupt and/or form pores in bacterial cell membranes. Not only do they provide atomistic detail that would be unattainable by experimental means, they also enable the fine tuning of system properties to probe their importance for AMP activity, such as altering lipid ratios to represent the membranes of different organisms (Table 2).  However, as discussed with regards to peptide folding and aggregation, peptide-membrane simulations are subject to the challenges associated with force field accuracy and sampling. This is particularly true for lipid molecules, which are harder to accurately describe with force fields. A force field can only be validated by comparison with experimental work, and accurate experimental data about lipid bilayers is harder to obtain than for proteins, especially for biological bilayers that might include many different kinds of lipids. This makes deriving lipid force fields quite challenging, and extreme care must be taken when utilising them</w:t>
      </w:r>
      <w:r w:rsidR="00D21F7F">
        <w:fldChar w:fldCharType="begin" w:fldLock="1"/>
      </w:r>
      <w:r w:rsidR="00C44087">
        <w:instrText>ADDIN CSL_CITATION {"citationItems":[{"id":"ITEM-1","itemData":{"DOI":"10.1016/j.bbamem.2016.01.029","ISSN":"18792642","PMID":"26850737","abstract":"Biological membranes display a great diversity in lipid composition and lateral structure that is crucial in a variety of cellular functions. Simulations of membranes have contributed significantly to the understanding of the properties, functions and behaviour of membranes and membrane-protein assemblies. This success relies on the ability of the force field used to describe lipid-lipid and lipid-environment interactions accurately, reproducibly and realistically. In this review, we present some recent progress in lipid force-field development and validation strategies. In particular, we highlight how a range of properties obtained from various experimental techniques on lipid bilayers and membranes, can be used to assess the quality of a force field. We discuss the limitations and assumptions that are inherent to both computational and experimental approaches and how these can influence the comparison between simulations and experimental data. This article is part of a Special Issue entitled: Membrane Proteins edited by J.C. Gumbart and Sergei Noskov.","author":[{"dropping-particle":"","family":"Poger","given":"David","non-dropping-particle":"","parse-names":false,"suffix":""},{"dropping-particle":"","family":"Caron","given":"Bertrand","non-dropping-particle":"","parse-names":false,"suffix":""},{"dropping-particle":"","family":"Mark","given":"Alan E.","non-dropping-particle":"","parse-names":false,"suffix":""}],"container-title":"Biochimica et Biophysica Acta - Biomembranes","id":"ITEM-1","issue":"7","issued":{"date-parts":[["2016","7","1"]]},"page":"1556-1565","publisher":"Elsevier B.V.","title":"Validating lipid force fields against experimental data: Progress, challenges and perspectives","type":"article-journal","volume":"1858"},"uris":["http://www.mendeley.com/documents/?uuid=7dd0c04d-e0c6-31ec-a0e1-d37b9b9cde55"]}],"mendeley":{"formattedCitation":"&lt;sup&gt;314&lt;/sup&gt;","plainTextFormattedCitation":"314","previouslyFormattedCitation":"&lt;sup&gt;314&lt;/sup&gt;"},"properties":{"noteIndex":0},"schema":"https://github.com/citation-style-language/schema/raw/master/csl-citation.json"}</w:instrText>
      </w:r>
      <w:r w:rsidR="00D21F7F">
        <w:fldChar w:fldCharType="separate"/>
      </w:r>
      <w:r w:rsidR="00C44087" w:rsidRPr="00C44087">
        <w:rPr>
          <w:noProof/>
          <w:vertAlign w:val="superscript"/>
        </w:rPr>
        <w:t>314</w:t>
      </w:r>
      <w:r w:rsidR="00D21F7F">
        <w:fldChar w:fldCharType="end"/>
      </w:r>
      <w:r>
        <w:t>. It has been shown that a “best” force field that works equally well under all circumstances cannot be recommended, so it is paramount to test different force fields for the desired system and choose the one best suited to the research question and properties of interest</w:t>
      </w:r>
      <w:r w:rsidR="00D21F7F">
        <w:fldChar w:fldCharType="begin" w:fldLock="1"/>
      </w:r>
      <w:r w:rsidR="00C44087">
        <w:instrText>ADDIN CSL_CITATION {"citationItems":[{"id":"ITEM-1","itemData":{"DOI":"10.1021/ct3003157","ISSN":"15499626","abstract":"Molecular dynamics simulations provide a route to studying the dynamics of lipid bilayers at atomistic or near atomistic resolution. Over the past 10 years or so, molecular dynamics simulations have become an established part of the biophysicists tool kit for the study of model biological membranes. As simulation time scales move from tens to hundreds of nanoseconds and beyond, it is timely to re-evaluate the accuracy of simulation models. We describe a comparative analysis of five freely available force fields that are commonly used to model lipid bilayers. We focus our analysis on 1,2-dipalmitoyl-sn- glycero-3-phosphocholine (DPPC) and 1-palmitoyl-2-oleoyl-sn-glycero-3- phosphocholine (POPC) bilayers. We show that some bilayer properties have a pronounced force field dependence, while others are less sensitive. In general, we find strengths and weaknesses, with respect to experimental data, in all of the force fields we have studied. We do, however, find some combinations of simulation and force field parameters that should be avoided when simulating DPPC and POPC membranes. We anticipate that the results presented for some of the membrane properties will guide future improvements for several force fields studied in this work. © 2012 American Chemical Society.","author":[{"dropping-particle":"","family":"Piggot","given":"Thomas J.","non-dropping-particle":"","parse-names":false,"suffix":""},{"dropping-particle":"","family":"Piñeiro","given":"Ángel","non-dropping-particle":"","parse-names":false,"suffix":""},{"dropping-particle":"","family":"Khalid","given":"Syma","non-dropping-particle":"","parse-names":false,"suffix":""}],"container-title":"Journal of Chemical Theory and Computation","id":"ITEM-1","issue":"11","issued":{"date-parts":[["2012","11","13"]]},"page":"4593-4609","publisher":"American Chemical Society","title":"Molecular dynamics simulations of phosphatidylcholine membranes: A comparative force field study","type":"article-journal","volume":"8"},"uris":["http://www.mendeley.com/documents/?uuid=7db10f4c-c2fa-3982-b635-eab745535402"]}],"mendeley":{"formattedCitation":"&lt;sup&gt;289&lt;/sup&gt;","plainTextFormattedCitation":"289","previouslyFormattedCitation":"&lt;sup&gt;289&lt;/sup&gt;"},"properties":{"noteIndex":0},"schema":"https://github.com/citation-style-language/schema/raw/master/csl-citation.json"}</w:instrText>
      </w:r>
      <w:r w:rsidR="00D21F7F">
        <w:fldChar w:fldCharType="separate"/>
      </w:r>
      <w:r w:rsidR="00C44087" w:rsidRPr="00C44087">
        <w:rPr>
          <w:noProof/>
          <w:vertAlign w:val="superscript"/>
        </w:rPr>
        <w:t>289</w:t>
      </w:r>
      <w:r w:rsidR="00D21F7F">
        <w:fldChar w:fldCharType="end"/>
      </w:r>
      <w:r>
        <w:t>. While conventional atomistic MD can be used to validate experimentally derived or predicted pore structures</w:t>
      </w:r>
      <w:r w:rsidR="00D21F7F">
        <w:fldChar w:fldCharType="begin" w:fldLock="1"/>
      </w:r>
      <w:r w:rsidR="00576689">
        <w:instrText>ADDIN CSL_CITATION {"citationItems":[{"id":"ITEM-1","itemData":{"DOI":"10.1021/acs.jpcb.7b06591","ISSN":"15205207","PMID":"28879767","abstract":"Protegrin-1 is an 18-residue β-hairpin antimicrobial peptide (AMP) that has been suggested to form transmembrane β-barrels in biological membranes. However, alternative structures have also been proposed. Here, we performed multimicrosecond, all-atom molecular dynamics simulations of various protegrin-1 oligomers on the membrane surface and in transmembrane topologies. The membrane surface simulations indicated that protegrin dimers are stable, whereas trimers and tetramers break down. Tetrameric arcs remained stably inserted in lipid membranes, but the pore water was displaced by lipid molecules. Unsheared protegrin β-barrels opened into β-sheets that surrounded stable aqueous pores, whereas tilted barrels with sheared hydrogen bonding patterns were stable in most topologies. A third type of observed pore consisted of multiple small oligomers surrounding a small, partially lipidic pore. We also considered the β-hairpin AMP tachyplesin, which showed less tendency to oligomerize than protegrin: the octameric bundle resulted in small pores surrounded by six peptides as monomers and dimers, with some peptides returning to the membrane surface. The results imply that multiple configurations of protegrin oligomers may produce aqueous pores and illustrate the relationship between topology and putative steps in protegrin-1's pore formation. However, the long-term stability of these structures needs to be assessed further.","author":[{"dropping-particle":"","family":"Lipkin","given":"Richard","non-dropping-particle":"","parse-names":false,"suffix":""},{"dropping-particle":"","family":"Pino-Angeles","given":"Almudena","non-dropping-particle":"","parse-names":false,"suffix":""},{"dropping-particle":"","family":"Lazaridis","given":"Themis","non-dropping-particle":"","parse-names":false,"suffix":""}],"container-title":"Journal of Physical Chemistry B","id":"ITEM-1","issue":"39","issued":{"date-parts":[["2017","10","5"]]},"page":"9126-9140","publisher":"American Chemical Society","title":"Transmembrane Pore Structures of β-Hairpin Antimicrobial Peptides by All-Atom Simulations","type":"article-journal","volume":"121"},"uris":["http://www.mendeley.com/documents/?uuid=eb2b277d-758b-380f-978a-8a1af0200847"]}],"mendeley":{"formattedCitation":"&lt;sup&gt;233&lt;/sup&gt;","plainTextFormattedCitation":"233","previouslyFormattedCitation":"&lt;sup&gt;233&lt;/sup&gt;"},"properties":{"noteIndex":0},"schema":"https://github.com/citation-style-language/schema/raw/master/csl-citation.json"}</w:instrText>
      </w:r>
      <w:r w:rsidR="00D21F7F">
        <w:fldChar w:fldCharType="separate"/>
      </w:r>
      <w:r w:rsidR="00A313B9" w:rsidRPr="00A313B9">
        <w:rPr>
          <w:noProof/>
          <w:vertAlign w:val="superscript"/>
        </w:rPr>
        <w:t>233</w:t>
      </w:r>
      <w:r w:rsidR="00D21F7F">
        <w:fldChar w:fldCharType="end"/>
      </w:r>
      <w:r>
        <w:t>, it is unlikely to reach the timescales required to observe spontaneous transitions between the various metastable states that may be important to the AMP mechanism. This highlights the importance of running multiple simulation repeats to increase the statistical significance of the observations. In addition, various enhanced sampling approaches can be employed to enhance the sampling of the system and shorten the time necessary to obtain meaningful results.</w:t>
      </w:r>
    </w:p>
    <w:p w14:paraId="6C525FF8" w14:textId="77777777" w:rsidR="001529CF" w:rsidRDefault="00492337">
      <w:pPr>
        <w:pStyle w:val="Heading1"/>
        <w:jc w:val="both"/>
      </w:pPr>
      <w:bookmarkStart w:id="14" w:name="_1ksv4uv"/>
      <w:bookmarkEnd w:id="14"/>
      <w:r>
        <w:lastRenderedPageBreak/>
        <w:t>Conclusion</w:t>
      </w:r>
    </w:p>
    <w:p w14:paraId="2F38A38F" w14:textId="77777777" w:rsidR="001529CF" w:rsidRDefault="00492337">
      <w:pPr>
        <w:pStyle w:val="LO-normal"/>
        <w:jc w:val="both"/>
      </w:pPr>
      <w:r>
        <w:t>AMPs represent a new, attractive class of drugs that is the subject of extensive research. They are finding increasing use against disease-causing microorganisms, which is a critical function as many of those organisms have developed resistance against commonly used antimicrobials. AMPs are being developed as drugs and several are in clinical trials, but more research must be done to understand their activity. Experimental work in the field can encounter limitations and challenges, which can be overcome by complementing such studies with computational methods. As we have seen, computational techniques have been used to predict the AMP character of novel sequences, which helps narrow down the search space in testing and alleviates the workload. This can be used to optimise existing compounds or generate new leads. We have also seen a plethora of simulation techniques that can elucidate and propose mechanisms and modes of action by investigating the atomistic interactions and dynamics of relevant biological systems.</w:t>
      </w:r>
    </w:p>
    <w:p w14:paraId="2AE75F2C" w14:textId="77777777" w:rsidR="001529CF" w:rsidRDefault="001529CF">
      <w:pPr>
        <w:pStyle w:val="LO-normal"/>
        <w:jc w:val="both"/>
      </w:pPr>
    </w:p>
    <w:p w14:paraId="093AD3A2" w14:textId="77777777" w:rsidR="001529CF" w:rsidRDefault="00492337">
      <w:pPr>
        <w:pStyle w:val="LO-normal"/>
        <w:jc w:val="both"/>
      </w:pPr>
      <w:r>
        <w:t xml:space="preserve">However, although the field has attracted considerable attention in recent years, there are still issues that need to be resolved; ideally, prediction methods rely on robust, large and diverse data sets, but current databases lack sufficient negative and positive controls, contain data from multiple sources, varying experimental conditions and lack of generality as some peptides are only active against certain bacterial strains. Machine learning methods are only as good as the data used to train and test the models, and therefore their reliability is limited by the quality of the data sets. MD simulations depend on the accuracy of force fields and models, which always need careful refinement. They also encounter issues with convergence and sampling due to the computational expense associated with simulating large biological systems for the timescales necessary to observe the relevant processes. </w:t>
      </w:r>
    </w:p>
    <w:p w14:paraId="30D5AD9E" w14:textId="77777777" w:rsidR="001529CF" w:rsidRDefault="00492337">
      <w:pPr>
        <w:pStyle w:val="LO-normal"/>
        <w:jc w:val="both"/>
      </w:pPr>
      <w:r>
        <w:t>Nevertheless, there is a considerable body of work that has explored the use of computational techniques in AMP research, and has been used, after appropriate benchmarking against experimental data, to design novel peptides that have been validated experimentally.  This review can provide a starting point for computational AMP studies by summarising the key considerations involved in this area of research. Depending on the aim, a number of computational tools and methods are available and have been used to great effect. We hope this proves a useful guide for those attempting AMP research.</w:t>
      </w:r>
    </w:p>
    <w:p w14:paraId="10724FFB" w14:textId="77777777" w:rsidR="001529CF" w:rsidRDefault="00492337">
      <w:pPr>
        <w:pStyle w:val="Heading1"/>
      </w:pPr>
      <w:r>
        <w:t>Data and Software Availability</w:t>
      </w:r>
    </w:p>
    <w:p w14:paraId="0C7311E6" w14:textId="77777777" w:rsidR="001529CF" w:rsidRDefault="00492337">
      <w:pPr>
        <w:pStyle w:val="LO-normal"/>
        <w:jc w:val="both"/>
      </w:pPr>
      <w:r>
        <w:t>Software, web servers and computational tools described in this review are owned by their respective developers and copyright-holders. We have catalogued and reviewed them and have noted their accessibility, especially taking care of providing links if available, but can make no guarantees to their functionalities. Where we could not provide links, we encourage to contact the original authors of the relevant papers to obtain more information on the software and how to access it.</w:t>
      </w:r>
    </w:p>
    <w:p w14:paraId="3582637F" w14:textId="77777777" w:rsidR="001529CF" w:rsidRDefault="00492337">
      <w:pPr>
        <w:pStyle w:val="Heading1"/>
        <w:jc w:val="both"/>
      </w:pPr>
      <w:r>
        <w:lastRenderedPageBreak/>
        <w:t>Acknowledgements</w:t>
      </w:r>
    </w:p>
    <w:p w14:paraId="662FC8CA" w14:textId="77777777" w:rsidR="001529CF" w:rsidRDefault="00492337">
      <w:pPr>
        <w:pStyle w:val="LO-normal"/>
      </w:pPr>
      <w:r>
        <w:t>We declare no conflict of interest. We thank Raghav Kannan for help in proofreading the manuscript.</w:t>
      </w:r>
    </w:p>
    <w:p w14:paraId="5236DC6D" w14:textId="77777777" w:rsidR="001529CF" w:rsidRDefault="001529CF">
      <w:pPr>
        <w:pStyle w:val="LO-normal"/>
        <w:rPr>
          <w:b/>
        </w:rPr>
      </w:pPr>
    </w:p>
    <w:p w14:paraId="1DB322C8" w14:textId="77777777" w:rsidR="001529CF" w:rsidRDefault="001529CF">
      <w:pPr>
        <w:pStyle w:val="LO-normal"/>
        <w:rPr>
          <w:b/>
        </w:rPr>
      </w:pPr>
    </w:p>
    <w:p w14:paraId="7C4A1CAF" w14:textId="77777777" w:rsidR="001529CF" w:rsidRDefault="001529CF">
      <w:pPr>
        <w:pStyle w:val="LO-normal"/>
        <w:rPr>
          <w:b/>
        </w:rPr>
      </w:pPr>
    </w:p>
    <w:p w14:paraId="423B5119" w14:textId="77777777" w:rsidR="001529CF" w:rsidRDefault="001529CF">
      <w:pPr>
        <w:pStyle w:val="LO-normal"/>
        <w:rPr>
          <w:b/>
        </w:rPr>
      </w:pPr>
    </w:p>
    <w:p w14:paraId="78A2F8BB" w14:textId="77777777" w:rsidR="001529CF" w:rsidRDefault="001529CF">
      <w:pPr>
        <w:pStyle w:val="LO-normal"/>
        <w:rPr>
          <w:b/>
        </w:rPr>
      </w:pPr>
    </w:p>
    <w:p w14:paraId="1F2D172B" w14:textId="77777777" w:rsidR="001529CF" w:rsidRDefault="001529CF">
      <w:pPr>
        <w:pStyle w:val="LO-normal"/>
        <w:rPr>
          <w:b/>
        </w:rPr>
      </w:pPr>
    </w:p>
    <w:p w14:paraId="1FDEA291" w14:textId="77777777" w:rsidR="001529CF" w:rsidRDefault="001529CF">
      <w:pPr>
        <w:pStyle w:val="LO-normal"/>
        <w:rPr>
          <w:b/>
        </w:rPr>
      </w:pPr>
    </w:p>
    <w:p w14:paraId="45A295C0" w14:textId="77777777" w:rsidR="001529CF" w:rsidRDefault="001529CF">
      <w:pPr>
        <w:pStyle w:val="LO-normal"/>
      </w:pPr>
    </w:p>
    <w:p w14:paraId="1D258787" w14:textId="77777777" w:rsidR="001529CF" w:rsidRDefault="001529CF">
      <w:pPr>
        <w:pStyle w:val="LO-normal"/>
      </w:pPr>
    </w:p>
    <w:p w14:paraId="43CD14B8" w14:textId="77777777" w:rsidR="001529CF" w:rsidRDefault="001529CF">
      <w:pPr>
        <w:pStyle w:val="LO-normal"/>
        <w:jc w:val="both"/>
      </w:pPr>
    </w:p>
    <w:p w14:paraId="2DA0A60B" w14:textId="77777777" w:rsidR="001529CF" w:rsidRDefault="00492337">
      <w:pPr>
        <w:pStyle w:val="Heading1"/>
      </w:pPr>
      <w:bookmarkStart w:id="15" w:name="_ff78wh90x119"/>
      <w:bookmarkEnd w:id="15"/>
      <w:r>
        <w:t>References:</w:t>
      </w:r>
    </w:p>
    <w:p w14:paraId="070ECD9D" w14:textId="77777777" w:rsidR="001529CF" w:rsidRDefault="00492337">
      <w:pPr>
        <w:pStyle w:val="LO-normal"/>
      </w:pPr>
      <w:r>
        <w:t xml:space="preserve"> </w:t>
      </w:r>
    </w:p>
    <w:p w14:paraId="5DF2BCCD" w14:textId="77777777" w:rsidR="001529CF" w:rsidRDefault="001529CF">
      <w:pPr>
        <w:sectPr w:rsidR="001529CF">
          <w:pgSz w:w="12240" w:h="15840"/>
          <w:pgMar w:top="1440" w:right="1440" w:bottom="1440" w:left="1440" w:header="720" w:footer="0" w:gutter="0"/>
          <w:pgNumType w:start="1"/>
          <w:cols w:space="720"/>
          <w:formProt w:val="0"/>
          <w:docGrid w:linePitch="100" w:charSpace="4096"/>
        </w:sectPr>
      </w:pPr>
    </w:p>
    <w:p w14:paraId="697CC86C" w14:textId="0FE43BB3" w:rsidR="00912FFE" w:rsidRPr="00912FFE" w:rsidRDefault="00492337" w:rsidP="00912FFE">
      <w:pPr>
        <w:widowControl w:val="0"/>
        <w:autoSpaceDE w:val="0"/>
        <w:autoSpaceDN w:val="0"/>
        <w:adjustRightInd w:val="0"/>
        <w:spacing w:line="240" w:lineRule="auto"/>
        <w:ind w:left="640" w:hanging="640"/>
        <w:rPr>
          <w:noProof/>
          <w:szCs w:val="24"/>
        </w:rPr>
      </w:pPr>
      <w:r>
        <w:fldChar w:fldCharType="begin" w:fldLock="1"/>
      </w:r>
      <w:r>
        <w:instrText xml:space="preserve">ADDIN Mendeley Bibliography CSL_BIBLIOGRAPHY </w:instrText>
      </w:r>
      <w:r>
        <w:fldChar w:fldCharType="separate"/>
      </w:r>
      <w:r w:rsidR="00912FFE" w:rsidRPr="00912FFE">
        <w:rPr>
          <w:noProof/>
          <w:szCs w:val="24"/>
        </w:rPr>
        <w:t xml:space="preserve">(1) </w:t>
      </w:r>
      <w:r w:rsidR="00912FFE" w:rsidRPr="00912FFE">
        <w:rPr>
          <w:noProof/>
          <w:szCs w:val="24"/>
        </w:rPr>
        <w:tab/>
        <w:t xml:space="preserve">Nicolaou, K. C.; Rigol, S. A Brief History of Antibiotics and Select Advances in Their Synthesis. </w:t>
      </w:r>
      <w:r w:rsidR="00912FFE" w:rsidRPr="00912FFE">
        <w:rPr>
          <w:i/>
          <w:iCs/>
          <w:noProof/>
          <w:szCs w:val="24"/>
        </w:rPr>
        <w:t>J. Antibiot. (Tokyo).</w:t>
      </w:r>
      <w:r w:rsidR="00912FFE" w:rsidRPr="00912FFE">
        <w:rPr>
          <w:noProof/>
          <w:szCs w:val="24"/>
        </w:rPr>
        <w:t xml:space="preserve"> </w:t>
      </w:r>
      <w:r w:rsidR="00912FFE" w:rsidRPr="00912FFE">
        <w:rPr>
          <w:b/>
          <w:bCs/>
          <w:noProof/>
          <w:szCs w:val="24"/>
        </w:rPr>
        <w:t>2018</w:t>
      </w:r>
      <w:r w:rsidR="00912FFE" w:rsidRPr="00912FFE">
        <w:rPr>
          <w:noProof/>
          <w:szCs w:val="24"/>
        </w:rPr>
        <w:t xml:space="preserve">, </w:t>
      </w:r>
      <w:r w:rsidR="00912FFE" w:rsidRPr="00912FFE">
        <w:rPr>
          <w:i/>
          <w:iCs/>
          <w:noProof/>
          <w:szCs w:val="24"/>
        </w:rPr>
        <w:t>71</w:t>
      </w:r>
      <w:r w:rsidR="00912FFE" w:rsidRPr="00912FFE">
        <w:rPr>
          <w:noProof/>
          <w:szCs w:val="24"/>
        </w:rPr>
        <w:t xml:space="preserve"> (2), 153–184. https://doi.org/10.1038/ja.2017.62.</w:t>
      </w:r>
    </w:p>
    <w:p w14:paraId="7321D317"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 </w:t>
      </w:r>
      <w:r w:rsidRPr="00912FFE">
        <w:rPr>
          <w:noProof/>
          <w:szCs w:val="24"/>
        </w:rPr>
        <w:tab/>
        <w:t xml:space="preserve">Fuentes, A.; Pineda, M.; Venkata, K. Comprehension of Top 200 Prescribed Drugs in the US as a Resource for Pharmacy Teaching, Training and Practice. </w:t>
      </w:r>
      <w:r w:rsidRPr="00912FFE">
        <w:rPr>
          <w:i/>
          <w:iCs/>
          <w:noProof/>
          <w:szCs w:val="24"/>
        </w:rPr>
        <w:t>Pharmacy</w:t>
      </w:r>
      <w:r w:rsidRPr="00912FFE">
        <w:rPr>
          <w:noProof/>
          <w:szCs w:val="24"/>
        </w:rPr>
        <w:t xml:space="preserve"> </w:t>
      </w:r>
      <w:r w:rsidRPr="00912FFE">
        <w:rPr>
          <w:b/>
          <w:bCs/>
          <w:noProof/>
          <w:szCs w:val="24"/>
        </w:rPr>
        <w:t>2018</w:t>
      </w:r>
      <w:r w:rsidRPr="00912FFE">
        <w:rPr>
          <w:noProof/>
          <w:szCs w:val="24"/>
        </w:rPr>
        <w:t xml:space="preserve">, </w:t>
      </w:r>
      <w:r w:rsidRPr="00912FFE">
        <w:rPr>
          <w:i/>
          <w:iCs/>
          <w:noProof/>
          <w:szCs w:val="24"/>
        </w:rPr>
        <w:t>6</w:t>
      </w:r>
      <w:r w:rsidRPr="00912FFE">
        <w:rPr>
          <w:noProof/>
          <w:szCs w:val="24"/>
        </w:rPr>
        <w:t xml:space="preserve"> (2), 43. https://doi.org/10.3390/pharmacy6020043.</w:t>
      </w:r>
    </w:p>
    <w:p w14:paraId="73ABFCDB"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(3) </w:t>
      </w:r>
      <w:r w:rsidRPr="00912FFE">
        <w:rPr>
          <w:noProof/>
          <w:szCs w:val="24"/>
        </w:rPr>
        <w:tab/>
        <w:t xml:space="preserve">Hassoun, A.; Linden, P. K.; Friedman, B. Incidence, Prevalence, and Management of MRSA Bacteremia across Patient Populations-a Review of Recent Developments in MRSA Management and Treatment. </w:t>
      </w:r>
      <w:r w:rsidRPr="00912FFE">
        <w:rPr>
          <w:i/>
          <w:iCs/>
          <w:noProof/>
          <w:szCs w:val="24"/>
        </w:rPr>
        <w:t>Crit. Care</w:t>
      </w:r>
      <w:r w:rsidRPr="00912FFE">
        <w:rPr>
          <w:noProof/>
          <w:szCs w:val="24"/>
        </w:rPr>
        <w:t xml:space="preserve"> </w:t>
      </w:r>
      <w:r w:rsidRPr="00912FFE">
        <w:rPr>
          <w:b/>
          <w:bCs/>
          <w:noProof/>
          <w:szCs w:val="24"/>
        </w:rPr>
        <w:t>2017</w:t>
      </w:r>
      <w:r w:rsidRPr="00912FFE">
        <w:rPr>
          <w:noProof/>
          <w:szCs w:val="24"/>
        </w:rPr>
        <w:t xml:space="preserve">, </w:t>
      </w:r>
      <w:r w:rsidRPr="00912FFE">
        <w:rPr>
          <w:i/>
          <w:iCs/>
          <w:noProof/>
          <w:szCs w:val="24"/>
        </w:rPr>
        <w:t>21</w:t>
      </w:r>
      <w:r w:rsidRPr="00912FFE">
        <w:rPr>
          <w:noProof/>
          <w:szCs w:val="24"/>
        </w:rPr>
        <w:t xml:space="preserve"> (1), 211. https://doi.org/10.1186/s13054-017-1801-3.</w:t>
      </w:r>
    </w:p>
    <w:p w14:paraId="28106628"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(4) </w:t>
      </w:r>
      <w:r w:rsidRPr="00912FFE">
        <w:rPr>
          <w:noProof/>
          <w:szCs w:val="24"/>
        </w:rPr>
        <w:tab/>
        <w:t xml:space="preserve">Mahlapuu, M.; Håkansson, J.; Ringstad, L.; Björn, C. Antimicrobial Peptides: An Emerging Category of Therapeutic Agents. </w:t>
      </w:r>
      <w:r w:rsidRPr="00912FFE">
        <w:rPr>
          <w:i/>
          <w:iCs/>
          <w:noProof/>
          <w:szCs w:val="24"/>
        </w:rPr>
        <w:t>Front. Cell. Infect. Microbiol.</w:t>
      </w:r>
      <w:r w:rsidRPr="00912FFE">
        <w:rPr>
          <w:noProof/>
          <w:szCs w:val="24"/>
        </w:rPr>
        <w:t xml:space="preserve"> </w:t>
      </w:r>
      <w:r w:rsidRPr="00912FFE">
        <w:rPr>
          <w:b/>
          <w:bCs/>
          <w:noProof/>
          <w:szCs w:val="24"/>
        </w:rPr>
        <w:t>2016</w:t>
      </w:r>
      <w:r w:rsidRPr="00912FFE">
        <w:rPr>
          <w:noProof/>
          <w:szCs w:val="24"/>
        </w:rPr>
        <w:t xml:space="preserve">, </w:t>
      </w:r>
      <w:r w:rsidRPr="00912FFE">
        <w:rPr>
          <w:i/>
          <w:iCs/>
          <w:noProof/>
          <w:szCs w:val="24"/>
        </w:rPr>
        <w:t>6</w:t>
      </w:r>
      <w:r w:rsidRPr="00912FFE">
        <w:rPr>
          <w:noProof/>
          <w:szCs w:val="24"/>
        </w:rPr>
        <w:t xml:space="preserve"> (DEC), 194. https://doi.org/10.3389/fcimb.2016.00194.</w:t>
      </w:r>
    </w:p>
    <w:p w14:paraId="182BC51B"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(5) </w:t>
      </w:r>
      <w:r w:rsidRPr="00912FFE">
        <w:rPr>
          <w:noProof/>
          <w:szCs w:val="24"/>
        </w:rPr>
        <w:tab/>
        <w:t xml:space="preserve">Epand, R. M.; Walker, C.; Epand, R. F.; Magarvey, N. A. Molecular Mechanisms of Membrane Targeting Antibiotics. </w:t>
      </w:r>
      <w:r w:rsidRPr="00912FFE">
        <w:rPr>
          <w:i/>
          <w:iCs/>
          <w:noProof/>
          <w:szCs w:val="24"/>
        </w:rPr>
        <w:t>Biochim. Biophys. Acta - Biomembr.</w:t>
      </w:r>
      <w:r w:rsidRPr="00912FFE">
        <w:rPr>
          <w:noProof/>
          <w:szCs w:val="24"/>
        </w:rPr>
        <w:t xml:space="preserve"> </w:t>
      </w:r>
      <w:r w:rsidRPr="00912FFE">
        <w:rPr>
          <w:b/>
          <w:bCs/>
          <w:noProof/>
          <w:szCs w:val="24"/>
        </w:rPr>
        <w:t>2016</w:t>
      </w:r>
      <w:r w:rsidRPr="00912FFE">
        <w:rPr>
          <w:noProof/>
          <w:szCs w:val="24"/>
        </w:rPr>
        <w:t xml:space="preserve">, </w:t>
      </w:r>
      <w:r w:rsidRPr="00912FFE">
        <w:rPr>
          <w:i/>
          <w:iCs/>
          <w:noProof/>
          <w:szCs w:val="24"/>
        </w:rPr>
        <w:t>1858</w:t>
      </w:r>
      <w:r w:rsidRPr="00912FFE">
        <w:rPr>
          <w:noProof/>
          <w:szCs w:val="24"/>
        </w:rPr>
        <w:t xml:space="preserve"> (5), 980–987. https://doi.org/10.1016/j.bbamem.2015.10.018.</w:t>
      </w:r>
    </w:p>
    <w:p w14:paraId="6235559A"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(6) </w:t>
      </w:r>
      <w:r w:rsidRPr="00912FFE">
        <w:rPr>
          <w:noProof/>
          <w:szCs w:val="24"/>
        </w:rPr>
        <w:tab/>
        <w:t xml:space="preserve">Dubos, R. J. Studies on a Bactericidal Agent Extracted from a Soil Bacillus: I. Preparation of the Agent. Its Activity in Vitro. </w:t>
      </w:r>
      <w:r w:rsidRPr="00912FFE">
        <w:rPr>
          <w:i/>
          <w:iCs/>
          <w:noProof/>
          <w:szCs w:val="24"/>
        </w:rPr>
        <w:t>J. Exp. Med.</w:t>
      </w:r>
      <w:r w:rsidRPr="00912FFE">
        <w:rPr>
          <w:noProof/>
          <w:szCs w:val="24"/>
        </w:rPr>
        <w:t xml:space="preserve"> </w:t>
      </w:r>
      <w:r w:rsidRPr="00912FFE">
        <w:rPr>
          <w:b/>
          <w:bCs/>
          <w:noProof/>
          <w:szCs w:val="24"/>
        </w:rPr>
        <w:t>1939</w:t>
      </w:r>
      <w:r w:rsidRPr="00912FFE">
        <w:rPr>
          <w:noProof/>
          <w:szCs w:val="24"/>
        </w:rPr>
        <w:t xml:space="preserve">, </w:t>
      </w:r>
      <w:r w:rsidRPr="00912FFE">
        <w:rPr>
          <w:i/>
          <w:iCs/>
          <w:noProof/>
          <w:szCs w:val="24"/>
        </w:rPr>
        <w:t>70</w:t>
      </w:r>
      <w:r w:rsidRPr="00912FFE">
        <w:rPr>
          <w:noProof/>
          <w:szCs w:val="24"/>
        </w:rPr>
        <w:t xml:space="preserve"> (1), 1–10. https://doi.org/10.1084/jem.70.1.1.</w:t>
      </w:r>
    </w:p>
    <w:p w14:paraId="3321E903"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(7) </w:t>
      </w:r>
      <w:r w:rsidRPr="00912FFE">
        <w:rPr>
          <w:noProof/>
          <w:szCs w:val="24"/>
        </w:rPr>
        <w:tab/>
        <w:t xml:space="preserve">Dubos, R. J.; Hotchkiss, R. D. The Production of Bactericidal Substances by Aerobic Sporulating Bacilli. </w:t>
      </w:r>
      <w:r w:rsidRPr="00912FFE">
        <w:rPr>
          <w:i/>
          <w:iCs/>
          <w:noProof/>
          <w:szCs w:val="24"/>
        </w:rPr>
        <w:t>J. Exp. Med.</w:t>
      </w:r>
      <w:r w:rsidRPr="00912FFE">
        <w:rPr>
          <w:noProof/>
          <w:szCs w:val="24"/>
        </w:rPr>
        <w:t xml:space="preserve"> </w:t>
      </w:r>
      <w:r w:rsidRPr="00912FFE">
        <w:rPr>
          <w:b/>
          <w:bCs/>
          <w:noProof/>
          <w:szCs w:val="24"/>
        </w:rPr>
        <w:t>1941</w:t>
      </w:r>
      <w:r w:rsidRPr="00912FFE">
        <w:rPr>
          <w:noProof/>
          <w:szCs w:val="24"/>
        </w:rPr>
        <w:t xml:space="preserve">, </w:t>
      </w:r>
      <w:r w:rsidRPr="00912FFE">
        <w:rPr>
          <w:i/>
          <w:iCs/>
          <w:noProof/>
          <w:szCs w:val="24"/>
        </w:rPr>
        <w:t>73</w:t>
      </w:r>
      <w:r w:rsidRPr="00912FFE">
        <w:rPr>
          <w:noProof/>
          <w:szCs w:val="24"/>
        </w:rPr>
        <w:t xml:space="preserve"> (5), 629–640. https://doi.org/10.1084/jem.73.5.629.</w:t>
      </w:r>
    </w:p>
    <w:p w14:paraId="36F4D96E"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(8) </w:t>
      </w:r>
      <w:r w:rsidRPr="00912FFE">
        <w:rPr>
          <w:noProof/>
          <w:szCs w:val="24"/>
        </w:rPr>
        <w:tab/>
        <w:t xml:space="preserve">Hirsch, J. G. Phagocytin: A Bactericidal Substance from Polymorphonuclear Leucocytes. </w:t>
      </w:r>
      <w:r w:rsidRPr="00912FFE">
        <w:rPr>
          <w:i/>
          <w:iCs/>
          <w:noProof/>
          <w:szCs w:val="24"/>
        </w:rPr>
        <w:t>J. Exp. Med.</w:t>
      </w:r>
      <w:r w:rsidRPr="00912FFE">
        <w:rPr>
          <w:noProof/>
          <w:szCs w:val="24"/>
        </w:rPr>
        <w:t xml:space="preserve"> </w:t>
      </w:r>
      <w:r w:rsidRPr="00912FFE">
        <w:rPr>
          <w:b/>
          <w:bCs/>
          <w:noProof/>
          <w:szCs w:val="24"/>
        </w:rPr>
        <w:t>1956</w:t>
      </w:r>
      <w:r w:rsidRPr="00912FFE">
        <w:rPr>
          <w:noProof/>
          <w:szCs w:val="24"/>
        </w:rPr>
        <w:t xml:space="preserve">, </w:t>
      </w:r>
      <w:r w:rsidRPr="00912FFE">
        <w:rPr>
          <w:i/>
          <w:iCs/>
          <w:noProof/>
          <w:szCs w:val="24"/>
        </w:rPr>
        <w:t>103</w:t>
      </w:r>
      <w:r w:rsidRPr="00912FFE">
        <w:rPr>
          <w:noProof/>
          <w:szCs w:val="24"/>
        </w:rPr>
        <w:t xml:space="preserve"> (5), 589–611. https://doi.org/10.1084/jem.103.5.589.</w:t>
      </w:r>
    </w:p>
    <w:p w14:paraId="6A46136C"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(9) </w:t>
      </w:r>
      <w:r w:rsidRPr="00912FFE">
        <w:rPr>
          <w:noProof/>
          <w:szCs w:val="24"/>
        </w:rPr>
        <w:tab/>
        <w:t xml:space="preserve">Bahar, A.; Ren, D. Antimicrobial Peptides. </w:t>
      </w:r>
      <w:r w:rsidRPr="00912FFE">
        <w:rPr>
          <w:i/>
          <w:iCs/>
          <w:noProof/>
          <w:szCs w:val="24"/>
        </w:rPr>
        <w:t>Pharmaceuticals</w:t>
      </w:r>
      <w:r w:rsidRPr="00912FFE">
        <w:rPr>
          <w:noProof/>
          <w:szCs w:val="24"/>
        </w:rPr>
        <w:t xml:space="preserve"> </w:t>
      </w:r>
      <w:r w:rsidRPr="00912FFE">
        <w:rPr>
          <w:b/>
          <w:bCs/>
          <w:noProof/>
          <w:szCs w:val="24"/>
        </w:rPr>
        <w:t>2013</w:t>
      </w:r>
      <w:r w:rsidRPr="00912FFE">
        <w:rPr>
          <w:noProof/>
          <w:szCs w:val="24"/>
        </w:rPr>
        <w:t xml:space="preserve">, </w:t>
      </w:r>
      <w:r w:rsidRPr="00912FFE">
        <w:rPr>
          <w:i/>
          <w:iCs/>
          <w:noProof/>
          <w:szCs w:val="24"/>
        </w:rPr>
        <w:t>6</w:t>
      </w:r>
      <w:r w:rsidRPr="00912FFE">
        <w:rPr>
          <w:noProof/>
          <w:szCs w:val="24"/>
        </w:rPr>
        <w:t xml:space="preserve"> (12), 1543–1575. https://doi.org/10.3390/ph6121543.</w:t>
      </w:r>
    </w:p>
    <w:p w14:paraId="1D63F47F"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(10) </w:t>
      </w:r>
      <w:r w:rsidRPr="00912FFE">
        <w:rPr>
          <w:noProof/>
          <w:szCs w:val="24"/>
        </w:rPr>
        <w:tab/>
        <w:t xml:space="preserve">Gause, G. F.; Brazhnikova, M. G. Gramicidin S and Its Use in the Treatment of Infected Wounds. </w:t>
      </w:r>
      <w:r w:rsidRPr="00912FFE">
        <w:rPr>
          <w:i/>
          <w:iCs/>
          <w:noProof/>
          <w:szCs w:val="24"/>
        </w:rPr>
        <w:t>Nature</w:t>
      </w:r>
      <w:r w:rsidRPr="00912FFE">
        <w:rPr>
          <w:noProof/>
          <w:szCs w:val="24"/>
        </w:rPr>
        <w:t xml:space="preserve"> </w:t>
      </w:r>
      <w:r w:rsidRPr="00912FFE">
        <w:rPr>
          <w:b/>
          <w:bCs/>
          <w:noProof/>
          <w:szCs w:val="24"/>
        </w:rPr>
        <w:t>1944</w:t>
      </w:r>
      <w:r w:rsidRPr="00912FFE">
        <w:rPr>
          <w:noProof/>
          <w:szCs w:val="24"/>
        </w:rPr>
        <w:t xml:space="preserve">, </w:t>
      </w:r>
      <w:r w:rsidRPr="00912FFE">
        <w:rPr>
          <w:i/>
          <w:iCs/>
          <w:noProof/>
          <w:szCs w:val="24"/>
        </w:rPr>
        <w:t>154</w:t>
      </w:r>
      <w:r w:rsidRPr="00912FFE">
        <w:rPr>
          <w:noProof/>
          <w:szCs w:val="24"/>
        </w:rPr>
        <w:t xml:space="preserve"> (3918), 703. https://doi.org/10.1038/154703a0.</w:t>
      </w:r>
    </w:p>
    <w:p w14:paraId="1EA772F2"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(11) </w:t>
      </w:r>
      <w:r w:rsidRPr="00912FFE">
        <w:rPr>
          <w:noProof/>
          <w:szCs w:val="24"/>
        </w:rPr>
        <w:tab/>
        <w:t xml:space="preserve">Wenzel, M.; Rautenbach, M.; Vosloo, J. A.; Siersma, T.; Aisenbrey, C. H. M.; Zaitseva, E.; Laubscher, W. E.; van Rensburg, W.; Behrends, J. C.; Bechinger, B.; Hamoen, L. W. The Multifaceted Antibacterial Mechanisms of the Pioneering Peptide Antibiotics </w:t>
      </w:r>
      <w:r w:rsidRPr="00912FFE">
        <w:rPr>
          <w:noProof/>
          <w:szCs w:val="24"/>
        </w:rPr>
        <w:lastRenderedPageBreak/>
        <w:t xml:space="preserve">Tyrocidine and Gramicidin S. </w:t>
      </w:r>
      <w:r w:rsidRPr="00912FFE">
        <w:rPr>
          <w:i/>
          <w:iCs/>
          <w:noProof/>
          <w:szCs w:val="24"/>
        </w:rPr>
        <w:t>MBio</w:t>
      </w:r>
      <w:r w:rsidRPr="00912FFE">
        <w:rPr>
          <w:noProof/>
          <w:szCs w:val="24"/>
        </w:rPr>
        <w:t xml:space="preserve"> </w:t>
      </w:r>
      <w:r w:rsidRPr="00912FFE">
        <w:rPr>
          <w:b/>
          <w:bCs/>
          <w:noProof/>
          <w:szCs w:val="24"/>
        </w:rPr>
        <w:t>2018</w:t>
      </w:r>
      <w:r w:rsidRPr="00912FFE">
        <w:rPr>
          <w:noProof/>
          <w:szCs w:val="24"/>
        </w:rPr>
        <w:t xml:space="preserve">, </w:t>
      </w:r>
      <w:r w:rsidRPr="00912FFE">
        <w:rPr>
          <w:i/>
          <w:iCs/>
          <w:noProof/>
          <w:szCs w:val="24"/>
        </w:rPr>
        <w:t>9</w:t>
      </w:r>
      <w:r w:rsidRPr="00912FFE">
        <w:rPr>
          <w:noProof/>
          <w:szCs w:val="24"/>
        </w:rPr>
        <w:t xml:space="preserve"> (5), e00802-18. https://doi.org/10.1128/mBio.00802-18.</w:t>
      </w:r>
    </w:p>
    <w:p w14:paraId="18F17A58"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(12) </w:t>
      </w:r>
      <w:r w:rsidRPr="00912FFE">
        <w:rPr>
          <w:noProof/>
          <w:szCs w:val="24"/>
        </w:rPr>
        <w:tab/>
        <w:t xml:space="preserve">Lewies, A.; Du Plessis, L. H.; Wentzel, J. F. Antimicrobial Peptides: The Achilles’ Heel of Antibiotic Resistance? </w:t>
      </w:r>
      <w:r w:rsidRPr="00912FFE">
        <w:rPr>
          <w:i/>
          <w:iCs/>
          <w:noProof/>
          <w:szCs w:val="24"/>
        </w:rPr>
        <w:t>Probiotics Antimicrob. Proteins</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11</w:t>
      </w:r>
      <w:r w:rsidRPr="00912FFE">
        <w:rPr>
          <w:noProof/>
          <w:szCs w:val="24"/>
        </w:rPr>
        <w:t xml:space="preserve"> (2), 370–381. https://doi.org/10.1007/s12602-018-9465-0.</w:t>
      </w:r>
    </w:p>
    <w:p w14:paraId="02EF3FF0"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(13) </w:t>
      </w:r>
      <w:r w:rsidRPr="00912FFE">
        <w:rPr>
          <w:noProof/>
          <w:szCs w:val="24"/>
        </w:rPr>
        <w:tab/>
        <w:t xml:space="preserve">Hollmann, A.; Martinez, M.; Maturana, P.; Semorile, L. C.; Maffia, P. C. Antimicrobial Peptides: Interaction with Model and Biological Membranes and Synergism with Chemical Antibiotics. </w:t>
      </w:r>
      <w:r w:rsidRPr="00912FFE">
        <w:rPr>
          <w:i/>
          <w:iCs/>
          <w:noProof/>
          <w:szCs w:val="24"/>
        </w:rPr>
        <w:t>Front. Chem.</w:t>
      </w:r>
      <w:r w:rsidRPr="00912FFE">
        <w:rPr>
          <w:noProof/>
          <w:szCs w:val="24"/>
        </w:rPr>
        <w:t xml:space="preserve"> </w:t>
      </w:r>
      <w:r w:rsidRPr="00912FFE">
        <w:rPr>
          <w:b/>
          <w:bCs/>
          <w:noProof/>
          <w:szCs w:val="24"/>
        </w:rPr>
        <w:t>2018</w:t>
      </w:r>
      <w:r w:rsidRPr="00912FFE">
        <w:rPr>
          <w:noProof/>
          <w:szCs w:val="24"/>
        </w:rPr>
        <w:t xml:space="preserve">, </w:t>
      </w:r>
      <w:r w:rsidRPr="00912FFE">
        <w:rPr>
          <w:i/>
          <w:iCs/>
          <w:noProof/>
          <w:szCs w:val="24"/>
        </w:rPr>
        <w:t>6</w:t>
      </w:r>
      <w:r w:rsidRPr="00912FFE">
        <w:rPr>
          <w:noProof/>
          <w:szCs w:val="24"/>
        </w:rPr>
        <w:t xml:space="preserve"> (JUN), 204. https://doi.org/10.3389/fchem.2018.00204.</w:t>
      </w:r>
    </w:p>
    <w:p w14:paraId="2F7495FB"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(14) </w:t>
      </w:r>
      <w:r w:rsidRPr="00912FFE">
        <w:rPr>
          <w:noProof/>
          <w:szCs w:val="24"/>
        </w:rPr>
        <w:tab/>
        <w:t xml:space="preserve">Molina-Quiroz, R. C.; Silva-Valenzuela, C.; Brewster, J.; Castro-Nallar, E.; Levy, S. B.; Camilli, A. Cyclic AMP Regulates Bacterial Persistence through Repression of the Oxidative Stress Response and SOS-Dependent DNA Repair in Uropathogenic Escherichia Coli. </w:t>
      </w:r>
      <w:r w:rsidRPr="00912FFE">
        <w:rPr>
          <w:i/>
          <w:iCs/>
          <w:noProof/>
          <w:szCs w:val="24"/>
        </w:rPr>
        <w:t>MBio</w:t>
      </w:r>
      <w:r w:rsidRPr="00912FFE">
        <w:rPr>
          <w:noProof/>
          <w:szCs w:val="24"/>
        </w:rPr>
        <w:t xml:space="preserve"> </w:t>
      </w:r>
      <w:r w:rsidRPr="00912FFE">
        <w:rPr>
          <w:b/>
          <w:bCs/>
          <w:noProof/>
          <w:szCs w:val="24"/>
        </w:rPr>
        <w:t>2018</w:t>
      </w:r>
      <w:r w:rsidRPr="00912FFE">
        <w:rPr>
          <w:noProof/>
          <w:szCs w:val="24"/>
        </w:rPr>
        <w:t xml:space="preserve">, </w:t>
      </w:r>
      <w:r w:rsidRPr="00912FFE">
        <w:rPr>
          <w:i/>
          <w:iCs/>
          <w:noProof/>
          <w:szCs w:val="24"/>
        </w:rPr>
        <w:t>9</w:t>
      </w:r>
      <w:r w:rsidRPr="00912FFE">
        <w:rPr>
          <w:noProof/>
          <w:szCs w:val="24"/>
        </w:rPr>
        <w:t xml:space="preserve"> (1), e02144-17. https://doi.org/10.1128/mBio.02144-17.</w:t>
      </w:r>
    </w:p>
    <w:p w14:paraId="26AA9614"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(15) </w:t>
      </w:r>
      <w:r w:rsidRPr="00912FFE">
        <w:rPr>
          <w:noProof/>
          <w:szCs w:val="24"/>
        </w:rPr>
        <w:tab/>
        <w:t xml:space="preserve">Peschel, A.; Sahl, H. G. The Co-Evolution of Host Cationic Antimicrobial Peptides and Microbial Resistance. </w:t>
      </w:r>
      <w:r w:rsidRPr="00912FFE">
        <w:rPr>
          <w:i/>
          <w:iCs/>
          <w:noProof/>
          <w:szCs w:val="24"/>
        </w:rPr>
        <w:t>Nat. Rev. Microbiol.</w:t>
      </w:r>
      <w:r w:rsidRPr="00912FFE">
        <w:rPr>
          <w:noProof/>
          <w:szCs w:val="24"/>
        </w:rPr>
        <w:t xml:space="preserve"> </w:t>
      </w:r>
      <w:r w:rsidRPr="00912FFE">
        <w:rPr>
          <w:b/>
          <w:bCs/>
          <w:noProof/>
          <w:szCs w:val="24"/>
        </w:rPr>
        <w:t>2006</w:t>
      </w:r>
      <w:r w:rsidRPr="00912FFE">
        <w:rPr>
          <w:noProof/>
          <w:szCs w:val="24"/>
        </w:rPr>
        <w:t xml:space="preserve">, </w:t>
      </w:r>
      <w:r w:rsidRPr="00912FFE">
        <w:rPr>
          <w:i/>
          <w:iCs/>
          <w:noProof/>
          <w:szCs w:val="24"/>
        </w:rPr>
        <w:t>4</w:t>
      </w:r>
      <w:r w:rsidRPr="00912FFE">
        <w:rPr>
          <w:noProof/>
          <w:szCs w:val="24"/>
        </w:rPr>
        <w:t xml:space="preserve"> (7), 529–536. https://doi.org/10.1038/nrmicro1441.</w:t>
      </w:r>
    </w:p>
    <w:p w14:paraId="794C4A37"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(16) </w:t>
      </w:r>
      <w:r w:rsidRPr="00912FFE">
        <w:rPr>
          <w:noProof/>
          <w:szCs w:val="24"/>
        </w:rPr>
        <w:tab/>
        <w:t xml:space="preserve">Nguyen, L. T.; Haney, E. F.; Vogel, H. J. The Expanding Scope of Antimicrobial Peptide Structures and Their Modes of Action. </w:t>
      </w:r>
      <w:r w:rsidRPr="00912FFE">
        <w:rPr>
          <w:i/>
          <w:iCs/>
          <w:noProof/>
          <w:szCs w:val="24"/>
        </w:rPr>
        <w:t>Trends Biotechnol.</w:t>
      </w:r>
      <w:r w:rsidRPr="00912FFE">
        <w:rPr>
          <w:noProof/>
          <w:szCs w:val="24"/>
        </w:rPr>
        <w:t xml:space="preserve"> </w:t>
      </w:r>
      <w:r w:rsidRPr="00912FFE">
        <w:rPr>
          <w:b/>
          <w:bCs/>
          <w:noProof/>
          <w:szCs w:val="24"/>
        </w:rPr>
        <w:t>2011</w:t>
      </w:r>
      <w:r w:rsidRPr="00912FFE">
        <w:rPr>
          <w:noProof/>
          <w:szCs w:val="24"/>
        </w:rPr>
        <w:t xml:space="preserve">, </w:t>
      </w:r>
      <w:r w:rsidRPr="00912FFE">
        <w:rPr>
          <w:i/>
          <w:iCs/>
          <w:noProof/>
          <w:szCs w:val="24"/>
        </w:rPr>
        <w:t>29</w:t>
      </w:r>
      <w:r w:rsidRPr="00912FFE">
        <w:rPr>
          <w:noProof/>
          <w:szCs w:val="24"/>
        </w:rPr>
        <w:t xml:space="preserve"> (9), 464–472. https://doi.org/10.1016/j.tibtech.2011.05.001.</w:t>
      </w:r>
    </w:p>
    <w:p w14:paraId="7EC80EB9"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(17) </w:t>
      </w:r>
      <w:r w:rsidRPr="00912FFE">
        <w:rPr>
          <w:noProof/>
          <w:szCs w:val="24"/>
        </w:rPr>
        <w:tab/>
        <w:t xml:space="preserve">Pushpanathan, M.; Gunasekaran, P.; Rajendhran, J. Antimicrobial Peptides: Versatile Biological Properties. </w:t>
      </w:r>
      <w:r w:rsidRPr="00912FFE">
        <w:rPr>
          <w:i/>
          <w:iCs/>
          <w:noProof/>
          <w:szCs w:val="24"/>
        </w:rPr>
        <w:t>Int. J. Pept.</w:t>
      </w:r>
      <w:r w:rsidRPr="00912FFE">
        <w:rPr>
          <w:noProof/>
          <w:szCs w:val="24"/>
        </w:rPr>
        <w:t xml:space="preserve"> </w:t>
      </w:r>
      <w:r w:rsidRPr="00912FFE">
        <w:rPr>
          <w:b/>
          <w:bCs/>
          <w:noProof/>
          <w:szCs w:val="24"/>
        </w:rPr>
        <w:t>2013</w:t>
      </w:r>
      <w:r w:rsidRPr="00912FFE">
        <w:rPr>
          <w:noProof/>
          <w:szCs w:val="24"/>
        </w:rPr>
        <w:t xml:space="preserve">, </w:t>
      </w:r>
      <w:r w:rsidRPr="00912FFE">
        <w:rPr>
          <w:i/>
          <w:iCs/>
          <w:noProof/>
          <w:szCs w:val="24"/>
        </w:rPr>
        <w:t>2013</w:t>
      </w:r>
      <w:r w:rsidRPr="00912FFE">
        <w:rPr>
          <w:noProof/>
          <w:szCs w:val="24"/>
        </w:rPr>
        <w:t>, 675391. https://doi.org/10.1155/2013/675391.</w:t>
      </w:r>
    </w:p>
    <w:p w14:paraId="5BE9BB07"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(18) </w:t>
      </w:r>
      <w:r w:rsidRPr="00912FFE">
        <w:rPr>
          <w:noProof/>
          <w:szCs w:val="24"/>
        </w:rPr>
        <w:tab/>
        <w:t xml:space="preserve">Deris, Z. Z.; Swarbrick, J. D.; Roberts, K. D.; Azad, M. A. K.; Akter, J.; Horne, A. S.; Nation, R. L.; Rogers, K. L.; Thompson, P. E.; Velkov, T.; Li, J. Probing the Penetration of Antimicrobial Polymyxin Lipopeptides into Gram-Negative Bacteria. </w:t>
      </w:r>
      <w:r w:rsidRPr="00912FFE">
        <w:rPr>
          <w:i/>
          <w:iCs/>
          <w:noProof/>
          <w:szCs w:val="24"/>
        </w:rPr>
        <w:t>Bioconjug. Chem.</w:t>
      </w:r>
      <w:r w:rsidRPr="00912FFE">
        <w:rPr>
          <w:noProof/>
          <w:szCs w:val="24"/>
        </w:rPr>
        <w:t xml:space="preserve"> </w:t>
      </w:r>
      <w:r w:rsidRPr="00912FFE">
        <w:rPr>
          <w:b/>
          <w:bCs/>
          <w:noProof/>
          <w:szCs w:val="24"/>
        </w:rPr>
        <w:t>2014</w:t>
      </w:r>
      <w:r w:rsidRPr="00912FFE">
        <w:rPr>
          <w:noProof/>
          <w:szCs w:val="24"/>
        </w:rPr>
        <w:t xml:space="preserve">, </w:t>
      </w:r>
      <w:r w:rsidRPr="00912FFE">
        <w:rPr>
          <w:i/>
          <w:iCs/>
          <w:noProof/>
          <w:szCs w:val="24"/>
        </w:rPr>
        <w:t>25</w:t>
      </w:r>
      <w:r w:rsidRPr="00912FFE">
        <w:rPr>
          <w:noProof/>
          <w:szCs w:val="24"/>
        </w:rPr>
        <w:t xml:space="preserve"> (4), 750–760. https://doi.org/10.1021/bc500094d.</w:t>
      </w:r>
    </w:p>
    <w:p w14:paraId="30B8E412"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(19) </w:t>
      </w:r>
      <w:r w:rsidRPr="00912FFE">
        <w:rPr>
          <w:noProof/>
          <w:szCs w:val="24"/>
        </w:rPr>
        <w:tab/>
        <w:t xml:space="preserve">Zavascki, A. P.; Goldani, L. Z.; Li, J.; Nation, R. L. Polymyxin B for the Treatment of Multidrug-Resistant Pathogens: A Critical Review. </w:t>
      </w:r>
      <w:r w:rsidRPr="00912FFE">
        <w:rPr>
          <w:i/>
          <w:iCs/>
          <w:noProof/>
          <w:szCs w:val="24"/>
        </w:rPr>
        <w:t>J. Antimicrob. Chemother.</w:t>
      </w:r>
      <w:r w:rsidRPr="00912FFE">
        <w:rPr>
          <w:noProof/>
          <w:szCs w:val="24"/>
        </w:rPr>
        <w:t xml:space="preserve"> </w:t>
      </w:r>
      <w:r w:rsidRPr="00912FFE">
        <w:rPr>
          <w:b/>
          <w:bCs/>
          <w:noProof/>
          <w:szCs w:val="24"/>
        </w:rPr>
        <w:t>2007</w:t>
      </w:r>
      <w:r w:rsidRPr="00912FFE">
        <w:rPr>
          <w:noProof/>
          <w:szCs w:val="24"/>
        </w:rPr>
        <w:t xml:space="preserve">, </w:t>
      </w:r>
      <w:r w:rsidRPr="00912FFE">
        <w:rPr>
          <w:i/>
          <w:iCs/>
          <w:noProof/>
          <w:szCs w:val="24"/>
        </w:rPr>
        <w:t>60</w:t>
      </w:r>
      <w:r w:rsidRPr="00912FFE">
        <w:rPr>
          <w:noProof/>
          <w:szCs w:val="24"/>
        </w:rPr>
        <w:t xml:space="preserve"> (6), 1206–1215. https://doi.org/10.1093/jac/dkm357.</w:t>
      </w:r>
    </w:p>
    <w:p w14:paraId="401248ED"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(20) </w:t>
      </w:r>
      <w:r w:rsidRPr="00912FFE">
        <w:rPr>
          <w:noProof/>
          <w:szCs w:val="24"/>
        </w:rPr>
        <w:tab/>
        <w:t xml:space="preserve">Becucci, L.; Valensin, D.; Innocenti, M.; Guidelli, R. Dermcidin, an Anionic Antimicrobial Peptide: Influence of Lipid Charge, PH and Zn </w:t>
      </w:r>
      <w:r w:rsidRPr="00912FFE">
        <w:rPr>
          <w:noProof/>
          <w:szCs w:val="24"/>
          <w:vertAlign w:val="superscript"/>
        </w:rPr>
        <w:t>2+</w:t>
      </w:r>
      <w:r w:rsidRPr="00912FFE">
        <w:rPr>
          <w:noProof/>
          <w:szCs w:val="24"/>
        </w:rPr>
        <w:t xml:space="preserve"> on Its Interaction with a Biomimetic Membrane. </w:t>
      </w:r>
      <w:r w:rsidRPr="00912FFE">
        <w:rPr>
          <w:i/>
          <w:iCs/>
          <w:noProof/>
          <w:szCs w:val="24"/>
        </w:rPr>
        <w:t>Soft Matter</w:t>
      </w:r>
      <w:r w:rsidRPr="00912FFE">
        <w:rPr>
          <w:noProof/>
          <w:szCs w:val="24"/>
        </w:rPr>
        <w:t xml:space="preserve"> </w:t>
      </w:r>
      <w:r w:rsidRPr="00912FFE">
        <w:rPr>
          <w:b/>
          <w:bCs/>
          <w:noProof/>
          <w:szCs w:val="24"/>
        </w:rPr>
        <w:t>2014</w:t>
      </w:r>
      <w:r w:rsidRPr="00912FFE">
        <w:rPr>
          <w:noProof/>
          <w:szCs w:val="24"/>
        </w:rPr>
        <w:t xml:space="preserve">, </w:t>
      </w:r>
      <w:r w:rsidRPr="00912FFE">
        <w:rPr>
          <w:i/>
          <w:iCs/>
          <w:noProof/>
          <w:szCs w:val="24"/>
        </w:rPr>
        <w:t>10</w:t>
      </w:r>
      <w:r w:rsidRPr="00912FFE">
        <w:rPr>
          <w:noProof/>
          <w:szCs w:val="24"/>
        </w:rPr>
        <w:t xml:space="preserve"> (4), 616–626. https://doi.org/10.1039/C3SM52400K.</w:t>
      </w:r>
    </w:p>
    <w:p w14:paraId="18848364"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(21) </w:t>
      </w:r>
      <w:r w:rsidRPr="00912FFE">
        <w:rPr>
          <w:noProof/>
          <w:szCs w:val="24"/>
        </w:rPr>
        <w:tab/>
        <w:t xml:space="preserve">Axen, A.; Carlsson, A.; Engstrom, A.; Bennich, H. Gloverin, an Antibacterial Protein from the Immune Hemolymph of Hyalophora Pupae. </w:t>
      </w:r>
      <w:r w:rsidRPr="00912FFE">
        <w:rPr>
          <w:i/>
          <w:iCs/>
          <w:noProof/>
          <w:szCs w:val="24"/>
        </w:rPr>
        <w:t>Eur. J. Biochem.</w:t>
      </w:r>
      <w:r w:rsidRPr="00912FFE">
        <w:rPr>
          <w:noProof/>
          <w:szCs w:val="24"/>
        </w:rPr>
        <w:t xml:space="preserve"> </w:t>
      </w:r>
      <w:r w:rsidRPr="00912FFE">
        <w:rPr>
          <w:b/>
          <w:bCs/>
          <w:noProof/>
          <w:szCs w:val="24"/>
        </w:rPr>
        <w:t>1997</w:t>
      </w:r>
      <w:r w:rsidRPr="00912FFE">
        <w:rPr>
          <w:noProof/>
          <w:szCs w:val="24"/>
        </w:rPr>
        <w:t xml:space="preserve">, </w:t>
      </w:r>
      <w:r w:rsidRPr="00912FFE">
        <w:rPr>
          <w:i/>
          <w:iCs/>
          <w:noProof/>
          <w:szCs w:val="24"/>
        </w:rPr>
        <w:t>247</w:t>
      </w:r>
      <w:r w:rsidRPr="00912FFE">
        <w:rPr>
          <w:noProof/>
          <w:szCs w:val="24"/>
        </w:rPr>
        <w:t xml:space="preserve"> (2), 614–619. https://doi.org/10.1111/j.1432-1033.1997.00614.x.</w:t>
      </w:r>
    </w:p>
    <w:p w14:paraId="2EB15E42"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(22) </w:t>
      </w:r>
      <w:r w:rsidRPr="00912FFE">
        <w:rPr>
          <w:noProof/>
          <w:szCs w:val="24"/>
        </w:rPr>
        <w:tab/>
        <w:t xml:space="preserve">Lee, T. H.; N. Hall, K.; Aguilar, M. I. Antimicrobial Peptide Structure and Mechanism of Action: A Focus on the Role of Membrane Structure. </w:t>
      </w:r>
      <w:r w:rsidRPr="00912FFE">
        <w:rPr>
          <w:i/>
          <w:iCs/>
          <w:noProof/>
          <w:szCs w:val="24"/>
        </w:rPr>
        <w:t>Curr. Top. Med. Chem.</w:t>
      </w:r>
      <w:r w:rsidRPr="00912FFE">
        <w:rPr>
          <w:noProof/>
          <w:szCs w:val="24"/>
        </w:rPr>
        <w:t xml:space="preserve"> </w:t>
      </w:r>
      <w:r w:rsidRPr="00912FFE">
        <w:rPr>
          <w:b/>
          <w:bCs/>
          <w:noProof/>
          <w:szCs w:val="24"/>
        </w:rPr>
        <w:t>2015</w:t>
      </w:r>
      <w:r w:rsidRPr="00912FFE">
        <w:rPr>
          <w:noProof/>
          <w:szCs w:val="24"/>
        </w:rPr>
        <w:t xml:space="preserve">, </w:t>
      </w:r>
      <w:r w:rsidRPr="00912FFE">
        <w:rPr>
          <w:i/>
          <w:iCs/>
          <w:noProof/>
          <w:szCs w:val="24"/>
        </w:rPr>
        <w:t>16</w:t>
      </w:r>
      <w:r w:rsidRPr="00912FFE">
        <w:rPr>
          <w:noProof/>
          <w:szCs w:val="24"/>
        </w:rPr>
        <w:t xml:space="preserve"> (1), 25–39. https://doi.org/10.2174/1568026615666150703121700.</w:t>
      </w:r>
    </w:p>
    <w:p w14:paraId="6579D607"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(23) </w:t>
      </w:r>
      <w:r w:rsidRPr="00912FFE">
        <w:rPr>
          <w:noProof/>
          <w:szCs w:val="24"/>
        </w:rPr>
        <w:tab/>
        <w:t xml:space="preserve">Yeaman, M. R.; Yount, N. Y. Mechanisms of Antimicrobial Peptide Action and Resistance. </w:t>
      </w:r>
      <w:r w:rsidRPr="00912FFE">
        <w:rPr>
          <w:i/>
          <w:iCs/>
          <w:noProof/>
          <w:szCs w:val="24"/>
        </w:rPr>
        <w:t>Pharmacol. Rev.</w:t>
      </w:r>
      <w:r w:rsidRPr="00912FFE">
        <w:rPr>
          <w:noProof/>
          <w:szCs w:val="24"/>
        </w:rPr>
        <w:t xml:space="preserve"> </w:t>
      </w:r>
      <w:r w:rsidRPr="00912FFE">
        <w:rPr>
          <w:b/>
          <w:bCs/>
          <w:noProof/>
          <w:szCs w:val="24"/>
        </w:rPr>
        <w:t>2003</w:t>
      </w:r>
      <w:r w:rsidRPr="00912FFE">
        <w:rPr>
          <w:noProof/>
          <w:szCs w:val="24"/>
        </w:rPr>
        <w:t xml:space="preserve">, </w:t>
      </w:r>
      <w:r w:rsidRPr="00912FFE">
        <w:rPr>
          <w:i/>
          <w:iCs/>
          <w:noProof/>
          <w:szCs w:val="24"/>
        </w:rPr>
        <w:t>55</w:t>
      </w:r>
      <w:r w:rsidRPr="00912FFE">
        <w:rPr>
          <w:noProof/>
          <w:szCs w:val="24"/>
        </w:rPr>
        <w:t xml:space="preserve"> (1), 27–55. https://doi.org/10.1124/pr.55.1.2.</w:t>
      </w:r>
    </w:p>
    <w:p w14:paraId="0E14B266"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(24) </w:t>
      </w:r>
      <w:r w:rsidRPr="00912FFE">
        <w:rPr>
          <w:noProof/>
          <w:szCs w:val="24"/>
        </w:rPr>
        <w:tab/>
        <w:t xml:space="preserve">Bacalum, M.; Radu, M. Cationic Antimicrobial Peptides Cytotoxicity on Mammalian Cells: An Analysis Using Therapeutic Index Integrative Concept. </w:t>
      </w:r>
      <w:r w:rsidRPr="00912FFE">
        <w:rPr>
          <w:i/>
          <w:iCs/>
          <w:noProof/>
          <w:szCs w:val="24"/>
        </w:rPr>
        <w:t>Int. J. Pept. Res. Ther.</w:t>
      </w:r>
      <w:r w:rsidRPr="00912FFE">
        <w:rPr>
          <w:noProof/>
          <w:szCs w:val="24"/>
        </w:rPr>
        <w:t xml:space="preserve"> </w:t>
      </w:r>
      <w:r w:rsidRPr="00912FFE">
        <w:rPr>
          <w:b/>
          <w:bCs/>
          <w:noProof/>
          <w:szCs w:val="24"/>
        </w:rPr>
        <w:t>2015</w:t>
      </w:r>
      <w:r w:rsidRPr="00912FFE">
        <w:rPr>
          <w:noProof/>
          <w:szCs w:val="24"/>
        </w:rPr>
        <w:t xml:space="preserve">, </w:t>
      </w:r>
      <w:r w:rsidRPr="00912FFE">
        <w:rPr>
          <w:i/>
          <w:iCs/>
          <w:noProof/>
          <w:szCs w:val="24"/>
        </w:rPr>
        <w:t>21</w:t>
      </w:r>
      <w:r w:rsidRPr="00912FFE">
        <w:rPr>
          <w:noProof/>
          <w:szCs w:val="24"/>
        </w:rPr>
        <w:t xml:space="preserve"> (1), 47–55. https://doi.org/10.1007/s10989-014-9430-z.</w:t>
      </w:r>
    </w:p>
    <w:p w14:paraId="4B0C9D17"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(25) </w:t>
      </w:r>
      <w:r w:rsidRPr="00912FFE">
        <w:rPr>
          <w:noProof/>
          <w:szCs w:val="24"/>
        </w:rPr>
        <w:tab/>
        <w:t xml:space="preserve">Mahlapuu, M.; Håkansson, J.; Ringstad, L.; Björn, C. Antimicrobial Peptides: An Emerging Category of Therapeutic Agents. </w:t>
      </w:r>
      <w:r w:rsidRPr="00912FFE">
        <w:rPr>
          <w:i/>
          <w:iCs/>
          <w:noProof/>
          <w:szCs w:val="24"/>
        </w:rPr>
        <w:t>Front. Cell. Infect. Microbiol.</w:t>
      </w:r>
      <w:r w:rsidRPr="00912FFE">
        <w:rPr>
          <w:noProof/>
          <w:szCs w:val="24"/>
        </w:rPr>
        <w:t xml:space="preserve"> </w:t>
      </w:r>
      <w:r w:rsidRPr="00912FFE">
        <w:rPr>
          <w:b/>
          <w:bCs/>
          <w:noProof/>
          <w:szCs w:val="24"/>
        </w:rPr>
        <w:t>2016</w:t>
      </w:r>
      <w:r w:rsidRPr="00912FFE">
        <w:rPr>
          <w:noProof/>
          <w:szCs w:val="24"/>
        </w:rPr>
        <w:t xml:space="preserve">, </w:t>
      </w:r>
      <w:r w:rsidRPr="00912FFE">
        <w:rPr>
          <w:i/>
          <w:iCs/>
          <w:noProof/>
          <w:szCs w:val="24"/>
        </w:rPr>
        <w:t>6</w:t>
      </w:r>
      <w:r w:rsidRPr="00912FFE">
        <w:rPr>
          <w:noProof/>
          <w:szCs w:val="24"/>
        </w:rPr>
        <w:t xml:space="preserve"> (DEC), 194. https://doi.org/10.3389/fcimb.2016.00194.</w:t>
      </w:r>
    </w:p>
    <w:p w14:paraId="3DF35160"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(26) </w:t>
      </w:r>
      <w:r w:rsidRPr="00912FFE">
        <w:rPr>
          <w:noProof/>
          <w:szCs w:val="24"/>
        </w:rPr>
        <w:tab/>
        <w:t xml:space="preserve">Oddo, A.; Hansen, P. R. Hemolytic Activity of Antimicrobial Peptides. In </w:t>
      </w:r>
      <w:r w:rsidRPr="00912FFE">
        <w:rPr>
          <w:i/>
          <w:iCs/>
          <w:noProof/>
          <w:szCs w:val="24"/>
        </w:rPr>
        <w:t>Methods in Molecular Biology</w:t>
      </w:r>
      <w:r w:rsidRPr="00912FFE">
        <w:rPr>
          <w:noProof/>
          <w:szCs w:val="24"/>
        </w:rPr>
        <w:t>; Humana Press Inc., 2017; Vol. 1548, pp 427–435. https://doi.org/10.1007/978-1-4939-6737-7_31.</w:t>
      </w:r>
    </w:p>
    <w:p w14:paraId="3A85976F"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(27) </w:t>
      </w:r>
      <w:r w:rsidRPr="00912FFE">
        <w:rPr>
          <w:noProof/>
          <w:szCs w:val="24"/>
        </w:rPr>
        <w:tab/>
        <w:t xml:space="preserve">Soundrarajan, N.; Park, S.; Le Van Chanh, Q.; Cho, H. sun; Raghunathan, G.; Ahn, B.; Song, H.; Kim, J. H.; Park, C. Protegrin-1 Cytotoxicity towards Mammalian Cells </w:t>
      </w:r>
      <w:r w:rsidRPr="00912FFE">
        <w:rPr>
          <w:noProof/>
          <w:szCs w:val="24"/>
        </w:rPr>
        <w:lastRenderedPageBreak/>
        <w:t xml:space="preserve">Positively Correlates with the Magnitude of Conformational Changes of the Unfolded Form upon Cell Interaction. </w:t>
      </w:r>
      <w:r w:rsidRPr="00912FFE">
        <w:rPr>
          <w:i/>
          <w:iCs/>
          <w:noProof/>
          <w:szCs w:val="24"/>
        </w:rPr>
        <w:t>Sci. Rep.</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9</w:t>
      </w:r>
      <w:r w:rsidRPr="00912FFE">
        <w:rPr>
          <w:noProof/>
          <w:szCs w:val="24"/>
        </w:rPr>
        <w:t xml:space="preserve"> (1), 1–12. https://doi.org/10.1038/s41598-019-47955-2.</w:t>
      </w:r>
    </w:p>
    <w:p w14:paraId="320F42B6"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(28) </w:t>
      </w:r>
      <w:r w:rsidRPr="00912FFE">
        <w:rPr>
          <w:noProof/>
          <w:szCs w:val="24"/>
        </w:rPr>
        <w:tab/>
        <w:t xml:space="preserve">Edwards, I. A.; Elliott, A. G.; Kavanagh, A. M.; Zuegg, J.; Blaskovich, M. A. T.; Cooper, M. A. Contribution of Amphipathicity and Hydrophobicity to the Antimicrobial Activity and Cytotoxicity of β-Hairpin Peptides. </w:t>
      </w:r>
      <w:r w:rsidRPr="00912FFE">
        <w:rPr>
          <w:i/>
          <w:iCs/>
          <w:noProof/>
          <w:szCs w:val="24"/>
        </w:rPr>
        <w:t>ACS Infect. Dis.</w:t>
      </w:r>
      <w:r w:rsidRPr="00912FFE">
        <w:rPr>
          <w:noProof/>
          <w:szCs w:val="24"/>
        </w:rPr>
        <w:t xml:space="preserve"> </w:t>
      </w:r>
      <w:r w:rsidRPr="00912FFE">
        <w:rPr>
          <w:b/>
          <w:bCs/>
          <w:noProof/>
          <w:szCs w:val="24"/>
        </w:rPr>
        <w:t>2016</w:t>
      </w:r>
      <w:r w:rsidRPr="00912FFE">
        <w:rPr>
          <w:noProof/>
          <w:szCs w:val="24"/>
        </w:rPr>
        <w:t xml:space="preserve">, </w:t>
      </w:r>
      <w:r w:rsidRPr="00912FFE">
        <w:rPr>
          <w:i/>
          <w:iCs/>
          <w:noProof/>
          <w:szCs w:val="24"/>
        </w:rPr>
        <w:t>2</w:t>
      </w:r>
      <w:r w:rsidRPr="00912FFE">
        <w:rPr>
          <w:noProof/>
          <w:szCs w:val="24"/>
        </w:rPr>
        <w:t xml:space="preserve"> (6), 442–450. https://doi.org/10.1021/acsinfecdis.6b00045.</w:t>
      </w:r>
    </w:p>
    <w:p w14:paraId="0E7EFB3D"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(29) </w:t>
      </w:r>
      <w:r w:rsidRPr="00912FFE">
        <w:rPr>
          <w:noProof/>
          <w:szCs w:val="24"/>
        </w:rPr>
        <w:tab/>
        <w:t xml:space="preserve">Koo, H. B.; Seo, J. Antimicrobial Peptides under Clinical Investigation. </w:t>
      </w:r>
      <w:r w:rsidRPr="00912FFE">
        <w:rPr>
          <w:i/>
          <w:iCs/>
          <w:noProof/>
          <w:szCs w:val="24"/>
        </w:rPr>
        <w:t>Pept. Sci.</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111</w:t>
      </w:r>
      <w:r w:rsidRPr="00912FFE">
        <w:rPr>
          <w:noProof/>
          <w:szCs w:val="24"/>
        </w:rPr>
        <w:t xml:space="preserve"> (5), e24122. https://doi.org/10.1002/pep2.24122.</w:t>
      </w:r>
    </w:p>
    <w:p w14:paraId="387912B3"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(30) </w:t>
      </w:r>
      <w:r w:rsidRPr="00912FFE">
        <w:rPr>
          <w:noProof/>
          <w:szCs w:val="24"/>
        </w:rPr>
        <w:tab/>
        <w:t xml:space="preserve">Fosgerau, K.; Hoffmann, T. Peptide Therapeutics: Current Status and Future Directions. </w:t>
      </w:r>
      <w:r w:rsidRPr="00912FFE">
        <w:rPr>
          <w:i/>
          <w:iCs/>
          <w:noProof/>
          <w:szCs w:val="24"/>
        </w:rPr>
        <w:t>Drug Discov. Today</w:t>
      </w:r>
      <w:r w:rsidRPr="00912FFE">
        <w:rPr>
          <w:noProof/>
          <w:szCs w:val="24"/>
        </w:rPr>
        <w:t xml:space="preserve"> </w:t>
      </w:r>
      <w:r w:rsidRPr="00912FFE">
        <w:rPr>
          <w:b/>
          <w:bCs/>
          <w:noProof/>
          <w:szCs w:val="24"/>
        </w:rPr>
        <w:t>2015</w:t>
      </w:r>
      <w:r w:rsidRPr="00912FFE">
        <w:rPr>
          <w:noProof/>
          <w:szCs w:val="24"/>
        </w:rPr>
        <w:t xml:space="preserve">, </w:t>
      </w:r>
      <w:r w:rsidRPr="00912FFE">
        <w:rPr>
          <w:i/>
          <w:iCs/>
          <w:noProof/>
          <w:szCs w:val="24"/>
        </w:rPr>
        <w:t>20</w:t>
      </w:r>
      <w:r w:rsidRPr="00912FFE">
        <w:rPr>
          <w:noProof/>
          <w:szCs w:val="24"/>
        </w:rPr>
        <w:t xml:space="preserve"> (1), 122–128. https://doi.org/10.1016/j.drudis.2014.10.003.</w:t>
      </w:r>
    </w:p>
    <w:p w14:paraId="17CF3811"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(31) </w:t>
      </w:r>
      <w:r w:rsidRPr="00912FFE">
        <w:rPr>
          <w:noProof/>
          <w:szCs w:val="24"/>
        </w:rPr>
        <w:tab/>
        <w:t xml:space="preserve">Jeong, J. H.; Kim, J. S.; Choi, S. S.; Kim, Y. NMR Structural Studies of Antimicrobial Peptides: LPcin Analogs. </w:t>
      </w:r>
      <w:r w:rsidRPr="00912FFE">
        <w:rPr>
          <w:i/>
          <w:iCs/>
          <w:noProof/>
          <w:szCs w:val="24"/>
        </w:rPr>
        <w:t>Biophys. J.</w:t>
      </w:r>
      <w:r w:rsidRPr="00912FFE">
        <w:rPr>
          <w:noProof/>
          <w:szCs w:val="24"/>
        </w:rPr>
        <w:t xml:space="preserve"> </w:t>
      </w:r>
      <w:r w:rsidRPr="00912FFE">
        <w:rPr>
          <w:b/>
          <w:bCs/>
          <w:noProof/>
          <w:szCs w:val="24"/>
        </w:rPr>
        <w:t>2016</w:t>
      </w:r>
      <w:r w:rsidRPr="00912FFE">
        <w:rPr>
          <w:noProof/>
          <w:szCs w:val="24"/>
        </w:rPr>
        <w:t xml:space="preserve">, </w:t>
      </w:r>
      <w:r w:rsidRPr="00912FFE">
        <w:rPr>
          <w:i/>
          <w:iCs/>
          <w:noProof/>
          <w:szCs w:val="24"/>
        </w:rPr>
        <w:t>110</w:t>
      </w:r>
      <w:r w:rsidRPr="00912FFE">
        <w:rPr>
          <w:noProof/>
          <w:szCs w:val="24"/>
        </w:rPr>
        <w:t xml:space="preserve"> (2), 423–430. https://doi.org/10.1016/j.bpj.2015.12.006.</w:t>
      </w:r>
    </w:p>
    <w:p w14:paraId="03A6B241"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(32) </w:t>
      </w:r>
      <w:r w:rsidRPr="00912FFE">
        <w:rPr>
          <w:noProof/>
          <w:szCs w:val="24"/>
        </w:rPr>
        <w:tab/>
        <w:t xml:space="preserve">Carmona-Ribeiro, A.; de Melo Carrasco, L. Novel Formulations for Antimicrobial Peptides. </w:t>
      </w:r>
      <w:r w:rsidRPr="00912FFE">
        <w:rPr>
          <w:i/>
          <w:iCs/>
          <w:noProof/>
          <w:szCs w:val="24"/>
        </w:rPr>
        <w:t>Int. J. Mol. Sci.</w:t>
      </w:r>
      <w:r w:rsidRPr="00912FFE">
        <w:rPr>
          <w:noProof/>
          <w:szCs w:val="24"/>
        </w:rPr>
        <w:t xml:space="preserve"> </w:t>
      </w:r>
      <w:r w:rsidRPr="00912FFE">
        <w:rPr>
          <w:b/>
          <w:bCs/>
          <w:noProof/>
          <w:szCs w:val="24"/>
        </w:rPr>
        <w:t>2014</w:t>
      </w:r>
      <w:r w:rsidRPr="00912FFE">
        <w:rPr>
          <w:noProof/>
          <w:szCs w:val="24"/>
        </w:rPr>
        <w:t xml:space="preserve">, </w:t>
      </w:r>
      <w:r w:rsidRPr="00912FFE">
        <w:rPr>
          <w:i/>
          <w:iCs/>
          <w:noProof/>
          <w:szCs w:val="24"/>
        </w:rPr>
        <w:t>15</w:t>
      </w:r>
      <w:r w:rsidRPr="00912FFE">
        <w:rPr>
          <w:noProof/>
          <w:szCs w:val="24"/>
        </w:rPr>
        <w:t xml:space="preserve"> (10), 18040–18083. https://doi.org/10.3390/ijms151018040.</w:t>
      </w:r>
    </w:p>
    <w:p w14:paraId="2D11256E"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(33) </w:t>
      </w:r>
      <w:r w:rsidRPr="00912FFE">
        <w:rPr>
          <w:noProof/>
          <w:szCs w:val="24"/>
        </w:rPr>
        <w:tab/>
        <w:t xml:space="preserve">Ferguson, A. L.; Zhang, S.; Dikiy, I.; Panagiotopoulos, A. Z.; Debenedetti, P. G.; Link, A. J. An Experimental and Computational Investigation of Spontaneous Lasso Formation in Microcin J25. </w:t>
      </w:r>
      <w:r w:rsidRPr="00912FFE">
        <w:rPr>
          <w:i/>
          <w:iCs/>
          <w:noProof/>
          <w:szCs w:val="24"/>
        </w:rPr>
        <w:t>Biophys. J.</w:t>
      </w:r>
      <w:r w:rsidRPr="00912FFE">
        <w:rPr>
          <w:noProof/>
          <w:szCs w:val="24"/>
        </w:rPr>
        <w:t xml:space="preserve"> </w:t>
      </w:r>
      <w:r w:rsidRPr="00912FFE">
        <w:rPr>
          <w:b/>
          <w:bCs/>
          <w:noProof/>
          <w:szCs w:val="24"/>
        </w:rPr>
        <w:t>2010</w:t>
      </w:r>
      <w:r w:rsidRPr="00912FFE">
        <w:rPr>
          <w:noProof/>
          <w:szCs w:val="24"/>
        </w:rPr>
        <w:t xml:space="preserve">, </w:t>
      </w:r>
      <w:r w:rsidRPr="00912FFE">
        <w:rPr>
          <w:i/>
          <w:iCs/>
          <w:noProof/>
          <w:szCs w:val="24"/>
        </w:rPr>
        <w:t>99</w:t>
      </w:r>
      <w:r w:rsidRPr="00912FFE">
        <w:rPr>
          <w:noProof/>
          <w:szCs w:val="24"/>
        </w:rPr>
        <w:t xml:space="preserve"> (9), 3056–3065. https://doi.org/10.1016/j.bpj.2010.08.073.</w:t>
      </w:r>
    </w:p>
    <w:p w14:paraId="05D5C12F"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(34) </w:t>
      </w:r>
      <w:r w:rsidRPr="00912FFE">
        <w:rPr>
          <w:noProof/>
          <w:szCs w:val="24"/>
        </w:rPr>
        <w:tab/>
        <w:t xml:space="preserve">Kohut, G.; Sieradzan, A.; Zsila, F.; Juhász, T.; Bsze, S.; Liwo, A.; Samsonov, S. A.; Beke-Somfai, T. The Molecular Mechanism of Structural Changes in the Antimicrobial Peptide CM15 upon Complex Formation with Drug Molecule Suramin: A Computational Analysis. </w:t>
      </w:r>
      <w:r w:rsidRPr="00912FFE">
        <w:rPr>
          <w:i/>
          <w:iCs/>
          <w:noProof/>
          <w:szCs w:val="24"/>
        </w:rPr>
        <w:t>Phys. Chem. Chem. Phys.</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21</w:t>
      </w:r>
      <w:r w:rsidRPr="00912FFE">
        <w:rPr>
          <w:noProof/>
          <w:szCs w:val="24"/>
        </w:rPr>
        <w:t xml:space="preserve"> (20), 10644–10659. https://doi.org/10.1039/c9cp00471h.</w:t>
      </w:r>
    </w:p>
    <w:p w14:paraId="7460E1D7"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(35) </w:t>
      </w:r>
      <w:r w:rsidRPr="00912FFE">
        <w:rPr>
          <w:noProof/>
          <w:szCs w:val="24"/>
        </w:rPr>
        <w:tab/>
        <w:t xml:space="preserve">Liu, D.; Liu, J.; Wang, W.; Xia, L.; Yang, J.; Sun, S.; Zhang, F. Computational and Experimental Investigation of the Antimicrobial Peptide Cecropin XJ and Its Ligands as the Impact Factors of Antibacterial Activity. </w:t>
      </w:r>
      <w:r w:rsidRPr="00912FFE">
        <w:rPr>
          <w:i/>
          <w:iCs/>
          <w:noProof/>
          <w:szCs w:val="24"/>
        </w:rPr>
        <w:t>Food Biophys.</w:t>
      </w:r>
      <w:r w:rsidRPr="00912FFE">
        <w:rPr>
          <w:noProof/>
          <w:szCs w:val="24"/>
        </w:rPr>
        <w:t xml:space="preserve"> </w:t>
      </w:r>
      <w:r w:rsidRPr="00912FFE">
        <w:rPr>
          <w:b/>
          <w:bCs/>
          <w:noProof/>
          <w:szCs w:val="24"/>
        </w:rPr>
        <w:t>2016</w:t>
      </w:r>
      <w:r w:rsidRPr="00912FFE">
        <w:rPr>
          <w:noProof/>
          <w:szCs w:val="24"/>
        </w:rPr>
        <w:t xml:space="preserve">, </w:t>
      </w:r>
      <w:r w:rsidRPr="00912FFE">
        <w:rPr>
          <w:i/>
          <w:iCs/>
          <w:noProof/>
          <w:szCs w:val="24"/>
        </w:rPr>
        <w:t>11</w:t>
      </w:r>
      <w:r w:rsidRPr="00912FFE">
        <w:rPr>
          <w:noProof/>
          <w:szCs w:val="24"/>
        </w:rPr>
        <w:t xml:space="preserve"> (4), 319–331. https://doi.org/10.1007/s11483-016-9445-4.</w:t>
      </w:r>
    </w:p>
    <w:p w14:paraId="43C4F708"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(36) </w:t>
      </w:r>
      <w:r w:rsidRPr="00912FFE">
        <w:rPr>
          <w:noProof/>
          <w:szCs w:val="24"/>
        </w:rPr>
        <w:tab/>
        <w:t xml:space="preserve">Loose, C.; Jensen, K.; Rigoutsos, I.; Stephanopoulos, G. A Linguistic Model for the Rational Design of Antimicrobial Peptides. </w:t>
      </w:r>
      <w:r w:rsidRPr="00912FFE">
        <w:rPr>
          <w:i/>
          <w:iCs/>
          <w:noProof/>
          <w:szCs w:val="24"/>
        </w:rPr>
        <w:t>Nature</w:t>
      </w:r>
      <w:r w:rsidRPr="00912FFE">
        <w:rPr>
          <w:noProof/>
          <w:szCs w:val="24"/>
        </w:rPr>
        <w:t xml:space="preserve"> </w:t>
      </w:r>
      <w:r w:rsidRPr="00912FFE">
        <w:rPr>
          <w:b/>
          <w:bCs/>
          <w:noProof/>
          <w:szCs w:val="24"/>
        </w:rPr>
        <w:t>2006</w:t>
      </w:r>
      <w:r w:rsidRPr="00912FFE">
        <w:rPr>
          <w:noProof/>
          <w:szCs w:val="24"/>
        </w:rPr>
        <w:t xml:space="preserve">, </w:t>
      </w:r>
      <w:r w:rsidRPr="00912FFE">
        <w:rPr>
          <w:i/>
          <w:iCs/>
          <w:noProof/>
          <w:szCs w:val="24"/>
        </w:rPr>
        <w:t>443</w:t>
      </w:r>
      <w:r w:rsidRPr="00912FFE">
        <w:rPr>
          <w:noProof/>
          <w:szCs w:val="24"/>
        </w:rPr>
        <w:t xml:space="preserve"> (7113), 867–869. https://doi.org/10.1038/nature05233.</w:t>
      </w:r>
    </w:p>
    <w:p w14:paraId="7645C68B"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(37) </w:t>
      </w:r>
      <w:r w:rsidRPr="00912FFE">
        <w:rPr>
          <w:noProof/>
          <w:szCs w:val="24"/>
        </w:rPr>
        <w:tab/>
        <w:t xml:space="preserve">Rondon-Villarreal, P.; A. Sierra, D.; Torres, R. Machine Learning in the Rational Design of Antimicrobial Peptides. </w:t>
      </w:r>
      <w:r w:rsidRPr="00912FFE">
        <w:rPr>
          <w:i/>
          <w:iCs/>
          <w:noProof/>
          <w:szCs w:val="24"/>
        </w:rPr>
        <w:t>Curr. Comput. Aided-Drug Des.</w:t>
      </w:r>
      <w:r w:rsidRPr="00912FFE">
        <w:rPr>
          <w:noProof/>
          <w:szCs w:val="24"/>
        </w:rPr>
        <w:t xml:space="preserve"> </w:t>
      </w:r>
      <w:r w:rsidRPr="00912FFE">
        <w:rPr>
          <w:b/>
          <w:bCs/>
          <w:noProof/>
          <w:szCs w:val="24"/>
        </w:rPr>
        <w:t>2015</w:t>
      </w:r>
      <w:r w:rsidRPr="00912FFE">
        <w:rPr>
          <w:noProof/>
          <w:szCs w:val="24"/>
        </w:rPr>
        <w:t xml:space="preserve">, </w:t>
      </w:r>
      <w:r w:rsidRPr="00912FFE">
        <w:rPr>
          <w:i/>
          <w:iCs/>
          <w:noProof/>
          <w:szCs w:val="24"/>
        </w:rPr>
        <w:t>10</w:t>
      </w:r>
      <w:r w:rsidRPr="00912FFE">
        <w:rPr>
          <w:noProof/>
          <w:szCs w:val="24"/>
        </w:rPr>
        <w:t xml:space="preserve"> (3), 183–190. https://doi.org/10.2174/1573409910666140624124807.</w:t>
      </w:r>
    </w:p>
    <w:p w14:paraId="6DDEBE20"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(38) </w:t>
      </w:r>
      <w:r w:rsidRPr="00912FFE">
        <w:rPr>
          <w:noProof/>
          <w:szCs w:val="24"/>
        </w:rPr>
        <w:tab/>
        <w:t xml:space="preserve">Shah, Y.; Sehgal, D.; Valadi, J. K. Recent Trends in Antimicrobial Peptide Prediction Using Machine Learning Techniques. </w:t>
      </w:r>
      <w:r w:rsidRPr="00912FFE">
        <w:rPr>
          <w:i/>
          <w:iCs/>
          <w:noProof/>
          <w:szCs w:val="24"/>
        </w:rPr>
        <w:t>Bioinformation</w:t>
      </w:r>
      <w:r w:rsidRPr="00912FFE">
        <w:rPr>
          <w:noProof/>
          <w:szCs w:val="24"/>
        </w:rPr>
        <w:t xml:space="preserve"> </w:t>
      </w:r>
      <w:r w:rsidRPr="00912FFE">
        <w:rPr>
          <w:b/>
          <w:bCs/>
          <w:noProof/>
          <w:szCs w:val="24"/>
        </w:rPr>
        <w:t>2017</w:t>
      </w:r>
      <w:r w:rsidRPr="00912FFE">
        <w:rPr>
          <w:noProof/>
          <w:szCs w:val="24"/>
        </w:rPr>
        <w:t xml:space="preserve">, </w:t>
      </w:r>
      <w:r w:rsidRPr="00912FFE">
        <w:rPr>
          <w:i/>
          <w:iCs/>
          <w:noProof/>
          <w:szCs w:val="24"/>
        </w:rPr>
        <w:t>13</w:t>
      </w:r>
      <w:r w:rsidRPr="00912FFE">
        <w:rPr>
          <w:noProof/>
          <w:szCs w:val="24"/>
        </w:rPr>
        <w:t xml:space="preserve"> (12), 415–416. https://doi.org/10.6026/97320630013415.</w:t>
      </w:r>
    </w:p>
    <w:p w14:paraId="1530C6BE"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(39) </w:t>
      </w:r>
      <w:r w:rsidRPr="00912FFE">
        <w:rPr>
          <w:noProof/>
          <w:szCs w:val="24"/>
        </w:rPr>
        <w:tab/>
        <w:t xml:space="preserve">Schittek, B.; Hipfel, R.; Sauer, B.; Bauer, J.; Kalbacher, H.; Stevanovic, S.; Schirle, M.; Schroeder, K.; Blin, N.; Meier, F.; Rassner, G.; Garbe, C. Dermcidin: A Novel Human Antibiotic Peptide Secreted by Sweat Glands. </w:t>
      </w:r>
      <w:r w:rsidRPr="00912FFE">
        <w:rPr>
          <w:i/>
          <w:iCs/>
          <w:noProof/>
          <w:szCs w:val="24"/>
        </w:rPr>
        <w:t>Nat. Immunol.</w:t>
      </w:r>
      <w:r w:rsidRPr="00912FFE">
        <w:rPr>
          <w:noProof/>
          <w:szCs w:val="24"/>
        </w:rPr>
        <w:t xml:space="preserve"> </w:t>
      </w:r>
      <w:r w:rsidRPr="00912FFE">
        <w:rPr>
          <w:b/>
          <w:bCs/>
          <w:noProof/>
          <w:szCs w:val="24"/>
        </w:rPr>
        <w:t>2001</w:t>
      </w:r>
      <w:r w:rsidRPr="00912FFE">
        <w:rPr>
          <w:noProof/>
          <w:szCs w:val="24"/>
        </w:rPr>
        <w:t xml:space="preserve">, </w:t>
      </w:r>
      <w:r w:rsidRPr="00912FFE">
        <w:rPr>
          <w:i/>
          <w:iCs/>
          <w:noProof/>
          <w:szCs w:val="24"/>
        </w:rPr>
        <w:t>2</w:t>
      </w:r>
      <w:r w:rsidRPr="00912FFE">
        <w:rPr>
          <w:noProof/>
          <w:szCs w:val="24"/>
        </w:rPr>
        <w:t xml:space="preserve"> (12), 1133–1137. https://doi.org/10.1038/ni732.</w:t>
      </w:r>
    </w:p>
    <w:p w14:paraId="0B4516E8"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(40) </w:t>
      </w:r>
      <w:r w:rsidRPr="00912FFE">
        <w:rPr>
          <w:noProof/>
          <w:szCs w:val="24"/>
        </w:rPr>
        <w:tab/>
        <w:t xml:space="preserve">Paulmann, M.; Arnold, T.; Linke, D.; Özdirekcan, S.; Kopp, A.; Gutsmann, T.; Kalbacher, H.; Wanke, I.; Schuenemann, V. J.; Habeck, M.; Bürck, J.; Ulrich, A. S.; Schittek, B. Structure-Activity Analysis of the Dermcidin-Derived Peptide DCD-1L, an Anionic Antimicrobial Peptide Present in Human Sweat. </w:t>
      </w:r>
      <w:r w:rsidRPr="00912FFE">
        <w:rPr>
          <w:i/>
          <w:iCs/>
          <w:noProof/>
          <w:szCs w:val="24"/>
        </w:rPr>
        <w:t>J. Biol. Chem.</w:t>
      </w:r>
      <w:r w:rsidRPr="00912FFE">
        <w:rPr>
          <w:noProof/>
          <w:szCs w:val="24"/>
        </w:rPr>
        <w:t xml:space="preserve"> </w:t>
      </w:r>
      <w:r w:rsidRPr="00912FFE">
        <w:rPr>
          <w:b/>
          <w:bCs/>
          <w:noProof/>
          <w:szCs w:val="24"/>
        </w:rPr>
        <w:t>2012</w:t>
      </w:r>
      <w:r w:rsidRPr="00912FFE">
        <w:rPr>
          <w:noProof/>
          <w:szCs w:val="24"/>
        </w:rPr>
        <w:t xml:space="preserve">, </w:t>
      </w:r>
      <w:r w:rsidRPr="00912FFE">
        <w:rPr>
          <w:i/>
          <w:iCs/>
          <w:noProof/>
          <w:szCs w:val="24"/>
        </w:rPr>
        <w:t>287</w:t>
      </w:r>
      <w:r w:rsidRPr="00912FFE">
        <w:rPr>
          <w:noProof/>
          <w:szCs w:val="24"/>
        </w:rPr>
        <w:t xml:space="preserve"> (11), 8434–8443. https://doi.org/10.1074/jbc.M111.332270.</w:t>
      </w:r>
    </w:p>
    <w:p w14:paraId="748C7860"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(41) </w:t>
      </w:r>
      <w:r w:rsidRPr="00912FFE">
        <w:rPr>
          <w:noProof/>
          <w:szCs w:val="24"/>
        </w:rPr>
        <w:tab/>
        <w:t xml:space="preserve">Nguyen, V. S.; Tan, K. W.; Ramesh, K.; Chew, F. T.; Mok, Y. K. Structural Basis for the Bacterial Membrane Insertion of Dermcidin Peptide, DCD-1L. </w:t>
      </w:r>
      <w:r w:rsidRPr="00912FFE">
        <w:rPr>
          <w:i/>
          <w:iCs/>
          <w:noProof/>
          <w:szCs w:val="24"/>
        </w:rPr>
        <w:t>Sci. Rep.</w:t>
      </w:r>
      <w:r w:rsidRPr="00912FFE">
        <w:rPr>
          <w:noProof/>
          <w:szCs w:val="24"/>
        </w:rPr>
        <w:t xml:space="preserve"> </w:t>
      </w:r>
      <w:r w:rsidRPr="00912FFE">
        <w:rPr>
          <w:b/>
          <w:bCs/>
          <w:noProof/>
          <w:szCs w:val="24"/>
        </w:rPr>
        <w:t>2017</w:t>
      </w:r>
      <w:r w:rsidRPr="00912FFE">
        <w:rPr>
          <w:noProof/>
          <w:szCs w:val="24"/>
        </w:rPr>
        <w:t xml:space="preserve">, </w:t>
      </w:r>
      <w:r w:rsidRPr="00912FFE">
        <w:rPr>
          <w:i/>
          <w:iCs/>
          <w:noProof/>
          <w:szCs w:val="24"/>
        </w:rPr>
        <w:t>7</w:t>
      </w:r>
      <w:r w:rsidRPr="00912FFE">
        <w:rPr>
          <w:noProof/>
          <w:szCs w:val="24"/>
        </w:rPr>
        <w:t xml:space="preserve"> (1), 1–11. https://doi.org/10.1038/s41598-017-13600-z.</w:t>
      </w:r>
    </w:p>
    <w:p w14:paraId="4BF3009F"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lastRenderedPageBreak/>
        <w:t xml:space="preserve">(42) </w:t>
      </w:r>
      <w:r w:rsidRPr="00912FFE">
        <w:rPr>
          <w:noProof/>
          <w:szCs w:val="24"/>
        </w:rPr>
        <w:tab/>
        <w:t xml:space="preserve">Moreno-Habel, D. A.; Biglang-awa, I. M.; Dulce, A.; Luu, D. D.; Garcia, P.; Weers, P. M. M.; Haas-Stapleton, E. J. Inactivation of the Budded Virus of Autographa Californica M Nucleopolyhedrovirus by Gloverin. </w:t>
      </w:r>
      <w:r w:rsidRPr="00912FFE">
        <w:rPr>
          <w:i/>
          <w:iCs/>
          <w:noProof/>
          <w:szCs w:val="24"/>
        </w:rPr>
        <w:t>J. Invertebr. Pathol.</w:t>
      </w:r>
      <w:r w:rsidRPr="00912FFE">
        <w:rPr>
          <w:noProof/>
          <w:szCs w:val="24"/>
        </w:rPr>
        <w:t xml:space="preserve"> </w:t>
      </w:r>
      <w:r w:rsidRPr="00912FFE">
        <w:rPr>
          <w:b/>
          <w:bCs/>
          <w:noProof/>
          <w:szCs w:val="24"/>
        </w:rPr>
        <w:t>2012</w:t>
      </w:r>
      <w:r w:rsidRPr="00912FFE">
        <w:rPr>
          <w:noProof/>
          <w:szCs w:val="24"/>
        </w:rPr>
        <w:t xml:space="preserve">, </w:t>
      </w:r>
      <w:r w:rsidRPr="00912FFE">
        <w:rPr>
          <w:i/>
          <w:iCs/>
          <w:noProof/>
          <w:szCs w:val="24"/>
        </w:rPr>
        <w:t>110</w:t>
      </w:r>
      <w:r w:rsidRPr="00912FFE">
        <w:rPr>
          <w:noProof/>
          <w:szCs w:val="24"/>
        </w:rPr>
        <w:t xml:space="preserve"> (1), 92–101. https://doi.org/10.1016/j.jip.2012.02.007.</w:t>
      </w:r>
    </w:p>
    <w:p w14:paraId="446BB671"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(43) </w:t>
      </w:r>
      <w:r w:rsidRPr="00912FFE">
        <w:rPr>
          <w:noProof/>
          <w:szCs w:val="24"/>
        </w:rPr>
        <w:tab/>
        <w:t xml:space="preserve">Raghuraman, H.; Chattopadhyay, A. Melittin: A Membrane-Active Peptide with Diverse Functions. </w:t>
      </w:r>
      <w:r w:rsidRPr="00912FFE">
        <w:rPr>
          <w:i/>
          <w:iCs/>
          <w:noProof/>
          <w:szCs w:val="24"/>
        </w:rPr>
        <w:t>Biosci. Rep.</w:t>
      </w:r>
      <w:r w:rsidRPr="00912FFE">
        <w:rPr>
          <w:noProof/>
          <w:szCs w:val="24"/>
        </w:rPr>
        <w:t xml:space="preserve"> </w:t>
      </w:r>
      <w:r w:rsidRPr="00912FFE">
        <w:rPr>
          <w:b/>
          <w:bCs/>
          <w:noProof/>
          <w:szCs w:val="24"/>
        </w:rPr>
        <w:t>2007</w:t>
      </w:r>
      <w:r w:rsidRPr="00912FFE">
        <w:rPr>
          <w:noProof/>
          <w:szCs w:val="24"/>
        </w:rPr>
        <w:t xml:space="preserve">, </w:t>
      </w:r>
      <w:r w:rsidRPr="00912FFE">
        <w:rPr>
          <w:i/>
          <w:iCs/>
          <w:noProof/>
          <w:szCs w:val="24"/>
        </w:rPr>
        <w:t>27</w:t>
      </w:r>
      <w:r w:rsidRPr="00912FFE">
        <w:rPr>
          <w:noProof/>
          <w:szCs w:val="24"/>
        </w:rPr>
        <w:t xml:space="preserve"> (4–5), 189–223. https://doi.org/10.1007/s10540-006-9030-z.</w:t>
      </w:r>
    </w:p>
    <w:p w14:paraId="7342EF5B"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(44) </w:t>
      </w:r>
      <w:r w:rsidRPr="00912FFE">
        <w:rPr>
          <w:noProof/>
          <w:szCs w:val="24"/>
        </w:rPr>
        <w:tab/>
        <w:t xml:space="preserve">Ramirez, L. S.; Pande, J.; Shekhtman, A. Helical Structure of Recombinant Melittin. </w:t>
      </w:r>
      <w:r w:rsidRPr="00912FFE">
        <w:rPr>
          <w:i/>
          <w:iCs/>
          <w:noProof/>
          <w:szCs w:val="24"/>
        </w:rPr>
        <w:t>J. Phys. Chem. B</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123</w:t>
      </w:r>
      <w:r w:rsidRPr="00912FFE">
        <w:rPr>
          <w:noProof/>
          <w:szCs w:val="24"/>
        </w:rPr>
        <w:t xml:space="preserve"> (2), 356–368. https://doi.org/10.1021/acs.jpcb.8b08424.</w:t>
      </w:r>
    </w:p>
    <w:p w14:paraId="69E55BE2"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(45) </w:t>
      </w:r>
      <w:r w:rsidRPr="00912FFE">
        <w:rPr>
          <w:noProof/>
          <w:szCs w:val="24"/>
        </w:rPr>
        <w:tab/>
        <w:t xml:space="preserve">Kurgan, K. W.; Kleman, A. F.; Bingman, C. A.; Kreitler, D. F.; Weisblum, B.; Forest, K. T.; Gellman, S. H. Retention of Native Quaternary Structure in Racemic Melittin Crystals. </w:t>
      </w:r>
      <w:r w:rsidRPr="00912FFE">
        <w:rPr>
          <w:i/>
          <w:iCs/>
          <w:noProof/>
          <w:szCs w:val="24"/>
        </w:rPr>
        <w:t>J. Am. Chem. Soc.</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141</w:t>
      </w:r>
      <w:r w:rsidRPr="00912FFE">
        <w:rPr>
          <w:noProof/>
          <w:szCs w:val="24"/>
        </w:rPr>
        <w:t xml:space="preserve"> (19), 7704–7708. https://doi.org/10.1021/jacs.9b02691.</w:t>
      </w:r>
    </w:p>
    <w:p w14:paraId="1F02E79D"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(46) </w:t>
      </w:r>
      <w:r w:rsidRPr="00912FFE">
        <w:rPr>
          <w:noProof/>
          <w:szCs w:val="24"/>
        </w:rPr>
        <w:tab/>
        <w:t xml:space="preserve">Hewish, D. R.; Barnham, K. J.; Werkmeister, J. A.; Kirkpatrick, A.; Bartone, N.; Liu, S. T.; Norton, R. S.; Curtain, C.; Rivett, D. E. Structure and Activity of D-Pro14 Melittin. </w:t>
      </w:r>
      <w:r w:rsidRPr="00912FFE">
        <w:rPr>
          <w:i/>
          <w:iCs/>
          <w:noProof/>
          <w:szCs w:val="24"/>
        </w:rPr>
        <w:t>J. Protein Chem.</w:t>
      </w:r>
      <w:r w:rsidRPr="00912FFE">
        <w:rPr>
          <w:noProof/>
          <w:szCs w:val="24"/>
        </w:rPr>
        <w:t xml:space="preserve"> </w:t>
      </w:r>
      <w:r w:rsidRPr="00912FFE">
        <w:rPr>
          <w:b/>
          <w:bCs/>
          <w:noProof/>
          <w:szCs w:val="24"/>
        </w:rPr>
        <w:t>2002</w:t>
      </w:r>
      <w:r w:rsidRPr="00912FFE">
        <w:rPr>
          <w:noProof/>
          <w:szCs w:val="24"/>
        </w:rPr>
        <w:t xml:space="preserve">, </w:t>
      </w:r>
      <w:r w:rsidRPr="00912FFE">
        <w:rPr>
          <w:i/>
          <w:iCs/>
          <w:noProof/>
          <w:szCs w:val="24"/>
        </w:rPr>
        <w:t>21</w:t>
      </w:r>
      <w:r w:rsidRPr="00912FFE">
        <w:rPr>
          <w:noProof/>
          <w:szCs w:val="24"/>
        </w:rPr>
        <w:t xml:space="preserve"> (4), 243–253. https://doi.org/10.1023/A:1019741202601.</w:t>
      </w:r>
    </w:p>
    <w:p w14:paraId="4D7C24D6"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(47) </w:t>
      </w:r>
      <w:r w:rsidRPr="00912FFE">
        <w:rPr>
          <w:noProof/>
          <w:szCs w:val="24"/>
        </w:rPr>
        <w:tab/>
        <w:t xml:space="preserve">Perekalin, D. S.; Novikov, V. V.; Pavlov, A. A.; Ivanov, I. A.; Anisimova, N. Y.; Kopylov, A. N.; Volkov, D. S.; Seregina, I. F.; Bolshov, M. A.; Kudinov, A. R. Selective Ruthenium Labeling of the Tryptophan Residue in the Bee Venom Peptide Melittin. </w:t>
      </w:r>
      <w:r w:rsidRPr="00912FFE">
        <w:rPr>
          <w:i/>
          <w:iCs/>
          <w:noProof/>
          <w:szCs w:val="24"/>
        </w:rPr>
        <w:t>Chem. - A Eur. J.</w:t>
      </w:r>
      <w:r w:rsidRPr="00912FFE">
        <w:rPr>
          <w:noProof/>
          <w:szCs w:val="24"/>
        </w:rPr>
        <w:t xml:space="preserve"> </w:t>
      </w:r>
      <w:r w:rsidRPr="00912FFE">
        <w:rPr>
          <w:b/>
          <w:bCs/>
          <w:noProof/>
          <w:szCs w:val="24"/>
        </w:rPr>
        <w:t>2015</w:t>
      </w:r>
      <w:r w:rsidRPr="00912FFE">
        <w:rPr>
          <w:noProof/>
          <w:szCs w:val="24"/>
        </w:rPr>
        <w:t xml:space="preserve">, </w:t>
      </w:r>
      <w:r w:rsidRPr="00912FFE">
        <w:rPr>
          <w:i/>
          <w:iCs/>
          <w:noProof/>
          <w:szCs w:val="24"/>
        </w:rPr>
        <w:t>21</w:t>
      </w:r>
      <w:r w:rsidRPr="00912FFE">
        <w:rPr>
          <w:noProof/>
          <w:szCs w:val="24"/>
        </w:rPr>
        <w:t xml:space="preserve"> (13), 4923–4925. https://doi.org/10.1002/chem.201406510.</w:t>
      </w:r>
    </w:p>
    <w:p w14:paraId="2E9E056D"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(48) </w:t>
      </w:r>
      <w:r w:rsidRPr="00912FFE">
        <w:rPr>
          <w:noProof/>
          <w:szCs w:val="24"/>
        </w:rPr>
        <w:tab/>
        <w:t xml:space="preserve">Zhang, L.; Parente, J.; Harris, S. M.; Woods, D. E.; Hancock, R. E. W.; Falla, T. J. Antimicrobial Peptide Therapeutics for Cystic Fibrosis. </w:t>
      </w:r>
      <w:r w:rsidRPr="00912FFE">
        <w:rPr>
          <w:i/>
          <w:iCs/>
          <w:noProof/>
          <w:szCs w:val="24"/>
        </w:rPr>
        <w:t>Antimicrob. Agents Chemother.</w:t>
      </w:r>
      <w:r w:rsidRPr="00912FFE">
        <w:rPr>
          <w:noProof/>
          <w:szCs w:val="24"/>
        </w:rPr>
        <w:t xml:space="preserve"> </w:t>
      </w:r>
      <w:r w:rsidRPr="00912FFE">
        <w:rPr>
          <w:b/>
          <w:bCs/>
          <w:noProof/>
          <w:szCs w:val="24"/>
        </w:rPr>
        <w:t>2005</w:t>
      </w:r>
      <w:r w:rsidRPr="00912FFE">
        <w:rPr>
          <w:noProof/>
          <w:szCs w:val="24"/>
        </w:rPr>
        <w:t xml:space="preserve">, </w:t>
      </w:r>
      <w:r w:rsidRPr="00912FFE">
        <w:rPr>
          <w:i/>
          <w:iCs/>
          <w:noProof/>
          <w:szCs w:val="24"/>
        </w:rPr>
        <w:t>49</w:t>
      </w:r>
      <w:r w:rsidRPr="00912FFE">
        <w:rPr>
          <w:noProof/>
          <w:szCs w:val="24"/>
        </w:rPr>
        <w:t xml:space="preserve"> (7), 2921–2927. https://doi.org/10.1128/AAC.49.7.2921-2927.2005.</w:t>
      </w:r>
    </w:p>
    <w:p w14:paraId="7F42FEB6"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(49) </w:t>
      </w:r>
      <w:r w:rsidRPr="00912FFE">
        <w:rPr>
          <w:noProof/>
          <w:szCs w:val="24"/>
        </w:rPr>
        <w:tab/>
        <w:t xml:space="preserve">Baeriswyl, S.; Gan, B. H.; Siriwardena, T. N.; Visini, R.; Robadey, M.; Javor, S.; Stocker, A.; Darbre, T.; Reymond, J. L. X-Ray Crystal Structures of Short Antimicrobial Peptides as Pseudomonas Aeruginosa Lectin B Complexes. </w:t>
      </w:r>
      <w:r w:rsidRPr="00912FFE">
        <w:rPr>
          <w:i/>
          <w:iCs/>
          <w:noProof/>
          <w:szCs w:val="24"/>
        </w:rPr>
        <w:t>ACS Chem. Biol.</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14</w:t>
      </w:r>
      <w:r w:rsidRPr="00912FFE">
        <w:rPr>
          <w:noProof/>
          <w:szCs w:val="24"/>
        </w:rPr>
        <w:t xml:space="preserve"> (4), 758–766. https://doi.org/10.1021/acschembio.9b00047.</w:t>
      </w:r>
    </w:p>
    <w:p w14:paraId="48327D55"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(50) </w:t>
      </w:r>
      <w:r w:rsidRPr="00912FFE">
        <w:rPr>
          <w:noProof/>
          <w:szCs w:val="24"/>
        </w:rPr>
        <w:tab/>
        <w:t xml:space="preserve">Sawai, M. V.; Jia, H. P.; Liu, L.; Aseyev, V.; Wiencek, J. M.; McCray, P. B.; Ganz, T.; Kearney, W. R.; Tack, B. F. The NMR Structure of Human β-Defensin-2 Reveals a Novel α-Helical Segment. </w:t>
      </w:r>
      <w:r w:rsidRPr="00912FFE">
        <w:rPr>
          <w:i/>
          <w:iCs/>
          <w:noProof/>
          <w:szCs w:val="24"/>
        </w:rPr>
        <w:t>Biochemistry</w:t>
      </w:r>
      <w:r w:rsidRPr="00912FFE">
        <w:rPr>
          <w:noProof/>
          <w:szCs w:val="24"/>
        </w:rPr>
        <w:t xml:space="preserve"> </w:t>
      </w:r>
      <w:r w:rsidRPr="00912FFE">
        <w:rPr>
          <w:b/>
          <w:bCs/>
          <w:noProof/>
          <w:szCs w:val="24"/>
        </w:rPr>
        <w:t>2001</w:t>
      </w:r>
      <w:r w:rsidRPr="00912FFE">
        <w:rPr>
          <w:noProof/>
          <w:szCs w:val="24"/>
        </w:rPr>
        <w:t xml:space="preserve">, </w:t>
      </w:r>
      <w:r w:rsidRPr="00912FFE">
        <w:rPr>
          <w:i/>
          <w:iCs/>
          <w:noProof/>
          <w:szCs w:val="24"/>
        </w:rPr>
        <w:t>40</w:t>
      </w:r>
      <w:r w:rsidRPr="00912FFE">
        <w:rPr>
          <w:noProof/>
          <w:szCs w:val="24"/>
        </w:rPr>
        <w:t xml:space="preserve"> (13), 3810–3816. https://doi.org/10.1021/bi002519d.</w:t>
      </w:r>
    </w:p>
    <w:p w14:paraId="53FF1166"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(51) </w:t>
      </w:r>
      <w:r w:rsidRPr="00912FFE">
        <w:rPr>
          <w:noProof/>
          <w:szCs w:val="24"/>
        </w:rPr>
        <w:tab/>
        <w:t xml:space="preserve">Hoover, D. M.; Rajashankar, K. R.; Blumenthal, R.; Puri, A.; Oppenheim, J. J.; Chertov, O.; Lubkowski, J. The Structure of Human β-Defensin-2 Shows Evidence of Higher Order Oligomerization. </w:t>
      </w:r>
      <w:r w:rsidRPr="00912FFE">
        <w:rPr>
          <w:i/>
          <w:iCs/>
          <w:noProof/>
          <w:szCs w:val="24"/>
        </w:rPr>
        <w:t>J. Biol. Chem.</w:t>
      </w:r>
      <w:r w:rsidRPr="00912FFE">
        <w:rPr>
          <w:noProof/>
          <w:szCs w:val="24"/>
        </w:rPr>
        <w:t xml:space="preserve"> </w:t>
      </w:r>
      <w:r w:rsidRPr="00912FFE">
        <w:rPr>
          <w:b/>
          <w:bCs/>
          <w:noProof/>
          <w:szCs w:val="24"/>
        </w:rPr>
        <w:t>2000</w:t>
      </w:r>
      <w:r w:rsidRPr="00912FFE">
        <w:rPr>
          <w:noProof/>
          <w:szCs w:val="24"/>
        </w:rPr>
        <w:t xml:space="preserve">, </w:t>
      </w:r>
      <w:r w:rsidRPr="00912FFE">
        <w:rPr>
          <w:i/>
          <w:iCs/>
          <w:noProof/>
          <w:szCs w:val="24"/>
        </w:rPr>
        <w:t>275</w:t>
      </w:r>
      <w:r w:rsidRPr="00912FFE">
        <w:rPr>
          <w:noProof/>
          <w:szCs w:val="24"/>
        </w:rPr>
        <w:t xml:space="preserve"> (42), 32911–32918. https://doi.org/10.1074/jbc.M006098200.</w:t>
      </w:r>
    </w:p>
    <w:p w14:paraId="7B4B68FE"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(52) </w:t>
      </w:r>
      <w:r w:rsidRPr="00912FFE">
        <w:rPr>
          <w:noProof/>
          <w:szCs w:val="24"/>
        </w:rPr>
        <w:tab/>
        <w:t xml:space="preserve">Selsted, M. E.; Tang, Y. Q.; Morris, W. L.; McGuire, P. A.; Novotny, M. J.; Smith, W.; Henschen, A. H.; Cullor, J. S. Purification, Primary Structures, and Antibacterial Activities of β- Defensins, a New Family of Antimicrobial Peptides from Bovine Neutrophils. </w:t>
      </w:r>
      <w:r w:rsidRPr="00912FFE">
        <w:rPr>
          <w:i/>
          <w:iCs/>
          <w:noProof/>
          <w:szCs w:val="24"/>
        </w:rPr>
        <w:t>J. Biol. Chem.</w:t>
      </w:r>
      <w:r w:rsidRPr="00912FFE">
        <w:rPr>
          <w:noProof/>
          <w:szCs w:val="24"/>
        </w:rPr>
        <w:t xml:space="preserve"> </w:t>
      </w:r>
      <w:r w:rsidRPr="00912FFE">
        <w:rPr>
          <w:b/>
          <w:bCs/>
          <w:noProof/>
          <w:szCs w:val="24"/>
        </w:rPr>
        <w:t>1993</w:t>
      </w:r>
      <w:r w:rsidRPr="00912FFE">
        <w:rPr>
          <w:noProof/>
          <w:szCs w:val="24"/>
        </w:rPr>
        <w:t xml:space="preserve">, </w:t>
      </w:r>
      <w:r w:rsidRPr="00912FFE">
        <w:rPr>
          <w:i/>
          <w:iCs/>
          <w:noProof/>
          <w:szCs w:val="24"/>
        </w:rPr>
        <w:t>268</w:t>
      </w:r>
      <w:r w:rsidRPr="00912FFE">
        <w:rPr>
          <w:noProof/>
          <w:szCs w:val="24"/>
        </w:rPr>
        <w:t xml:space="preserve"> (9), 6641–6648. https://doi.org/10.1016/s0021-9258(18)53298-1.</w:t>
      </w:r>
    </w:p>
    <w:p w14:paraId="1707CA8B"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(53) </w:t>
      </w:r>
      <w:r w:rsidRPr="00912FFE">
        <w:rPr>
          <w:noProof/>
          <w:szCs w:val="24"/>
        </w:rPr>
        <w:tab/>
        <w:t xml:space="preserve">Benetti, S.; Timmons, P. B.; Hewage, C. M. NMR Model Structure of the Antimicrobial Peptide Maximin 3. </w:t>
      </w:r>
      <w:r w:rsidRPr="00912FFE">
        <w:rPr>
          <w:i/>
          <w:iCs/>
          <w:noProof/>
          <w:szCs w:val="24"/>
        </w:rPr>
        <w:t>Eur. Biophys. J.</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48</w:t>
      </w:r>
      <w:r w:rsidRPr="00912FFE">
        <w:rPr>
          <w:noProof/>
          <w:szCs w:val="24"/>
        </w:rPr>
        <w:t xml:space="preserve"> (2), 203–212. https://doi.org/10.1007/s00249-019-01346-7.</w:t>
      </w:r>
    </w:p>
    <w:p w14:paraId="20F1EA20"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(54) </w:t>
      </w:r>
      <w:r w:rsidRPr="00912FFE">
        <w:rPr>
          <w:noProof/>
          <w:szCs w:val="24"/>
        </w:rPr>
        <w:tab/>
        <w:t xml:space="preserve">Lai, R.; Zheng, Y. T.; Shen, J. H.; Liu, G. J.; Liu, H.; Lee, W. H.; Tang, S. Z.; Zhang, Y. Antimicrobial Peptides from Skin Secretions of Chinese Red Belly Toad Bombina Maxima. </w:t>
      </w:r>
      <w:r w:rsidRPr="00912FFE">
        <w:rPr>
          <w:i/>
          <w:iCs/>
          <w:noProof/>
          <w:szCs w:val="24"/>
        </w:rPr>
        <w:t>Peptides</w:t>
      </w:r>
      <w:r w:rsidRPr="00912FFE">
        <w:rPr>
          <w:noProof/>
          <w:szCs w:val="24"/>
        </w:rPr>
        <w:t xml:space="preserve"> </w:t>
      </w:r>
      <w:r w:rsidRPr="00912FFE">
        <w:rPr>
          <w:b/>
          <w:bCs/>
          <w:noProof/>
          <w:szCs w:val="24"/>
        </w:rPr>
        <w:t>2002</w:t>
      </w:r>
      <w:r w:rsidRPr="00912FFE">
        <w:rPr>
          <w:noProof/>
          <w:szCs w:val="24"/>
        </w:rPr>
        <w:t xml:space="preserve">, </w:t>
      </w:r>
      <w:r w:rsidRPr="00912FFE">
        <w:rPr>
          <w:i/>
          <w:iCs/>
          <w:noProof/>
          <w:szCs w:val="24"/>
        </w:rPr>
        <w:t>23</w:t>
      </w:r>
      <w:r w:rsidRPr="00912FFE">
        <w:rPr>
          <w:noProof/>
          <w:szCs w:val="24"/>
        </w:rPr>
        <w:t xml:space="preserve"> (3), 427–435. https://doi.org/10.1016/S0196-9781(01)00641-6.</w:t>
      </w:r>
    </w:p>
    <w:p w14:paraId="7BAF86DE"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(55) </w:t>
      </w:r>
      <w:r w:rsidRPr="00912FFE">
        <w:rPr>
          <w:noProof/>
          <w:szCs w:val="24"/>
        </w:rPr>
        <w:tab/>
        <w:t xml:space="preserve">Zaiou, M.; Gallo, R. L. Cathelicidins, Essential Gene-Encoded Mammalian Antibiotics. </w:t>
      </w:r>
      <w:r w:rsidRPr="00912FFE">
        <w:rPr>
          <w:i/>
          <w:iCs/>
          <w:noProof/>
          <w:szCs w:val="24"/>
        </w:rPr>
        <w:t>J. Mol. Med.</w:t>
      </w:r>
      <w:r w:rsidRPr="00912FFE">
        <w:rPr>
          <w:noProof/>
          <w:szCs w:val="24"/>
        </w:rPr>
        <w:t xml:space="preserve"> </w:t>
      </w:r>
      <w:r w:rsidRPr="00912FFE">
        <w:rPr>
          <w:b/>
          <w:bCs/>
          <w:noProof/>
          <w:szCs w:val="24"/>
        </w:rPr>
        <w:t>2002</w:t>
      </w:r>
      <w:r w:rsidRPr="00912FFE">
        <w:rPr>
          <w:noProof/>
          <w:szCs w:val="24"/>
        </w:rPr>
        <w:t xml:space="preserve">, </w:t>
      </w:r>
      <w:r w:rsidRPr="00912FFE">
        <w:rPr>
          <w:i/>
          <w:iCs/>
          <w:noProof/>
          <w:szCs w:val="24"/>
        </w:rPr>
        <w:t>80</w:t>
      </w:r>
      <w:r w:rsidRPr="00912FFE">
        <w:rPr>
          <w:noProof/>
          <w:szCs w:val="24"/>
        </w:rPr>
        <w:t xml:space="preserve"> (9), 549–561. https://doi.org/10.1007/s00109-002-0350-6.</w:t>
      </w:r>
    </w:p>
    <w:p w14:paraId="17D5EA29"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(56) </w:t>
      </w:r>
      <w:r w:rsidRPr="00912FFE">
        <w:rPr>
          <w:noProof/>
          <w:szCs w:val="24"/>
        </w:rPr>
        <w:tab/>
        <w:t xml:space="preserve">Li, X.; Li, Y.; Han, H.; Miller, D. W.; Wang, G. Solution Structures of Human Ll-37 Fragments and NMR-Based Identification of a Minimal Membrane-Targeting Antimicrobial and Anticancer Region. </w:t>
      </w:r>
      <w:r w:rsidRPr="00912FFE">
        <w:rPr>
          <w:i/>
          <w:iCs/>
          <w:noProof/>
          <w:szCs w:val="24"/>
        </w:rPr>
        <w:t>J. Am. Chem. Soc.</w:t>
      </w:r>
      <w:r w:rsidRPr="00912FFE">
        <w:rPr>
          <w:noProof/>
          <w:szCs w:val="24"/>
        </w:rPr>
        <w:t xml:space="preserve"> </w:t>
      </w:r>
      <w:r w:rsidRPr="00912FFE">
        <w:rPr>
          <w:b/>
          <w:bCs/>
          <w:noProof/>
          <w:szCs w:val="24"/>
        </w:rPr>
        <w:t>2006</w:t>
      </w:r>
      <w:r w:rsidRPr="00912FFE">
        <w:rPr>
          <w:noProof/>
          <w:szCs w:val="24"/>
        </w:rPr>
        <w:t xml:space="preserve">, </w:t>
      </w:r>
      <w:r w:rsidRPr="00912FFE">
        <w:rPr>
          <w:i/>
          <w:iCs/>
          <w:noProof/>
          <w:szCs w:val="24"/>
        </w:rPr>
        <w:t>128</w:t>
      </w:r>
      <w:r w:rsidRPr="00912FFE">
        <w:rPr>
          <w:noProof/>
          <w:szCs w:val="24"/>
        </w:rPr>
        <w:t xml:space="preserve"> (17), 5776–5785. https://doi.org/10.1021/ja0584875.</w:t>
      </w:r>
    </w:p>
    <w:p w14:paraId="0484F5F3"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lastRenderedPageBreak/>
        <w:t xml:space="preserve">(57) </w:t>
      </w:r>
      <w:r w:rsidRPr="00912FFE">
        <w:rPr>
          <w:noProof/>
          <w:szCs w:val="24"/>
        </w:rPr>
        <w:tab/>
        <w:t xml:space="preserve">Wang, G. Structures of Human Host Defense Cathelicidin LL-37 and Its Smallest Antimicrobial Peptide KR-12 in Lipid Micelles. </w:t>
      </w:r>
      <w:r w:rsidRPr="00912FFE">
        <w:rPr>
          <w:i/>
          <w:iCs/>
          <w:noProof/>
          <w:szCs w:val="24"/>
        </w:rPr>
        <w:t>J. Biol. Chem.</w:t>
      </w:r>
      <w:r w:rsidRPr="00912FFE">
        <w:rPr>
          <w:noProof/>
          <w:szCs w:val="24"/>
        </w:rPr>
        <w:t xml:space="preserve"> </w:t>
      </w:r>
      <w:r w:rsidRPr="00912FFE">
        <w:rPr>
          <w:b/>
          <w:bCs/>
          <w:noProof/>
          <w:szCs w:val="24"/>
        </w:rPr>
        <w:t>2008</w:t>
      </w:r>
      <w:r w:rsidRPr="00912FFE">
        <w:rPr>
          <w:noProof/>
          <w:szCs w:val="24"/>
        </w:rPr>
        <w:t xml:space="preserve">, </w:t>
      </w:r>
      <w:r w:rsidRPr="00912FFE">
        <w:rPr>
          <w:i/>
          <w:iCs/>
          <w:noProof/>
          <w:szCs w:val="24"/>
        </w:rPr>
        <w:t>283</w:t>
      </w:r>
      <w:r w:rsidRPr="00912FFE">
        <w:rPr>
          <w:noProof/>
          <w:szCs w:val="24"/>
        </w:rPr>
        <w:t xml:space="preserve"> (47), 32637–32643. https://doi.org/10.1074/jbc.M805533200.</w:t>
      </w:r>
    </w:p>
    <w:p w14:paraId="7BDC1097"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(58) </w:t>
      </w:r>
      <w:r w:rsidRPr="00912FFE">
        <w:rPr>
          <w:noProof/>
          <w:szCs w:val="24"/>
        </w:rPr>
        <w:tab/>
        <w:t xml:space="preserve">Sancho-Vaello, E.; François, P.; Bonetti, E. J.; Lilie, H.; Finger, S.; Gil-Ortiz, F.; Gil-Carton, D.; Zeth, K. Structural Remodeling and Oligomerization of Human Cathelicidin on Membranes Suggest Fibril-like Structures as Active Species. </w:t>
      </w:r>
      <w:r w:rsidRPr="00912FFE">
        <w:rPr>
          <w:i/>
          <w:iCs/>
          <w:noProof/>
          <w:szCs w:val="24"/>
        </w:rPr>
        <w:t>Sci. Rep.</w:t>
      </w:r>
      <w:r w:rsidRPr="00912FFE">
        <w:rPr>
          <w:noProof/>
          <w:szCs w:val="24"/>
        </w:rPr>
        <w:t xml:space="preserve"> </w:t>
      </w:r>
      <w:r w:rsidRPr="00912FFE">
        <w:rPr>
          <w:b/>
          <w:bCs/>
          <w:noProof/>
          <w:szCs w:val="24"/>
        </w:rPr>
        <w:t>2017</w:t>
      </w:r>
      <w:r w:rsidRPr="00912FFE">
        <w:rPr>
          <w:noProof/>
          <w:szCs w:val="24"/>
        </w:rPr>
        <w:t xml:space="preserve">, </w:t>
      </w:r>
      <w:r w:rsidRPr="00912FFE">
        <w:rPr>
          <w:i/>
          <w:iCs/>
          <w:noProof/>
          <w:szCs w:val="24"/>
        </w:rPr>
        <w:t>7</w:t>
      </w:r>
      <w:r w:rsidRPr="00912FFE">
        <w:rPr>
          <w:noProof/>
          <w:szCs w:val="24"/>
        </w:rPr>
        <w:t xml:space="preserve"> (1), 1–11. https://doi.org/10.1038/s41598-017-14206-1.</w:t>
      </w:r>
    </w:p>
    <w:p w14:paraId="44755C3A"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(59) </w:t>
      </w:r>
      <w:r w:rsidRPr="00912FFE">
        <w:rPr>
          <w:noProof/>
          <w:szCs w:val="24"/>
        </w:rPr>
        <w:tab/>
        <w:t xml:space="preserve">Soravia, E.; Martini, G.; Zasloff, M. Antimicrobial Properties of Peptides from Xenopus Granular Gland Secretions. </w:t>
      </w:r>
      <w:r w:rsidRPr="00912FFE">
        <w:rPr>
          <w:i/>
          <w:iCs/>
          <w:noProof/>
          <w:szCs w:val="24"/>
        </w:rPr>
        <w:t>FEBS Lett.</w:t>
      </w:r>
      <w:r w:rsidRPr="00912FFE">
        <w:rPr>
          <w:noProof/>
          <w:szCs w:val="24"/>
        </w:rPr>
        <w:t xml:space="preserve"> </w:t>
      </w:r>
      <w:r w:rsidRPr="00912FFE">
        <w:rPr>
          <w:b/>
          <w:bCs/>
          <w:noProof/>
          <w:szCs w:val="24"/>
        </w:rPr>
        <w:t>1988</w:t>
      </w:r>
      <w:r w:rsidRPr="00912FFE">
        <w:rPr>
          <w:noProof/>
          <w:szCs w:val="24"/>
        </w:rPr>
        <w:t xml:space="preserve">, </w:t>
      </w:r>
      <w:r w:rsidRPr="00912FFE">
        <w:rPr>
          <w:i/>
          <w:iCs/>
          <w:noProof/>
          <w:szCs w:val="24"/>
        </w:rPr>
        <w:t>228</w:t>
      </w:r>
      <w:r w:rsidRPr="00912FFE">
        <w:rPr>
          <w:noProof/>
          <w:szCs w:val="24"/>
        </w:rPr>
        <w:t xml:space="preserve"> (2), 337–340. https://doi.org/10.1016/0014-5793(88)80027-9.</w:t>
      </w:r>
    </w:p>
    <w:p w14:paraId="65600226"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(60) </w:t>
      </w:r>
      <w:r w:rsidRPr="00912FFE">
        <w:rPr>
          <w:noProof/>
          <w:szCs w:val="24"/>
        </w:rPr>
        <w:tab/>
        <w:t xml:space="preserve">Wieprecht, T.; Apostolov, O.; Beyermann, M.; Seelig, J. Membrane Binding and Pore Formation of the Antibacterial Peptide PGLa: Thermodynamic and Mechanistic Aspects. </w:t>
      </w:r>
      <w:r w:rsidRPr="00912FFE">
        <w:rPr>
          <w:i/>
          <w:iCs/>
          <w:noProof/>
          <w:szCs w:val="24"/>
        </w:rPr>
        <w:t>Biochemistry</w:t>
      </w:r>
      <w:r w:rsidRPr="00912FFE">
        <w:rPr>
          <w:noProof/>
          <w:szCs w:val="24"/>
        </w:rPr>
        <w:t xml:space="preserve"> </w:t>
      </w:r>
      <w:r w:rsidRPr="00912FFE">
        <w:rPr>
          <w:b/>
          <w:bCs/>
          <w:noProof/>
          <w:szCs w:val="24"/>
        </w:rPr>
        <w:t>2000</w:t>
      </w:r>
      <w:r w:rsidRPr="00912FFE">
        <w:rPr>
          <w:noProof/>
          <w:szCs w:val="24"/>
        </w:rPr>
        <w:t xml:space="preserve">, </w:t>
      </w:r>
      <w:r w:rsidRPr="00912FFE">
        <w:rPr>
          <w:i/>
          <w:iCs/>
          <w:noProof/>
          <w:szCs w:val="24"/>
        </w:rPr>
        <w:t>39</w:t>
      </w:r>
      <w:r w:rsidRPr="00912FFE">
        <w:rPr>
          <w:noProof/>
          <w:szCs w:val="24"/>
        </w:rPr>
        <w:t xml:space="preserve"> (2), 442–452. https://doi.org/10.1021/bi992146k.</w:t>
      </w:r>
    </w:p>
    <w:p w14:paraId="2F3F46EB"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(61) </w:t>
      </w:r>
      <w:r w:rsidRPr="00912FFE">
        <w:rPr>
          <w:noProof/>
          <w:szCs w:val="24"/>
        </w:rPr>
        <w:tab/>
        <w:t xml:space="preserve">Zasloff, M. Magainins, a Class of Antimicrobial Peptides from Xenopus Skin: Isolation, Characterization of Two Active Forms, and Partial CDNA Sequence of a Precursor. </w:t>
      </w:r>
      <w:r w:rsidRPr="00912FFE">
        <w:rPr>
          <w:i/>
          <w:iCs/>
          <w:noProof/>
          <w:szCs w:val="24"/>
        </w:rPr>
        <w:t>Proc. Natl. Acad. Sci. U. S. A.</w:t>
      </w:r>
      <w:r w:rsidRPr="00912FFE">
        <w:rPr>
          <w:noProof/>
          <w:szCs w:val="24"/>
        </w:rPr>
        <w:t xml:space="preserve"> </w:t>
      </w:r>
      <w:r w:rsidRPr="00912FFE">
        <w:rPr>
          <w:b/>
          <w:bCs/>
          <w:noProof/>
          <w:szCs w:val="24"/>
        </w:rPr>
        <w:t>1987</w:t>
      </w:r>
      <w:r w:rsidRPr="00912FFE">
        <w:rPr>
          <w:noProof/>
          <w:szCs w:val="24"/>
        </w:rPr>
        <w:t xml:space="preserve">, </w:t>
      </w:r>
      <w:r w:rsidRPr="00912FFE">
        <w:rPr>
          <w:i/>
          <w:iCs/>
          <w:noProof/>
          <w:szCs w:val="24"/>
        </w:rPr>
        <w:t>84</w:t>
      </w:r>
      <w:r w:rsidRPr="00912FFE">
        <w:rPr>
          <w:noProof/>
          <w:szCs w:val="24"/>
        </w:rPr>
        <w:t xml:space="preserve"> (15), 5449–5453. https://doi.org/10.1073/pnas.84.15.5449.</w:t>
      </w:r>
    </w:p>
    <w:p w14:paraId="29907A6B"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(62) </w:t>
      </w:r>
      <w:r w:rsidRPr="00912FFE">
        <w:rPr>
          <w:noProof/>
          <w:szCs w:val="24"/>
        </w:rPr>
        <w:tab/>
        <w:t xml:space="preserve">Strandberg, E.; Zerweck, J.; Wadhwani, P.; Ulrich, A. S. Synergistic Insertion of Antimicrobial Magainin-Family Peptides in Membranes Depends on the Lipid Spontaneous Curvature. </w:t>
      </w:r>
      <w:r w:rsidRPr="00912FFE">
        <w:rPr>
          <w:i/>
          <w:iCs/>
          <w:noProof/>
          <w:szCs w:val="24"/>
        </w:rPr>
        <w:t>Biophys. J.</w:t>
      </w:r>
      <w:r w:rsidRPr="00912FFE">
        <w:rPr>
          <w:noProof/>
          <w:szCs w:val="24"/>
        </w:rPr>
        <w:t xml:space="preserve"> </w:t>
      </w:r>
      <w:r w:rsidRPr="00912FFE">
        <w:rPr>
          <w:b/>
          <w:bCs/>
          <w:noProof/>
          <w:szCs w:val="24"/>
        </w:rPr>
        <w:t>2013</w:t>
      </w:r>
      <w:r w:rsidRPr="00912FFE">
        <w:rPr>
          <w:noProof/>
          <w:szCs w:val="24"/>
        </w:rPr>
        <w:t xml:space="preserve">, </w:t>
      </w:r>
      <w:r w:rsidRPr="00912FFE">
        <w:rPr>
          <w:i/>
          <w:iCs/>
          <w:noProof/>
          <w:szCs w:val="24"/>
        </w:rPr>
        <w:t>104</w:t>
      </w:r>
      <w:r w:rsidRPr="00912FFE">
        <w:rPr>
          <w:noProof/>
          <w:szCs w:val="24"/>
        </w:rPr>
        <w:t xml:space="preserve"> (6), L9. https://doi.org/10.1016/j.bpj.2013.01.047.</w:t>
      </w:r>
    </w:p>
    <w:p w14:paraId="26B51491"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(63) </w:t>
      </w:r>
      <w:r w:rsidRPr="00912FFE">
        <w:rPr>
          <w:noProof/>
          <w:szCs w:val="24"/>
        </w:rPr>
        <w:tab/>
        <w:t xml:space="preserve">Gesell, J.; Zasloff, M.; Opella, S. J. Two-Dimensional 1H NMR Experiments Show That the 23-Residue Magainin Antibiotic Peptide Is an α-Helix in Dodecylphosphocholine Micelles, Sodium Dodecylsulfate Micelles, and Trifluoroethanol/Water Solution. </w:t>
      </w:r>
      <w:r w:rsidRPr="00912FFE">
        <w:rPr>
          <w:i/>
          <w:iCs/>
          <w:noProof/>
          <w:szCs w:val="24"/>
        </w:rPr>
        <w:t>J. Biomol. NMR</w:t>
      </w:r>
      <w:r w:rsidRPr="00912FFE">
        <w:rPr>
          <w:noProof/>
          <w:szCs w:val="24"/>
        </w:rPr>
        <w:t xml:space="preserve"> </w:t>
      </w:r>
      <w:r w:rsidRPr="00912FFE">
        <w:rPr>
          <w:b/>
          <w:bCs/>
          <w:noProof/>
          <w:szCs w:val="24"/>
        </w:rPr>
        <w:t>1997</w:t>
      </w:r>
      <w:r w:rsidRPr="00912FFE">
        <w:rPr>
          <w:noProof/>
          <w:szCs w:val="24"/>
        </w:rPr>
        <w:t xml:space="preserve">, </w:t>
      </w:r>
      <w:r w:rsidRPr="00912FFE">
        <w:rPr>
          <w:i/>
          <w:iCs/>
          <w:noProof/>
          <w:szCs w:val="24"/>
        </w:rPr>
        <w:t>9</w:t>
      </w:r>
      <w:r w:rsidRPr="00912FFE">
        <w:rPr>
          <w:noProof/>
          <w:szCs w:val="24"/>
        </w:rPr>
        <w:t xml:space="preserve"> (2), 127–135. https://doi.org/10.1023/A:1018698002314.</w:t>
      </w:r>
    </w:p>
    <w:p w14:paraId="0BE2D346"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(64) </w:t>
      </w:r>
      <w:r w:rsidRPr="00912FFE">
        <w:rPr>
          <w:noProof/>
          <w:szCs w:val="24"/>
        </w:rPr>
        <w:tab/>
        <w:t xml:space="preserve">Selsted, M. E.; Novotny, M. J.; Morris, W. L.; Tang, Y. Q.; Smith, W.; Cullor, J. S. Indolicidin, a Novel Bactericidal Tridecapeptide Amide from Neutrophils. </w:t>
      </w:r>
      <w:r w:rsidRPr="00912FFE">
        <w:rPr>
          <w:i/>
          <w:iCs/>
          <w:noProof/>
          <w:szCs w:val="24"/>
        </w:rPr>
        <w:t>J. Biol. Chem.</w:t>
      </w:r>
      <w:r w:rsidRPr="00912FFE">
        <w:rPr>
          <w:noProof/>
          <w:szCs w:val="24"/>
        </w:rPr>
        <w:t xml:space="preserve"> </w:t>
      </w:r>
      <w:r w:rsidRPr="00912FFE">
        <w:rPr>
          <w:b/>
          <w:bCs/>
          <w:noProof/>
          <w:szCs w:val="24"/>
        </w:rPr>
        <w:t>1992</w:t>
      </w:r>
      <w:r w:rsidRPr="00912FFE">
        <w:rPr>
          <w:noProof/>
          <w:szCs w:val="24"/>
        </w:rPr>
        <w:t xml:space="preserve">, </w:t>
      </w:r>
      <w:r w:rsidRPr="00912FFE">
        <w:rPr>
          <w:i/>
          <w:iCs/>
          <w:noProof/>
          <w:szCs w:val="24"/>
        </w:rPr>
        <w:t>267</w:t>
      </w:r>
      <w:r w:rsidRPr="00912FFE">
        <w:rPr>
          <w:noProof/>
          <w:szCs w:val="24"/>
        </w:rPr>
        <w:t xml:space="preserve"> (7), 4292–4295. https://doi.org/10.1016/s0021-9258(18)42830-x.</w:t>
      </w:r>
    </w:p>
    <w:p w14:paraId="17CFDAAE"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(65) </w:t>
      </w:r>
      <w:r w:rsidRPr="00912FFE">
        <w:rPr>
          <w:noProof/>
          <w:szCs w:val="24"/>
        </w:rPr>
        <w:tab/>
        <w:t xml:space="preserve">Andrushchenko, V. V.; Vogel, H. J.; Prenner, E. J. Solvent-Dependent Structure of Two Tryptophan-Rich Antimicrobial Peptides and Their Analogs Studied by FTIR and CD Spectroscopy. </w:t>
      </w:r>
      <w:r w:rsidRPr="00912FFE">
        <w:rPr>
          <w:i/>
          <w:iCs/>
          <w:noProof/>
          <w:szCs w:val="24"/>
        </w:rPr>
        <w:t>Biochim. Biophys. Acta - Biomembr.</w:t>
      </w:r>
      <w:r w:rsidRPr="00912FFE">
        <w:rPr>
          <w:noProof/>
          <w:szCs w:val="24"/>
        </w:rPr>
        <w:t xml:space="preserve"> </w:t>
      </w:r>
      <w:r w:rsidRPr="00912FFE">
        <w:rPr>
          <w:b/>
          <w:bCs/>
          <w:noProof/>
          <w:szCs w:val="24"/>
        </w:rPr>
        <w:t>2006</w:t>
      </w:r>
      <w:r w:rsidRPr="00912FFE">
        <w:rPr>
          <w:noProof/>
          <w:szCs w:val="24"/>
        </w:rPr>
        <w:t xml:space="preserve">, </w:t>
      </w:r>
      <w:r w:rsidRPr="00912FFE">
        <w:rPr>
          <w:i/>
          <w:iCs/>
          <w:noProof/>
          <w:szCs w:val="24"/>
        </w:rPr>
        <w:t>1758</w:t>
      </w:r>
      <w:r w:rsidRPr="00912FFE">
        <w:rPr>
          <w:noProof/>
          <w:szCs w:val="24"/>
        </w:rPr>
        <w:t xml:space="preserve"> (10), 1596–1608. https://doi.org/10.1016/j.bbamem.2006.07.013.</w:t>
      </w:r>
    </w:p>
    <w:p w14:paraId="1C050C2C"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(66) </w:t>
      </w:r>
      <w:r w:rsidRPr="00912FFE">
        <w:rPr>
          <w:noProof/>
          <w:szCs w:val="24"/>
        </w:rPr>
        <w:tab/>
        <w:t xml:space="preserve">Rozek, A.; Friedrich, C. L.; Hancock, R. E. W. Structure of the Bovine Antimicrobial Peptide Indolicidin Bound to Dodecylphosphocholine and Sodium Dodecyl Sulfate Micelles. </w:t>
      </w:r>
      <w:r w:rsidRPr="00912FFE">
        <w:rPr>
          <w:i/>
          <w:iCs/>
          <w:noProof/>
          <w:szCs w:val="24"/>
        </w:rPr>
        <w:t>Biochemistry</w:t>
      </w:r>
      <w:r w:rsidRPr="00912FFE">
        <w:rPr>
          <w:noProof/>
          <w:szCs w:val="24"/>
        </w:rPr>
        <w:t xml:space="preserve"> </w:t>
      </w:r>
      <w:r w:rsidRPr="00912FFE">
        <w:rPr>
          <w:b/>
          <w:bCs/>
          <w:noProof/>
          <w:szCs w:val="24"/>
        </w:rPr>
        <w:t>2000</w:t>
      </w:r>
      <w:r w:rsidRPr="00912FFE">
        <w:rPr>
          <w:noProof/>
          <w:szCs w:val="24"/>
        </w:rPr>
        <w:t xml:space="preserve">, </w:t>
      </w:r>
      <w:r w:rsidRPr="00912FFE">
        <w:rPr>
          <w:i/>
          <w:iCs/>
          <w:noProof/>
          <w:szCs w:val="24"/>
        </w:rPr>
        <w:t>39</w:t>
      </w:r>
      <w:r w:rsidRPr="00912FFE">
        <w:rPr>
          <w:noProof/>
          <w:szCs w:val="24"/>
        </w:rPr>
        <w:t xml:space="preserve"> (51), 15765–15774. https://doi.org/10.1021/bi000714m.</w:t>
      </w:r>
    </w:p>
    <w:p w14:paraId="08B0A7FD"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(67) </w:t>
      </w:r>
      <w:r w:rsidRPr="00912FFE">
        <w:rPr>
          <w:noProof/>
          <w:szCs w:val="24"/>
        </w:rPr>
        <w:tab/>
        <w:t xml:space="preserve">Meyer, C. E.; Reusser, F. A Polypeptide Antibacterial Agent Isolated from Trichoderma Viride. </w:t>
      </w:r>
      <w:r w:rsidRPr="00912FFE">
        <w:rPr>
          <w:i/>
          <w:iCs/>
          <w:noProof/>
          <w:szCs w:val="24"/>
        </w:rPr>
        <w:t>Experientia</w:t>
      </w:r>
      <w:r w:rsidRPr="00912FFE">
        <w:rPr>
          <w:noProof/>
          <w:szCs w:val="24"/>
        </w:rPr>
        <w:t xml:space="preserve"> </w:t>
      </w:r>
      <w:r w:rsidRPr="00912FFE">
        <w:rPr>
          <w:b/>
          <w:bCs/>
          <w:noProof/>
          <w:szCs w:val="24"/>
        </w:rPr>
        <w:t>1967</w:t>
      </w:r>
      <w:r w:rsidRPr="00912FFE">
        <w:rPr>
          <w:noProof/>
          <w:szCs w:val="24"/>
        </w:rPr>
        <w:t xml:space="preserve">, </w:t>
      </w:r>
      <w:r w:rsidRPr="00912FFE">
        <w:rPr>
          <w:i/>
          <w:iCs/>
          <w:noProof/>
          <w:szCs w:val="24"/>
        </w:rPr>
        <w:t>23</w:t>
      </w:r>
      <w:r w:rsidRPr="00912FFE">
        <w:rPr>
          <w:noProof/>
          <w:szCs w:val="24"/>
        </w:rPr>
        <w:t xml:space="preserve"> (2), 85–86. https://doi.org/10.1007/BF02135929.</w:t>
      </w:r>
    </w:p>
    <w:p w14:paraId="7C294AA1"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(68) </w:t>
      </w:r>
      <w:r w:rsidRPr="00912FFE">
        <w:rPr>
          <w:noProof/>
          <w:szCs w:val="24"/>
        </w:rPr>
        <w:tab/>
        <w:t xml:space="preserve">Fox, R. O.; Richards, F. M. A Voltage-Gated Ion Channel Model Inferred from the Crystal Structure of Alamethicin at 1.5-Å Resolution. </w:t>
      </w:r>
      <w:r w:rsidRPr="00912FFE">
        <w:rPr>
          <w:i/>
          <w:iCs/>
          <w:noProof/>
          <w:szCs w:val="24"/>
        </w:rPr>
        <w:t>Nature</w:t>
      </w:r>
      <w:r w:rsidRPr="00912FFE">
        <w:rPr>
          <w:noProof/>
          <w:szCs w:val="24"/>
        </w:rPr>
        <w:t xml:space="preserve"> </w:t>
      </w:r>
      <w:r w:rsidRPr="00912FFE">
        <w:rPr>
          <w:b/>
          <w:bCs/>
          <w:noProof/>
          <w:szCs w:val="24"/>
        </w:rPr>
        <w:t>1982</w:t>
      </w:r>
      <w:r w:rsidRPr="00912FFE">
        <w:rPr>
          <w:noProof/>
          <w:szCs w:val="24"/>
        </w:rPr>
        <w:t xml:space="preserve">, </w:t>
      </w:r>
      <w:r w:rsidRPr="00912FFE">
        <w:rPr>
          <w:i/>
          <w:iCs/>
          <w:noProof/>
          <w:szCs w:val="24"/>
        </w:rPr>
        <w:t>300</w:t>
      </w:r>
      <w:r w:rsidRPr="00912FFE">
        <w:rPr>
          <w:noProof/>
          <w:szCs w:val="24"/>
        </w:rPr>
        <w:t xml:space="preserve"> (5890), 325–330. https://doi.org/10.1038/300325a0.</w:t>
      </w:r>
    </w:p>
    <w:p w14:paraId="57210BC1"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(69) </w:t>
      </w:r>
      <w:r w:rsidRPr="00912FFE">
        <w:rPr>
          <w:noProof/>
          <w:szCs w:val="24"/>
        </w:rPr>
        <w:tab/>
        <w:t xml:space="preserve">Fahrner, R. L.; Dieckmann, T.; Harwig, S. S. L.; Lehrer, R. I.; Eisenberg, D.; Feigon, J. Solution Structure of Protegrin-1, a Broad-Spectrum Antimicrobial Peptide from Porcine Leukocytes. </w:t>
      </w:r>
      <w:r w:rsidRPr="00912FFE">
        <w:rPr>
          <w:i/>
          <w:iCs/>
          <w:noProof/>
          <w:szCs w:val="24"/>
        </w:rPr>
        <w:t>Chem. Biol.</w:t>
      </w:r>
      <w:r w:rsidRPr="00912FFE">
        <w:rPr>
          <w:noProof/>
          <w:szCs w:val="24"/>
        </w:rPr>
        <w:t xml:space="preserve"> </w:t>
      </w:r>
      <w:r w:rsidRPr="00912FFE">
        <w:rPr>
          <w:b/>
          <w:bCs/>
          <w:noProof/>
          <w:szCs w:val="24"/>
        </w:rPr>
        <w:t>1996</w:t>
      </w:r>
      <w:r w:rsidRPr="00912FFE">
        <w:rPr>
          <w:noProof/>
          <w:szCs w:val="24"/>
        </w:rPr>
        <w:t xml:space="preserve">, </w:t>
      </w:r>
      <w:r w:rsidRPr="00912FFE">
        <w:rPr>
          <w:i/>
          <w:iCs/>
          <w:noProof/>
          <w:szCs w:val="24"/>
        </w:rPr>
        <w:t>3</w:t>
      </w:r>
      <w:r w:rsidRPr="00912FFE">
        <w:rPr>
          <w:noProof/>
          <w:szCs w:val="24"/>
        </w:rPr>
        <w:t xml:space="preserve"> (7), 543–550. https://doi.org/10.1016/S1074-5521(96)90145-3.</w:t>
      </w:r>
    </w:p>
    <w:p w14:paraId="29CCE253"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(70) </w:t>
      </w:r>
      <w:r w:rsidRPr="00912FFE">
        <w:rPr>
          <w:noProof/>
          <w:szCs w:val="24"/>
        </w:rPr>
        <w:tab/>
        <w:t xml:space="preserve">Kokryakov, V. N.; Harwig, S. S. L.; Panyutich, E. A.; Shevchenko, A. A.; Aleshina, G. M.; Shamova, O. V.; Korneva, H. A.; Lehrer, R. I. Protegrins: Leukocyte Antimicrobial Peptides That Combine Features of Corticostatic Defensins and Tachyplesins. </w:t>
      </w:r>
      <w:r w:rsidRPr="00912FFE">
        <w:rPr>
          <w:i/>
          <w:iCs/>
          <w:noProof/>
          <w:szCs w:val="24"/>
        </w:rPr>
        <w:t>FEBS Lett.</w:t>
      </w:r>
      <w:r w:rsidRPr="00912FFE">
        <w:rPr>
          <w:noProof/>
          <w:szCs w:val="24"/>
        </w:rPr>
        <w:t xml:space="preserve"> </w:t>
      </w:r>
      <w:r w:rsidRPr="00912FFE">
        <w:rPr>
          <w:b/>
          <w:bCs/>
          <w:noProof/>
          <w:szCs w:val="24"/>
        </w:rPr>
        <w:t>1993</w:t>
      </w:r>
      <w:r w:rsidRPr="00912FFE">
        <w:rPr>
          <w:noProof/>
          <w:szCs w:val="24"/>
        </w:rPr>
        <w:t xml:space="preserve">, </w:t>
      </w:r>
      <w:r w:rsidRPr="00912FFE">
        <w:rPr>
          <w:i/>
          <w:iCs/>
          <w:noProof/>
          <w:szCs w:val="24"/>
        </w:rPr>
        <w:t>327</w:t>
      </w:r>
      <w:r w:rsidRPr="00912FFE">
        <w:rPr>
          <w:noProof/>
          <w:szCs w:val="24"/>
        </w:rPr>
        <w:t xml:space="preserve"> (2), 231–236. https://doi.org/10.1016/0014-5793(93)80175-T.</w:t>
      </w:r>
    </w:p>
    <w:p w14:paraId="3413639E"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(71) </w:t>
      </w:r>
      <w:r w:rsidRPr="00912FFE">
        <w:rPr>
          <w:noProof/>
          <w:szCs w:val="24"/>
        </w:rPr>
        <w:tab/>
        <w:t xml:space="preserve">Mani, R.; Tang, M.; Wu, X.; Buffy, J. J.; Waring, A. J.; Sherman, M. A.; Hong, M. Membrane-Bound Dimer Structure of a β-Hairpin Antimicrobial Peptide from Rotational-Echo Double-Resonance Solid-State NMR. </w:t>
      </w:r>
      <w:r w:rsidRPr="00912FFE">
        <w:rPr>
          <w:i/>
          <w:iCs/>
          <w:noProof/>
          <w:szCs w:val="24"/>
        </w:rPr>
        <w:t>Biochemistry</w:t>
      </w:r>
      <w:r w:rsidRPr="00912FFE">
        <w:rPr>
          <w:noProof/>
          <w:szCs w:val="24"/>
        </w:rPr>
        <w:t xml:space="preserve"> </w:t>
      </w:r>
      <w:r w:rsidRPr="00912FFE">
        <w:rPr>
          <w:b/>
          <w:bCs/>
          <w:noProof/>
          <w:szCs w:val="24"/>
        </w:rPr>
        <w:t>2006</w:t>
      </w:r>
      <w:r w:rsidRPr="00912FFE">
        <w:rPr>
          <w:noProof/>
          <w:szCs w:val="24"/>
        </w:rPr>
        <w:t xml:space="preserve">, </w:t>
      </w:r>
      <w:r w:rsidRPr="00912FFE">
        <w:rPr>
          <w:i/>
          <w:iCs/>
          <w:noProof/>
          <w:szCs w:val="24"/>
        </w:rPr>
        <w:t>45</w:t>
      </w:r>
      <w:r w:rsidRPr="00912FFE">
        <w:rPr>
          <w:noProof/>
          <w:szCs w:val="24"/>
        </w:rPr>
        <w:t xml:space="preserve"> (27), 8341–8349. </w:t>
      </w:r>
      <w:r w:rsidRPr="00912FFE">
        <w:rPr>
          <w:noProof/>
          <w:szCs w:val="24"/>
        </w:rPr>
        <w:lastRenderedPageBreak/>
        <w:t>https://doi.org/10.1021/bi060305b.</w:t>
      </w:r>
    </w:p>
    <w:p w14:paraId="66E17997"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(72) </w:t>
      </w:r>
      <w:r w:rsidRPr="00912FFE">
        <w:rPr>
          <w:noProof/>
          <w:szCs w:val="24"/>
        </w:rPr>
        <w:tab/>
        <w:t xml:space="preserve">Uggerhøj, L. E.; Munk, J. K.; Hansen, P. R.; Güntert, P.; Wimmer, R. Structural Features of Peptoid-Peptide Hybrids in Lipid-Water Interfaces. </w:t>
      </w:r>
      <w:r w:rsidRPr="00912FFE">
        <w:rPr>
          <w:i/>
          <w:iCs/>
          <w:noProof/>
          <w:szCs w:val="24"/>
        </w:rPr>
        <w:t>FEBS Lett.</w:t>
      </w:r>
      <w:r w:rsidRPr="00912FFE">
        <w:rPr>
          <w:noProof/>
          <w:szCs w:val="24"/>
        </w:rPr>
        <w:t xml:space="preserve"> </w:t>
      </w:r>
      <w:r w:rsidRPr="00912FFE">
        <w:rPr>
          <w:b/>
          <w:bCs/>
          <w:noProof/>
          <w:szCs w:val="24"/>
        </w:rPr>
        <w:t>2014</w:t>
      </w:r>
      <w:r w:rsidRPr="00912FFE">
        <w:rPr>
          <w:noProof/>
          <w:szCs w:val="24"/>
        </w:rPr>
        <w:t xml:space="preserve">, </w:t>
      </w:r>
      <w:r w:rsidRPr="00912FFE">
        <w:rPr>
          <w:i/>
          <w:iCs/>
          <w:noProof/>
          <w:szCs w:val="24"/>
        </w:rPr>
        <w:t>588</w:t>
      </w:r>
      <w:r w:rsidRPr="00912FFE">
        <w:rPr>
          <w:noProof/>
          <w:szCs w:val="24"/>
        </w:rPr>
        <w:t xml:space="preserve"> (17), 3291–3297. https://doi.org/10.1016/j.febslet.2014.07.016.</w:t>
      </w:r>
    </w:p>
    <w:p w14:paraId="730283D9"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(73) </w:t>
      </w:r>
      <w:r w:rsidRPr="00912FFE">
        <w:rPr>
          <w:noProof/>
          <w:szCs w:val="24"/>
        </w:rPr>
        <w:tab/>
        <w:t xml:space="preserve">Rozek, T.; Waugh, R. J.; Steinborner, S. T.; Bowie, J. H.; Tyler, M. J.; Wallace, J. C. The Maculatin Peptides from the Skin Glands of the Tree Frog Litoria Genimaculata. A Comparison of the Structures and Antibacterial Activities of Maculatin 1.1 and Caerin 1.1. </w:t>
      </w:r>
      <w:r w:rsidRPr="00912FFE">
        <w:rPr>
          <w:i/>
          <w:iCs/>
          <w:noProof/>
          <w:szCs w:val="24"/>
        </w:rPr>
        <w:t>J. Pept. Sci.</w:t>
      </w:r>
      <w:r w:rsidRPr="00912FFE">
        <w:rPr>
          <w:noProof/>
          <w:szCs w:val="24"/>
        </w:rPr>
        <w:t xml:space="preserve"> </w:t>
      </w:r>
      <w:r w:rsidRPr="00912FFE">
        <w:rPr>
          <w:b/>
          <w:bCs/>
          <w:noProof/>
          <w:szCs w:val="24"/>
        </w:rPr>
        <w:t>1998</w:t>
      </w:r>
      <w:r w:rsidRPr="00912FFE">
        <w:rPr>
          <w:noProof/>
          <w:szCs w:val="24"/>
        </w:rPr>
        <w:t xml:space="preserve">, </w:t>
      </w:r>
      <w:r w:rsidRPr="00912FFE">
        <w:rPr>
          <w:i/>
          <w:iCs/>
          <w:noProof/>
          <w:szCs w:val="24"/>
        </w:rPr>
        <w:t>4</w:t>
      </w:r>
      <w:r w:rsidRPr="00912FFE">
        <w:rPr>
          <w:noProof/>
          <w:szCs w:val="24"/>
        </w:rPr>
        <w:t xml:space="preserve"> (2), 111–115. https://doi.org/10.1002/(SICI)1099-1387(199804)4:2&lt;111::AID-PSC134&gt;3.0.CO;2-8.</w:t>
      </w:r>
    </w:p>
    <w:p w14:paraId="42890E8C"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(74) </w:t>
      </w:r>
      <w:r w:rsidRPr="00912FFE">
        <w:rPr>
          <w:noProof/>
          <w:szCs w:val="24"/>
        </w:rPr>
        <w:tab/>
        <w:t xml:space="preserve">Zou, R.; Zhu, X.; Tu, Y.; Wu, J.; Landry, M. P. Activity of Antimicrobial Peptide Aggregates Decreases with Increased Cell Membrane Embedding Free Energy Cost. </w:t>
      </w:r>
      <w:r w:rsidRPr="00912FFE">
        <w:rPr>
          <w:i/>
          <w:iCs/>
          <w:noProof/>
          <w:szCs w:val="24"/>
        </w:rPr>
        <w:t>Biochemistry</w:t>
      </w:r>
      <w:r w:rsidRPr="00912FFE">
        <w:rPr>
          <w:noProof/>
          <w:szCs w:val="24"/>
        </w:rPr>
        <w:t xml:space="preserve"> </w:t>
      </w:r>
      <w:r w:rsidRPr="00912FFE">
        <w:rPr>
          <w:b/>
          <w:bCs/>
          <w:noProof/>
          <w:szCs w:val="24"/>
        </w:rPr>
        <w:t>2018</w:t>
      </w:r>
      <w:r w:rsidRPr="00912FFE">
        <w:rPr>
          <w:noProof/>
          <w:szCs w:val="24"/>
        </w:rPr>
        <w:t xml:space="preserve">, </w:t>
      </w:r>
      <w:r w:rsidRPr="00912FFE">
        <w:rPr>
          <w:i/>
          <w:iCs/>
          <w:noProof/>
          <w:szCs w:val="24"/>
        </w:rPr>
        <w:t>57</w:t>
      </w:r>
      <w:r w:rsidRPr="00912FFE">
        <w:rPr>
          <w:noProof/>
          <w:szCs w:val="24"/>
        </w:rPr>
        <w:t xml:space="preserve"> (18), 2606–2610. https://doi.org/10.1021/acs.biochem.8b00052.</w:t>
      </w:r>
    </w:p>
    <w:p w14:paraId="1EFFEE4C"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(75) </w:t>
      </w:r>
      <w:r w:rsidRPr="00912FFE">
        <w:rPr>
          <w:noProof/>
          <w:szCs w:val="24"/>
        </w:rPr>
        <w:tab/>
        <w:t xml:space="preserve">Boman, H. G.; Wade, D.; Boman, I. A.; Wåhlin, B.; Merrifield, R. B. Antibacterial and Antimalarial Properties of Peptides That Are Cecropin-Melittin Hybrids. </w:t>
      </w:r>
      <w:r w:rsidRPr="00912FFE">
        <w:rPr>
          <w:i/>
          <w:iCs/>
          <w:noProof/>
          <w:szCs w:val="24"/>
        </w:rPr>
        <w:t>FEBS Lett.</w:t>
      </w:r>
      <w:r w:rsidRPr="00912FFE">
        <w:rPr>
          <w:noProof/>
          <w:szCs w:val="24"/>
        </w:rPr>
        <w:t xml:space="preserve"> </w:t>
      </w:r>
      <w:r w:rsidRPr="00912FFE">
        <w:rPr>
          <w:b/>
          <w:bCs/>
          <w:noProof/>
          <w:szCs w:val="24"/>
        </w:rPr>
        <w:t>1989</w:t>
      </w:r>
      <w:r w:rsidRPr="00912FFE">
        <w:rPr>
          <w:noProof/>
          <w:szCs w:val="24"/>
        </w:rPr>
        <w:t xml:space="preserve">, </w:t>
      </w:r>
      <w:r w:rsidRPr="00912FFE">
        <w:rPr>
          <w:i/>
          <w:iCs/>
          <w:noProof/>
          <w:szCs w:val="24"/>
        </w:rPr>
        <w:t>259</w:t>
      </w:r>
      <w:r w:rsidRPr="00912FFE">
        <w:rPr>
          <w:noProof/>
          <w:szCs w:val="24"/>
        </w:rPr>
        <w:t xml:space="preserve"> (1), 103–106. https://doi.org/10.1016/0014-5793(89)81505-4.</w:t>
      </w:r>
    </w:p>
    <w:p w14:paraId="5B65A07D"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(76) </w:t>
      </w:r>
      <w:r w:rsidRPr="00912FFE">
        <w:rPr>
          <w:noProof/>
          <w:szCs w:val="24"/>
        </w:rPr>
        <w:tab/>
        <w:t xml:space="preserve">Wang, R.; Braughton, K. R.; Kretschmer, D.; Bach, T. H. L.; Queck, S. Y.; Li, M.; Kennedy, A. D.; Dorward, D. W.; Klebanoff, S. J.; Peschel, A.; DeLeo, F. R.; Otto, M. Identification of Novel Cytolytic Peptides as Key Virulence Determinants for Community-Associated MRSA. </w:t>
      </w:r>
      <w:r w:rsidRPr="00912FFE">
        <w:rPr>
          <w:i/>
          <w:iCs/>
          <w:noProof/>
          <w:szCs w:val="24"/>
        </w:rPr>
        <w:t>Nat. Med.</w:t>
      </w:r>
      <w:r w:rsidRPr="00912FFE">
        <w:rPr>
          <w:noProof/>
          <w:szCs w:val="24"/>
        </w:rPr>
        <w:t xml:space="preserve"> </w:t>
      </w:r>
      <w:r w:rsidRPr="00912FFE">
        <w:rPr>
          <w:b/>
          <w:bCs/>
          <w:noProof/>
          <w:szCs w:val="24"/>
        </w:rPr>
        <w:t>2007</w:t>
      </w:r>
      <w:r w:rsidRPr="00912FFE">
        <w:rPr>
          <w:noProof/>
          <w:szCs w:val="24"/>
        </w:rPr>
        <w:t xml:space="preserve">, </w:t>
      </w:r>
      <w:r w:rsidRPr="00912FFE">
        <w:rPr>
          <w:i/>
          <w:iCs/>
          <w:noProof/>
          <w:szCs w:val="24"/>
        </w:rPr>
        <w:t>13</w:t>
      </w:r>
      <w:r w:rsidRPr="00912FFE">
        <w:rPr>
          <w:noProof/>
          <w:szCs w:val="24"/>
        </w:rPr>
        <w:t xml:space="preserve"> (12), 1510–1514. https://doi.org/10.1038/nm1656.</w:t>
      </w:r>
    </w:p>
    <w:p w14:paraId="64CAD52B"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(77) </w:t>
      </w:r>
      <w:r w:rsidRPr="00912FFE">
        <w:rPr>
          <w:noProof/>
          <w:szCs w:val="24"/>
        </w:rPr>
        <w:tab/>
        <w:t xml:space="preserve">Towle, K. M.; Lohans, C. T.; Miskolzie, M.; Acedo, J. Z.; Van Belkum, M. J.; Vederas, J. C. Solution Structures of Phenol-Soluble Modulins Α1, Α3, and Β2, Virulence Factors from Staphylococcus Aureus. </w:t>
      </w:r>
      <w:r w:rsidRPr="00912FFE">
        <w:rPr>
          <w:i/>
          <w:iCs/>
          <w:noProof/>
          <w:szCs w:val="24"/>
        </w:rPr>
        <w:t>Biochemistry</w:t>
      </w:r>
      <w:r w:rsidRPr="00912FFE">
        <w:rPr>
          <w:noProof/>
          <w:szCs w:val="24"/>
        </w:rPr>
        <w:t xml:space="preserve"> </w:t>
      </w:r>
      <w:r w:rsidRPr="00912FFE">
        <w:rPr>
          <w:b/>
          <w:bCs/>
          <w:noProof/>
          <w:szCs w:val="24"/>
        </w:rPr>
        <w:t>2016</w:t>
      </w:r>
      <w:r w:rsidRPr="00912FFE">
        <w:rPr>
          <w:noProof/>
          <w:szCs w:val="24"/>
        </w:rPr>
        <w:t xml:space="preserve">, </w:t>
      </w:r>
      <w:r w:rsidRPr="00912FFE">
        <w:rPr>
          <w:i/>
          <w:iCs/>
          <w:noProof/>
          <w:szCs w:val="24"/>
        </w:rPr>
        <w:t>55</w:t>
      </w:r>
      <w:r w:rsidRPr="00912FFE">
        <w:rPr>
          <w:noProof/>
          <w:szCs w:val="24"/>
        </w:rPr>
        <w:t xml:space="preserve"> (34), 4798–4806. https://doi.org/10.1021/acs.biochem.6b00615.</w:t>
      </w:r>
    </w:p>
    <w:p w14:paraId="5460B2D4"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(78) </w:t>
      </w:r>
      <w:r w:rsidRPr="00912FFE">
        <w:rPr>
          <w:noProof/>
          <w:szCs w:val="24"/>
        </w:rPr>
        <w:tab/>
        <w:t xml:space="preserve">Simmaco, M.; Mignogna, G.; Canofeni, S.; Miele, R.; Mangoni, M. L.; Barra, D. Temporins, Antimicrobial Peptides from the European Red Frog Rana Temporaria. </w:t>
      </w:r>
      <w:r w:rsidRPr="00912FFE">
        <w:rPr>
          <w:i/>
          <w:iCs/>
          <w:noProof/>
          <w:szCs w:val="24"/>
        </w:rPr>
        <w:t>Eur. J. Biochem.</w:t>
      </w:r>
      <w:r w:rsidRPr="00912FFE">
        <w:rPr>
          <w:noProof/>
          <w:szCs w:val="24"/>
        </w:rPr>
        <w:t xml:space="preserve"> </w:t>
      </w:r>
      <w:r w:rsidRPr="00912FFE">
        <w:rPr>
          <w:b/>
          <w:bCs/>
          <w:noProof/>
          <w:szCs w:val="24"/>
        </w:rPr>
        <w:t>1996</w:t>
      </w:r>
      <w:r w:rsidRPr="00912FFE">
        <w:rPr>
          <w:noProof/>
          <w:szCs w:val="24"/>
        </w:rPr>
        <w:t xml:space="preserve">, </w:t>
      </w:r>
      <w:r w:rsidRPr="00912FFE">
        <w:rPr>
          <w:i/>
          <w:iCs/>
          <w:noProof/>
          <w:szCs w:val="24"/>
        </w:rPr>
        <w:t>242</w:t>
      </w:r>
      <w:r w:rsidRPr="00912FFE">
        <w:rPr>
          <w:noProof/>
          <w:szCs w:val="24"/>
        </w:rPr>
        <w:t xml:space="preserve"> (3), 788–792. https://doi.org/10.1111/j.1432-1033.1996.0788r.x.</w:t>
      </w:r>
    </w:p>
    <w:p w14:paraId="1CB9518C"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(79) </w:t>
      </w:r>
      <w:r w:rsidRPr="00912FFE">
        <w:rPr>
          <w:noProof/>
          <w:szCs w:val="24"/>
        </w:rPr>
        <w:tab/>
        <w:t xml:space="preserve">Manzo, G.; Ferguson, P. M.; Hind, C. K.; Clifford, M.; Gustilo, V. B.; Ali, H.; Bansal, S. S.; Bui, T. T.; Drake, A. F.; Atkinson, R. A.; Sutton, J. M.; Lorenz, C. D.; Phoenix, D. A.; Mason, A. J. Temporin L and Aurein 2.5 Have Identical Conformations but Subtly Distinct Membrane and Antibacterial Activities. </w:t>
      </w:r>
      <w:r w:rsidRPr="00912FFE">
        <w:rPr>
          <w:i/>
          <w:iCs/>
          <w:noProof/>
          <w:szCs w:val="24"/>
        </w:rPr>
        <w:t>Sci. Rep.</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9</w:t>
      </w:r>
      <w:r w:rsidRPr="00912FFE">
        <w:rPr>
          <w:noProof/>
          <w:szCs w:val="24"/>
        </w:rPr>
        <w:t xml:space="preserve"> (1), 10934. https://doi.org/10.1038/s41598-019-47327-w.</w:t>
      </w:r>
    </w:p>
    <w:p w14:paraId="0C7A3C3B"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(80) </w:t>
      </w:r>
      <w:r w:rsidRPr="00912FFE">
        <w:rPr>
          <w:noProof/>
          <w:szCs w:val="24"/>
        </w:rPr>
        <w:tab/>
        <w:t xml:space="preserve">Bhunia, A.; Ramamoorthy, A.; Bhattacharjya, S. Helical Hairpin Structure of a Potent Antimicrobial Peptide MSI-594 in Lipopolysaccharide Micelles by NMR Spectroscopy. </w:t>
      </w:r>
      <w:r w:rsidRPr="00912FFE">
        <w:rPr>
          <w:i/>
          <w:iCs/>
          <w:noProof/>
          <w:szCs w:val="24"/>
        </w:rPr>
        <w:t>Chem. - A Eur. J.</w:t>
      </w:r>
      <w:r w:rsidRPr="00912FFE">
        <w:rPr>
          <w:noProof/>
          <w:szCs w:val="24"/>
        </w:rPr>
        <w:t xml:space="preserve"> </w:t>
      </w:r>
      <w:r w:rsidRPr="00912FFE">
        <w:rPr>
          <w:b/>
          <w:bCs/>
          <w:noProof/>
          <w:szCs w:val="24"/>
        </w:rPr>
        <w:t>2009</w:t>
      </w:r>
      <w:r w:rsidRPr="00912FFE">
        <w:rPr>
          <w:noProof/>
          <w:szCs w:val="24"/>
        </w:rPr>
        <w:t xml:space="preserve">, </w:t>
      </w:r>
      <w:r w:rsidRPr="00912FFE">
        <w:rPr>
          <w:i/>
          <w:iCs/>
          <w:noProof/>
          <w:szCs w:val="24"/>
        </w:rPr>
        <w:t>15</w:t>
      </w:r>
      <w:r w:rsidRPr="00912FFE">
        <w:rPr>
          <w:noProof/>
          <w:szCs w:val="24"/>
        </w:rPr>
        <w:t xml:space="preserve"> (9), 2036–2040. https://doi.org/10.1002/chem.200802635.</w:t>
      </w:r>
    </w:p>
    <w:p w14:paraId="48656B24"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(81) </w:t>
      </w:r>
      <w:r w:rsidRPr="00912FFE">
        <w:rPr>
          <w:noProof/>
          <w:szCs w:val="24"/>
        </w:rPr>
        <w:tab/>
        <w:t xml:space="preserve">Debono, M.; Abbott, B. J.; Molloy, R. M.; Fukuda, D.; Hunt, A. H.; Daupert, V. M.; Counter, F. T.; Ott, J. L.; Carrell, C. B.; Howard, L. C.; Boeck, L. V. D.; Hamill, R. L. Enzymatic and Chemical Modifications of Lipopeptide Antibiotic A21978C: The Synthesis and Evaluation of Daptomycin (LY146032). </w:t>
      </w:r>
      <w:r w:rsidRPr="00912FFE">
        <w:rPr>
          <w:i/>
          <w:iCs/>
          <w:noProof/>
          <w:szCs w:val="24"/>
        </w:rPr>
        <w:t>J. Antibiot. (Tokyo).</w:t>
      </w:r>
      <w:r w:rsidRPr="00912FFE">
        <w:rPr>
          <w:noProof/>
          <w:szCs w:val="24"/>
        </w:rPr>
        <w:t xml:space="preserve"> </w:t>
      </w:r>
      <w:r w:rsidRPr="00912FFE">
        <w:rPr>
          <w:b/>
          <w:bCs/>
          <w:noProof/>
          <w:szCs w:val="24"/>
        </w:rPr>
        <w:t>1988</w:t>
      </w:r>
      <w:r w:rsidRPr="00912FFE">
        <w:rPr>
          <w:noProof/>
          <w:szCs w:val="24"/>
        </w:rPr>
        <w:t xml:space="preserve">, </w:t>
      </w:r>
      <w:r w:rsidRPr="00912FFE">
        <w:rPr>
          <w:i/>
          <w:iCs/>
          <w:noProof/>
          <w:szCs w:val="24"/>
        </w:rPr>
        <w:t>41</w:t>
      </w:r>
      <w:r w:rsidRPr="00912FFE">
        <w:rPr>
          <w:noProof/>
          <w:szCs w:val="24"/>
        </w:rPr>
        <w:t xml:space="preserve"> (8), 1093–1105. https://doi.org/10.7164/antibiotics.41.1093.</w:t>
      </w:r>
    </w:p>
    <w:p w14:paraId="75CC1765"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(82) </w:t>
      </w:r>
      <w:r w:rsidRPr="00912FFE">
        <w:rPr>
          <w:noProof/>
          <w:szCs w:val="24"/>
        </w:rPr>
        <w:tab/>
        <w:t xml:space="preserve">Ball, L. J.; Goult, C. M.; Donarski, J. A.; Micklefield, J.; Ramesh, V. NMR Structure Determination and Calcium Binding Effects of Lipopeptide Antibiotic Daptomycin. </w:t>
      </w:r>
      <w:r w:rsidRPr="00912FFE">
        <w:rPr>
          <w:i/>
          <w:iCs/>
          <w:noProof/>
          <w:szCs w:val="24"/>
        </w:rPr>
        <w:t>Org. Biomol. Chem.</w:t>
      </w:r>
      <w:r w:rsidRPr="00912FFE">
        <w:rPr>
          <w:noProof/>
          <w:szCs w:val="24"/>
        </w:rPr>
        <w:t xml:space="preserve"> </w:t>
      </w:r>
      <w:r w:rsidRPr="00912FFE">
        <w:rPr>
          <w:b/>
          <w:bCs/>
          <w:noProof/>
          <w:szCs w:val="24"/>
        </w:rPr>
        <w:t>2004</w:t>
      </w:r>
      <w:r w:rsidRPr="00912FFE">
        <w:rPr>
          <w:noProof/>
          <w:szCs w:val="24"/>
        </w:rPr>
        <w:t xml:space="preserve">, </w:t>
      </w:r>
      <w:r w:rsidRPr="00912FFE">
        <w:rPr>
          <w:i/>
          <w:iCs/>
          <w:noProof/>
          <w:szCs w:val="24"/>
        </w:rPr>
        <w:t>2</w:t>
      </w:r>
      <w:r w:rsidRPr="00912FFE">
        <w:rPr>
          <w:noProof/>
          <w:szCs w:val="24"/>
        </w:rPr>
        <w:t xml:space="preserve"> (13), 1872–1878. https://doi.org/10.1039/b402722a.</w:t>
      </w:r>
    </w:p>
    <w:p w14:paraId="31AA7D4C"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(83) </w:t>
      </w:r>
      <w:r w:rsidRPr="00912FFE">
        <w:rPr>
          <w:noProof/>
          <w:szCs w:val="24"/>
        </w:rPr>
        <w:tab/>
        <w:t xml:space="preserve">Jung, D.; Rozek, A.; Okon, M.; Hancock, R. E. W. Structural Transitions as Determinants of the Action of the Calcium-Dependent Antibiotic Daptomycin. </w:t>
      </w:r>
      <w:r w:rsidRPr="00912FFE">
        <w:rPr>
          <w:i/>
          <w:iCs/>
          <w:noProof/>
          <w:szCs w:val="24"/>
        </w:rPr>
        <w:t>Chem. Biol.</w:t>
      </w:r>
      <w:r w:rsidRPr="00912FFE">
        <w:rPr>
          <w:noProof/>
          <w:szCs w:val="24"/>
        </w:rPr>
        <w:t xml:space="preserve"> </w:t>
      </w:r>
      <w:r w:rsidRPr="00912FFE">
        <w:rPr>
          <w:b/>
          <w:bCs/>
          <w:noProof/>
          <w:szCs w:val="24"/>
        </w:rPr>
        <w:t>2004</w:t>
      </w:r>
      <w:r w:rsidRPr="00912FFE">
        <w:rPr>
          <w:noProof/>
          <w:szCs w:val="24"/>
        </w:rPr>
        <w:t xml:space="preserve">, </w:t>
      </w:r>
      <w:r w:rsidRPr="00912FFE">
        <w:rPr>
          <w:i/>
          <w:iCs/>
          <w:noProof/>
          <w:szCs w:val="24"/>
        </w:rPr>
        <w:t>11</w:t>
      </w:r>
      <w:r w:rsidRPr="00912FFE">
        <w:rPr>
          <w:noProof/>
          <w:szCs w:val="24"/>
        </w:rPr>
        <w:t xml:space="preserve"> (7), 949–957. https://doi.org/10.1016/j.chembiol.2004.04.020.</w:t>
      </w:r>
    </w:p>
    <w:p w14:paraId="74958CF8"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(84) </w:t>
      </w:r>
      <w:r w:rsidRPr="00912FFE">
        <w:rPr>
          <w:noProof/>
          <w:szCs w:val="24"/>
        </w:rPr>
        <w:tab/>
        <w:t xml:space="preserve">Bechinger, B. Towards Membrane Protein Design: PH-Sensitive Topology of Histidine-Containing Polypeptides. </w:t>
      </w:r>
      <w:r w:rsidRPr="00912FFE">
        <w:rPr>
          <w:i/>
          <w:iCs/>
          <w:noProof/>
          <w:szCs w:val="24"/>
        </w:rPr>
        <w:t>J. Mol. Biol.</w:t>
      </w:r>
      <w:r w:rsidRPr="00912FFE">
        <w:rPr>
          <w:noProof/>
          <w:szCs w:val="24"/>
        </w:rPr>
        <w:t xml:space="preserve"> </w:t>
      </w:r>
      <w:r w:rsidRPr="00912FFE">
        <w:rPr>
          <w:b/>
          <w:bCs/>
          <w:noProof/>
          <w:szCs w:val="24"/>
        </w:rPr>
        <w:t>1996</w:t>
      </w:r>
      <w:r w:rsidRPr="00912FFE">
        <w:rPr>
          <w:noProof/>
          <w:szCs w:val="24"/>
        </w:rPr>
        <w:t xml:space="preserve">, </w:t>
      </w:r>
      <w:r w:rsidRPr="00912FFE">
        <w:rPr>
          <w:i/>
          <w:iCs/>
          <w:noProof/>
          <w:szCs w:val="24"/>
        </w:rPr>
        <w:t>263</w:t>
      </w:r>
      <w:r w:rsidRPr="00912FFE">
        <w:rPr>
          <w:noProof/>
          <w:szCs w:val="24"/>
        </w:rPr>
        <w:t xml:space="preserve"> (5), 768–775. https://doi.org/10.1006/jmbi.1996.0614.</w:t>
      </w:r>
    </w:p>
    <w:p w14:paraId="284E076C"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(85) </w:t>
      </w:r>
      <w:r w:rsidRPr="00912FFE">
        <w:rPr>
          <w:noProof/>
          <w:szCs w:val="24"/>
        </w:rPr>
        <w:tab/>
        <w:t xml:space="preserve">Georgescu, J.; Munhoz, V. H. O.; Bechinger, B. NMR Structures of the Histidine-Rich Peptide LAH4 in Micellar Environments: Membrane Insertion, PH-Dependent Mode of Antimicrobial Action, and DNA Transfection. </w:t>
      </w:r>
      <w:r w:rsidRPr="00912FFE">
        <w:rPr>
          <w:i/>
          <w:iCs/>
          <w:noProof/>
          <w:szCs w:val="24"/>
        </w:rPr>
        <w:t>Biophys. J.</w:t>
      </w:r>
      <w:r w:rsidRPr="00912FFE">
        <w:rPr>
          <w:noProof/>
          <w:szCs w:val="24"/>
        </w:rPr>
        <w:t xml:space="preserve"> </w:t>
      </w:r>
      <w:r w:rsidRPr="00912FFE">
        <w:rPr>
          <w:b/>
          <w:bCs/>
          <w:noProof/>
          <w:szCs w:val="24"/>
        </w:rPr>
        <w:t>2010</w:t>
      </w:r>
      <w:r w:rsidRPr="00912FFE">
        <w:rPr>
          <w:noProof/>
          <w:szCs w:val="24"/>
        </w:rPr>
        <w:t xml:space="preserve">, </w:t>
      </w:r>
      <w:r w:rsidRPr="00912FFE">
        <w:rPr>
          <w:i/>
          <w:iCs/>
          <w:noProof/>
          <w:szCs w:val="24"/>
        </w:rPr>
        <w:t>99</w:t>
      </w:r>
      <w:r w:rsidRPr="00912FFE">
        <w:rPr>
          <w:noProof/>
          <w:szCs w:val="24"/>
        </w:rPr>
        <w:t xml:space="preserve"> (8), 2507–2515. </w:t>
      </w:r>
      <w:r w:rsidRPr="00912FFE">
        <w:rPr>
          <w:noProof/>
          <w:szCs w:val="24"/>
        </w:rPr>
        <w:lastRenderedPageBreak/>
        <w:t>https://doi.org/10.1016/j.bpj.2010.05.038.</w:t>
      </w:r>
    </w:p>
    <w:p w14:paraId="547F817E"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(86) </w:t>
      </w:r>
      <w:r w:rsidRPr="00912FFE">
        <w:rPr>
          <w:noProof/>
          <w:szCs w:val="24"/>
        </w:rPr>
        <w:tab/>
        <w:t xml:space="preserve">Mygind, P. H.; Fischer, R. L.; Schnorr, K. M.; Hansen, M. T.; Sönksen, C. P.; Ludvigsen, S.; Raventós, D.; Buskov, S.; Christensen, B.; De Maria, L.; Taboureau, O.; Yaver, D.; Elvig-Jørgensen, S. G.; Sørensen, M. V.; Christensen, B. E.; Kjærulff, S.; Frimodt-Moller, N.; Lehrer, R. I.; Zasloff, M.; Kristensen, H. H. Plectasin Is a Peptide Antibiotic with Therapeutic Potential from a Saprophytic Fungus. </w:t>
      </w:r>
      <w:r w:rsidRPr="00912FFE">
        <w:rPr>
          <w:i/>
          <w:iCs/>
          <w:noProof/>
          <w:szCs w:val="24"/>
        </w:rPr>
        <w:t>Nature</w:t>
      </w:r>
      <w:r w:rsidRPr="00912FFE">
        <w:rPr>
          <w:noProof/>
          <w:szCs w:val="24"/>
        </w:rPr>
        <w:t xml:space="preserve"> </w:t>
      </w:r>
      <w:r w:rsidRPr="00912FFE">
        <w:rPr>
          <w:b/>
          <w:bCs/>
          <w:noProof/>
          <w:szCs w:val="24"/>
        </w:rPr>
        <w:t>2005</w:t>
      </w:r>
      <w:r w:rsidRPr="00912FFE">
        <w:rPr>
          <w:noProof/>
          <w:szCs w:val="24"/>
        </w:rPr>
        <w:t xml:space="preserve">, </w:t>
      </w:r>
      <w:r w:rsidRPr="00912FFE">
        <w:rPr>
          <w:i/>
          <w:iCs/>
          <w:noProof/>
          <w:szCs w:val="24"/>
        </w:rPr>
        <w:t>437</w:t>
      </w:r>
      <w:r w:rsidRPr="00912FFE">
        <w:rPr>
          <w:noProof/>
          <w:szCs w:val="24"/>
        </w:rPr>
        <w:t xml:space="preserve"> (7061), 975–980. https://doi.org/10.1038/nature04051.</w:t>
      </w:r>
    </w:p>
    <w:p w14:paraId="3A978EA6"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(87) </w:t>
      </w:r>
      <w:r w:rsidRPr="00912FFE">
        <w:rPr>
          <w:noProof/>
          <w:szCs w:val="24"/>
        </w:rPr>
        <w:tab/>
        <w:t xml:space="preserve">Dathe, M.; Wieprecht, T.; Nikolenko, H.; Handel, L.; Maloy, W. L.; MacDonald, D. L.; Beyermann, M.; Bienert, M. Hydrophobicity, Hydrophobic Moment and Angle Subtended by Charged Residues Modulate Antibacterial and Haemolytic Activity of Amphipathic Helical Peptides. </w:t>
      </w:r>
      <w:r w:rsidRPr="00912FFE">
        <w:rPr>
          <w:i/>
          <w:iCs/>
          <w:noProof/>
          <w:szCs w:val="24"/>
        </w:rPr>
        <w:t>FEBS Lett.</w:t>
      </w:r>
      <w:r w:rsidRPr="00912FFE">
        <w:rPr>
          <w:noProof/>
          <w:szCs w:val="24"/>
        </w:rPr>
        <w:t xml:space="preserve"> </w:t>
      </w:r>
      <w:r w:rsidRPr="00912FFE">
        <w:rPr>
          <w:b/>
          <w:bCs/>
          <w:noProof/>
          <w:szCs w:val="24"/>
        </w:rPr>
        <w:t>1997</w:t>
      </w:r>
      <w:r w:rsidRPr="00912FFE">
        <w:rPr>
          <w:noProof/>
          <w:szCs w:val="24"/>
        </w:rPr>
        <w:t xml:space="preserve">, </w:t>
      </w:r>
      <w:r w:rsidRPr="00912FFE">
        <w:rPr>
          <w:i/>
          <w:iCs/>
          <w:noProof/>
          <w:szCs w:val="24"/>
        </w:rPr>
        <w:t>403</w:t>
      </w:r>
      <w:r w:rsidRPr="00912FFE">
        <w:rPr>
          <w:noProof/>
          <w:szCs w:val="24"/>
        </w:rPr>
        <w:t xml:space="preserve"> (2), 208–212. https://doi.org/10.1016/S0014-5793(97)00055-0.</w:t>
      </w:r>
    </w:p>
    <w:p w14:paraId="634841E8"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(88) </w:t>
      </w:r>
      <w:r w:rsidRPr="00912FFE">
        <w:rPr>
          <w:noProof/>
          <w:szCs w:val="24"/>
        </w:rPr>
        <w:tab/>
        <w:t xml:space="preserve">Waghu, F. H.; Barai, R. S.; Gurung, P.; Idicula-Thomas, S. CAMPR3: A Database on Sequences, Structures and Signatures of Antimicrobial Peptides. </w:t>
      </w:r>
      <w:r w:rsidRPr="00912FFE">
        <w:rPr>
          <w:i/>
          <w:iCs/>
          <w:noProof/>
          <w:szCs w:val="24"/>
        </w:rPr>
        <w:t>Nucleic Acids Res.</w:t>
      </w:r>
      <w:r w:rsidRPr="00912FFE">
        <w:rPr>
          <w:noProof/>
          <w:szCs w:val="24"/>
        </w:rPr>
        <w:t xml:space="preserve"> </w:t>
      </w:r>
      <w:r w:rsidRPr="00912FFE">
        <w:rPr>
          <w:b/>
          <w:bCs/>
          <w:noProof/>
          <w:szCs w:val="24"/>
        </w:rPr>
        <w:t>2016</w:t>
      </w:r>
      <w:r w:rsidRPr="00912FFE">
        <w:rPr>
          <w:noProof/>
          <w:szCs w:val="24"/>
        </w:rPr>
        <w:t xml:space="preserve">, </w:t>
      </w:r>
      <w:r w:rsidRPr="00912FFE">
        <w:rPr>
          <w:i/>
          <w:iCs/>
          <w:noProof/>
          <w:szCs w:val="24"/>
        </w:rPr>
        <w:t>44</w:t>
      </w:r>
      <w:r w:rsidRPr="00912FFE">
        <w:rPr>
          <w:noProof/>
          <w:szCs w:val="24"/>
        </w:rPr>
        <w:t xml:space="preserve"> (D1), D1094–D1097. https://doi.org/10.1093/nar/gkv1051.</w:t>
      </w:r>
    </w:p>
    <w:p w14:paraId="661545AF"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(89) </w:t>
      </w:r>
      <w:r w:rsidRPr="00912FFE">
        <w:rPr>
          <w:noProof/>
          <w:szCs w:val="24"/>
        </w:rPr>
        <w:tab/>
        <w:t xml:space="preserve">Wang, G.; Li, X.; Wang, Z. APD3: The Antimicrobial Peptide Database as a Tool for Research and Education. </w:t>
      </w:r>
      <w:r w:rsidRPr="00912FFE">
        <w:rPr>
          <w:i/>
          <w:iCs/>
          <w:noProof/>
          <w:szCs w:val="24"/>
        </w:rPr>
        <w:t>Nucleic Acids Res.</w:t>
      </w:r>
      <w:r w:rsidRPr="00912FFE">
        <w:rPr>
          <w:noProof/>
          <w:szCs w:val="24"/>
        </w:rPr>
        <w:t xml:space="preserve"> </w:t>
      </w:r>
      <w:r w:rsidRPr="00912FFE">
        <w:rPr>
          <w:b/>
          <w:bCs/>
          <w:noProof/>
          <w:szCs w:val="24"/>
        </w:rPr>
        <w:t>2016</w:t>
      </w:r>
      <w:r w:rsidRPr="00912FFE">
        <w:rPr>
          <w:noProof/>
          <w:szCs w:val="24"/>
        </w:rPr>
        <w:t xml:space="preserve">, </w:t>
      </w:r>
      <w:r w:rsidRPr="00912FFE">
        <w:rPr>
          <w:i/>
          <w:iCs/>
          <w:noProof/>
          <w:szCs w:val="24"/>
        </w:rPr>
        <w:t>44</w:t>
      </w:r>
      <w:r w:rsidRPr="00912FFE">
        <w:rPr>
          <w:noProof/>
          <w:szCs w:val="24"/>
        </w:rPr>
        <w:t xml:space="preserve"> (D1), D1087–D1093. https://doi.org/10.1093/nar/gkv1278.</w:t>
      </w:r>
    </w:p>
    <w:p w14:paraId="591F33B3"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(90) </w:t>
      </w:r>
      <w:r w:rsidRPr="00912FFE">
        <w:rPr>
          <w:noProof/>
          <w:szCs w:val="24"/>
        </w:rPr>
        <w:tab/>
        <w:t xml:space="preserve">Piotto, S. P.; Sessa, L.; Concilio, S.; Iannelli, P. YADAMP: Yet Another Database of Antimicrobial Peptides. </w:t>
      </w:r>
      <w:r w:rsidRPr="00912FFE">
        <w:rPr>
          <w:i/>
          <w:iCs/>
          <w:noProof/>
          <w:szCs w:val="24"/>
        </w:rPr>
        <w:t>Int. J. Antimicrob. Agents</w:t>
      </w:r>
      <w:r w:rsidRPr="00912FFE">
        <w:rPr>
          <w:noProof/>
          <w:szCs w:val="24"/>
        </w:rPr>
        <w:t xml:space="preserve"> </w:t>
      </w:r>
      <w:r w:rsidRPr="00912FFE">
        <w:rPr>
          <w:b/>
          <w:bCs/>
          <w:noProof/>
          <w:szCs w:val="24"/>
        </w:rPr>
        <w:t>2012</w:t>
      </w:r>
      <w:r w:rsidRPr="00912FFE">
        <w:rPr>
          <w:noProof/>
          <w:szCs w:val="24"/>
        </w:rPr>
        <w:t xml:space="preserve">, </w:t>
      </w:r>
      <w:r w:rsidRPr="00912FFE">
        <w:rPr>
          <w:i/>
          <w:iCs/>
          <w:noProof/>
          <w:szCs w:val="24"/>
        </w:rPr>
        <w:t>39</w:t>
      </w:r>
      <w:r w:rsidRPr="00912FFE">
        <w:rPr>
          <w:noProof/>
          <w:szCs w:val="24"/>
        </w:rPr>
        <w:t xml:space="preserve"> (4), 346–351. https://doi.org/10.1016/j.ijantimicag.2011.12.003.</w:t>
      </w:r>
    </w:p>
    <w:p w14:paraId="1D0F2DCD"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(91) </w:t>
      </w:r>
      <w:r w:rsidRPr="00912FFE">
        <w:rPr>
          <w:noProof/>
          <w:szCs w:val="24"/>
        </w:rPr>
        <w:tab/>
        <w:t xml:space="preserve">Hammami, R.; Ben Hamida, J.; Vergoten, G.; Fliss, I. PhytAMP: A Database Dedicated to Antimicrobial Plant Peptides. </w:t>
      </w:r>
      <w:r w:rsidRPr="00912FFE">
        <w:rPr>
          <w:i/>
          <w:iCs/>
          <w:noProof/>
          <w:szCs w:val="24"/>
        </w:rPr>
        <w:t>Nucleic Acids Res.</w:t>
      </w:r>
      <w:r w:rsidRPr="00912FFE">
        <w:rPr>
          <w:noProof/>
          <w:szCs w:val="24"/>
        </w:rPr>
        <w:t xml:space="preserve"> </w:t>
      </w:r>
      <w:r w:rsidRPr="00912FFE">
        <w:rPr>
          <w:b/>
          <w:bCs/>
          <w:noProof/>
          <w:szCs w:val="24"/>
        </w:rPr>
        <w:t>2009</w:t>
      </w:r>
      <w:r w:rsidRPr="00912FFE">
        <w:rPr>
          <w:noProof/>
          <w:szCs w:val="24"/>
        </w:rPr>
        <w:t xml:space="preserve">, </w:t>
      </w:r>
      <w:r w:rsidRPr="00912FFE">
        <w:rPr>
          <w:i/>
          <w:iCs/>
          <w:noProof/>
          <w:szCs w:val="24"/>
        </w:rPr>
        <w:t>37</w:t>
      </w:r>
      <w:r w:rsidRPr="00912FFE">
        <w:rPr>
          <w:noProof/>
          <w:szCs w:val="24"/>
        </w:rPr>
        <w:t xml:space="preserve"> (SUPPL. 1), D963–D968. https://doi.org/10.1093/nar/gkn655.</w:t>
      </w:r>
    </w:p>
    <w:p w14:paraId="6A5CC7CB"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(92) </w:t>
      </w:r>
      <w:r w:rsidRPr="00912FFE">
        <w:rPr>
          <w:noProof/>
          <w:szCs w:val="24"/>
        </w:rPr>
        <w:tab/>
        <w:t xml:space="preserve">Lin, W.; Xu, D. Imbalanced Multi-Label Learning for Identifying Antimicrobial Peptides and Their Functional Types. </w:t>
      </w:r>
      <w:r w:rsidRPr="00912FFE">
        <w:rPr>
          <w:i/>
          <w:iCs/>
          <w:noProof/>
          <w:szCs w:val="24"/>
        </w:rPr>
        <w:t>Bioinformatics</w:t>
      </w:r>
      <w:r w:rsidRPr="00912FFE">
        <w:rPr>
          <w:noProof/>
          <w:szCs w:val="24"/>
        </w:rPr>
        <w:t xml:space="preserve"> </w:t>
      </w:r>
      <w:r w:rsidRPr="00912FFE">
        <w:rPr>
          <w:b/>
          <w:bCs/>
          <w:noProof/>
          <w:szCs w:val="24"/>
        </w:rPr>
        <w:t>2016</w:t>
      </w:r>
      <w:r w:rsidRPr="00912FFE">
        <w:rPr>
          <w:noProof/>
          <w:szCs w:val="24"/>
        </w:rPr>
        <w:t xml:space="preserve">, </w:t>
      </w:r>
      <w:r w:rsidRPr="00912FFE">
        <w:rPr>
          <w:i/>
          <w:iCs/>
          <w:noProof/>
          <w:szCs w:val="24"/>
        </w:rPr>
        <w:t>32</w:t>
      </w:r>
      <w:r w:rsidRPr="00912FFE">
        <w:rPr>
          <w:noProof/>
          <w:szCs w:val="24"/>
        </w:rPr>
        <w:t xml:space="preserve"> (24), 3745–3752. https://doi.org/10.1093/bioinformatics/btw560.</w:t>
      </w:r>
    </w:p>
    <w:p w14:paraId="0469AB0A"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(93) </w:t>
      </w:r>
      <w:r w:rsidRPr="00912FFE">
        <w:rPr>
          <w:noProof/>
          <w:szCs w:val="24"/>
        </w:rPr>
        <w:tab/>
        <w:t xml:space="preserve">Pirtskhalava, M.; Amstrong, A. A.; Grigolava, M.; Chubinidze, M.; Alimbarashvili, E.; Vishnepolsky, B.; Gabrielian, A.; Rosenthal, A.; Hurt, D. E.; Tartakovsky, M. DBAASP v3: Database of Antimicrobial/Cytotoxic Activity and Structure of Peptides as a Resource for Development of New Therapeutics. </w:t>
      </w:r>
      <w:r w:rsidRPr="00912FFE">
        <w:rPr>
          <w:i/>
          <w:iCs/>
          <w:noProof/>
          <w:szCs w:val="24"/>
        </w:rPr>
        <w:t>Nucleic Acids Res.</w:t>
      </w:r>
      <w:r w:rsidRPr="00912FFE">
        <w:rPr>
          <w:noProof/>
          <w:szCs w:val="24"/>
        </w:rPr>
        <w:t xml:space="preserve"> </w:t>
      </w:r>
      <w:r w:rsidRPr="00912FFE">
        <w:rPr>
          <w:b/>
          <w:bCs/>
          <w:noProof/>
          <w:szCs w:val="24"/>
        </w:rPr>
        <w:t>2021</w:t>
      </w:r>
      <w:r w:rsidRPr="00912FFE">
        <w:rPr>
          <w:noProof/>
          <w:szCs w:val="24"/>
        </w:rPr>
        <w:t xml:space="preserve">, </w:t>
      </w:r>
      <w:r w:rsidRPr="00912FFE">
        <w:rPr>
          <w:i/>
          <w:iCs/>
          <w:noProof/>
          <w:szCs w:val="24"/>
        </w:rPr>
        <w:t>49</w:t>
      </w:r>
      <w:r w:rsidRPr="00912FFE">
        <w:rPr>
          <w:noProof/>
          <w:szCs w:val="24"/>
        </w:rPr>
        <w:t xml:space="preserve"> (D1), D288-297. https://doi.org/10.1093/nar/gkaa991.</w:t>
      </w:r>
    </w:p>
    <w:p w14:paraId="64D34E83"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(94) </w:t>
      </w:r>
      <w:r w:rsidRPr="00912FFE">
        <w:rPr>
          <w:noProof/>
          <w:szCs w:val="24"/>
        </w:rPr>
        <w:tab/>
        <w:t xml:space="preserve">Vishnepolsky, B.; Gabrielian, A.; Rosenthal, A.; Hurt, D. E.; Tartakovsky, M.; Managadze, G.; Grigolava, M.; Makhatadze, G. I.; Pirtskhalava, M. Predictive Model of Linear Antimicrobial Peptides Active against Gram-Negative Bacteria. </w:t>
      </w:r>
      <w:r w:rsidRPr="00912FFE">
        <w:rPr>
          <w:i/>
          <w:iCs/>
          <w:noProof/>
          <w:szCs w:val="24"/>
        </w:rPr>
        <w:t>J. Chem. Inf. Model.</w:t>
      </w:r>
      <w:r w:rsidRPr="00912FFE">
        <w:rPr>
          <w:noProof/>
          <w:szCs w:val="24"/>
        </w:rPr>
        <w:t xml:space="preserve"> </w:t>
      </w:r>
      <w:r w:rsidRPr="00912FFE">
        <w:rPr>
          <w:b/>
          <w:bCs/>
          <w:noProof/>
          <w:szCs w:val="24"/>
        </w:rPr>
        <w:t>2018</w:t>
      </w:r>
      <w:r w:rsidRPr="00912FFE">
        <w:rPr>
          <w:noProof/>
          <w:szCs w:val="24"/>
        </w:rPr>
        <w:t xml:space="preserve">, </w:t>
      </w:r>
      <w:r w:rsidRPr="00912FFE">
        <w:rPr>
          <w:i/>
          <w:iCs/>
          <w:noProof/>
          <w:szCs w:val="24"/>
        </w:rPr>
        <w:t>58</w:t>
      </w:r>
      <w:r w:rsidRPr="00912FFE">
        <w:rPr>
          <w:noProof/>
          <w:szCs w:val="24"/>
        </w:rPr>
        <w:t xml:space="preserve"> (5), 1141–1151. https://doi.org/10.1021/acs.jcim.8b00118.</w:t>
      </w:r>
    </w:p>
    <w:p w14:paraId="1977D40E"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(95) </w:t>
      </w:r>
      <w:r w:rsidRPr="00912FFE">
        <w:rPr>
          <w:noProof/>
          <w:szCs w:val="24"/>
        </w:rPr>
        <w:tab/>
        <w:t xml:space="preserve">Lee, H. T.; Lee, C. C.; Yang, J. R.; Lai, J. Z. C.; Chang, K. Y.; Ray, O. A Large-Scale Structural Classification of Antimicrobial Peptides. </w:t>
      </w:r>
      <w:r w:rsidRPr="00912FFE">
        <w:rPr>
          <w:i/>
          <w:iCs/>
          <w:noProof/>
          <w:szCs w:val="24"/>
        </w:rPr>
        <w:t>Biomed Res. Int.</w:t>
      </w:r>
      <w:r w:rsidRPr="00912FFE">
        <w:rPr>
          <w:noProof/>
          <w:szCs w:val="24"/>
        </w:rPr>
        <w:t xml:space="preserve"> </w:t>
      </w:r>
      <w:r w:rsidRPr="00912FFE">
        <w:rPr>
          <w:b/>
          <w:bCs/>
          <w:noProof/>
          <w:szCs w:val="24"/>
        </w:rPr>
        <w:t>2015</w:t>
      </w:r>
      <w:r w:rsidRPr="00912FFE">
        <w:rPr>
          <w:noProof/>
          <w:szCs w:val="24"/>
        </w:rPr>
        <w:t xml:space="preserve">, </w:t>
      </w:r>
      <w:r w:rsidRPr="00912FFE">
        <w:rPr>
          <w:i/>
          <w:iCs/>
          <w:noProof/>
          <w:szCs w:val="24"/>
        </w:rPr>
        <w:t>2015</w:t>
      </w:r>
      <w:r w:rsidRPr="00912FFE">
        <w:rPr>
          <w:noProof/>
          <w:szCs w:val="24"/>
        </w:rPr>
        <w:t>, 475062. https://doi.org/10.1155/2015/475062.</w:t>
      </w:r>
    </w:p>
    <w:p w14:paraId="250ED61C"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(96) </w:t>
      </w:r>
      <w:r w:rsidRPr="00912FFE">
        <w:rPr>
          <w:noProof/>
          <w:szCs w:val="24"/>
        </w:rPr>
        <w:tab/>
        <w:t xml:space="preserve">Novković, M.; Simunić, J.; Bojović, V.; Tossi, A.; Juretić, D. DADP: The Database of Anuran Defense Peptides. </w:t>
      </w:r>
      <w:r w:rsidRPr="00912FFE">
        <w:rPr>
          <w:i/>
          <w:iCs/>
          <w:noProof/>
          <w:szCs w:val="24"/>
        </w:rPr>
        <w:t>Bioinformatics</w:t>
      </w:r>
      <w:r w:rsidRPr="00912FFE">
        <w:rPr>
          <w:noProof/>
          <w:szCs w:val="24"/>
        </w:rPr>
        <w:t xml:space="preserve"> </w:t>
      </w:r>
      <w:r w:rsidRPr="00912FFE">
        <w:rPr>
          <w:b/>
          <w:bCs/>
          <w:noProof/>
          <w:szCs w:val="24"/>
        </w:rPr>
        <w:t>2012</w:t>
      </w:r>
      <w:r w:rsidRPr="00912FFE">
        <w:rPr>
          <w:noProof/>
          <w:szCs w:val="24"/>
        </w:rPr>
        <w:t xml:space="preserve">, </w:t>
      </w:r>
      <w:r w:rsidRPr="00912FFE">
        <w:rPr>
          <w:i/>
          <w:iCs/>
          <w:noProof/>
          <w:szCs w:val="24"/>
        </w:rPr>
        <w:t>28</w:t>
      </w:r>
      <w:r w:rsidRPr="00912FFE">
        <w:rPr>
          <w:noProof/>
          <w:szCs w:val="24"/>
        </w:rPr>
        <w:t xml:space="preserve"> (10), 1406–1407. https://doi.org/10.1093/bioinformatics/bts141.</w:t>
      </w:r>
    </w:p>
    <w:p w14:paraId="4538AC6A"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(97) </w:t>
      </w:r>
      <w:r w:rsidRPr="00912FFE">
        <w:rPr>
          <w:noProof/>
          <w:szCs w:val="24"/>
        </w:rPr>
        <w:tab/>
        <w:t xml:space="preserve">Zouhir, A.; Hammami, R.; Fliss, I.; Hamida, J. Ben. A New Structure-Based Classification of Gram-Positive Bacteriocins. </w:t>
      </w:r>
      <w:r w:rsidRPr="00912FFE">
        <w:rPr>
          <w:i/>
          <w:iCs/>
          <w:noProof/>
          <w:szCs w:val="24"/>
        </w:rPr>
        <w:t>Protein J.</w:t>
      </w:r>
      <w:r w:rsidRPr="00912FFE">
        <w:rPr>
          <w:noProof/>
          <w:szCs w:val="24"/>
        </w:rPr>
        <w:t xml:space="preserve"> </w:t>
      </w:r>
      <w:r w:rsidRPr="00912FFE">
        <w:rPr>
          <w:b/>
          <w:bCs/>
          <w:noProof/>
          <w:szCs w:val="24"/>
        </w:rPr>
        <w:t>2010</w:t>
      </w:r>
      <w:r w:rsidRPr="00912FFE">
        <w:rPr>
          <w:noProof/>
          <w:szCs w:val="24"/>
        </w:rPr>
        <w:t xml:space="preserve">, </w:t>
      </w:r>
      <w:r w:rsidRPr="00912FFE">
        <w:rPr>
          <w:i/>
          <w:iCs/>
          <w:noProof/>
          <w:szCs w:val="24"/>
        </w:rPr>
        <w:t>29</w:t>
      </w:r>
      <w:r w:rsidRPr="00912FFE">
        <w:rPr>
          <w:noProof/>
          <w:szCs w:val="24"/>
        </w:rPr>
        <w:t xml:space="preserve"> (6), 432–439. https://doi.org/10.1007/s10930-010-9270-4.</w:t>
      </w:r>
    </w:p>
    <w:p w14:paraId="2A3B39D9"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(98) </w:t>
      </w:r>
      <w:r w:rsidRPr="00912FFE">
        <w:rPr>
          <w:noProof/>
          <w:szCs w:val="24"/>
        </w:rPr>
        <w:tab/>
        <w:t xml:space="preserve">Whitmore, L.; Wallace, B. A. The Peptaibol Database: A Database for Sequences and Structures of Naturally Occurring Peptaibols. </w:t>
      </w:r>
      <w:r w:rsidRPr="00912FFE">
        <w:rPr>
          <w:i/>
          <w:iCs/>
          <w:noProof/>
          <w:szCs w:val="24"/>
        </w:rPr>
        <w:t>Nucleic Acids Res.</w:t>
      </w:r>
      <w:r w:rsidRPr="00912FFE">
        <w:rPr>
          <w:noProof/>
          <w:szCs w:val="24"/>
        </w:rPr>
        <w:t xml:space="preserve"> </w:t>
      </w:r>
      <w:r w:rsidRPr="00912FFE">
        <w:rPr>
          <w:b/>
          <w:bCs/>
          <w:noProof/>
          <w:szCs w:val="24"/>
        </w:rPr>
        <w:t>2004</w:t>
      </w:r>
      <w:r w:rsidRPr="00912FFE">
        <w:rPr>
          <w:noProof/>
          <w:szCs w:val="24"/>
        </w:rPr>
        <w:t xml:space="preserve">, </w:t>
      </w:r>
      <w:r w:rsidRPr="00912FFE">
        <w:rPr>
          <w:i/>
          <w:iCs/>
          <w:noProof/>
          <w:szCs w:val="24"/>
        </w:rPr>
        <w:t>32</w:t>
      </w:r>
      <w:r w:rsidRPr="00912FFE">
        <w:rPr>
          <w:noProof/>
          <w:szCs w:val="24"/>
        </w:rPr>
        <w:t xml:space="preserve"> (Database issue), D593-4. https://doi.org/10.1093/nar/gkh077.</w:t>
      </w:r>
    </w:p>
    <w:p w14:paraId="3D26FD6B"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(99) </w:t>
      </w:r>
      <w:r w:rsidRPr="00912FFE">
        <w:rPr>
          <w:noProof/>
          <w:szCs w:val="24"/>
        </w:rPr>
        <w:tab/>
        <w:t xml:space="preserve">Fan, L.; Sun, J.; Zhou, M.; Zhou, J.; Lao, X.; Zheng, H.; Xu, H. DRAMP: A Comprehensive Data Repository of Antimicrobial Peptides. </w:t>
      </w:r>
      <w:r w:rsidRPr="00912FFE">
        <w:rPr>
          <w:i/>
          <w:iCs/>
          <w:noProof/>
          <w:szCs w:val="24"/>
        </w:rPr>
        <w:t>Sci. Rep.</w:t>
      </w:r>
      <w:r w:rsidRPr="00912FFE">
        <w:rPr>
          <w:noProof/>
          <w:szCs w:val="24"/>
        </w:rPr>
        <w:t xml:space="preserve"> </w:t>
      </w:r>
      <w:r w:rsidRPr="00912FFE">
        <w:rPr>
          <w:b/>
          <w:bCs/>
          <w:noProof/>
          <w:szCs w:val="24"/>
        </w:rPr>
        <w:t>2016</w:t>
      </w:r>
      <w:r w:rsidRPr="00912FFE">
        <w:rPr>
          <w:noProof/>
          <w:szCs w:val="24"/>
        </w:rPr>
        <w:t xml:space="preserve">, </w:t>
      </w:r>
      <w:r w:rsidRPr="00912FFE">
        <w:rPr>
          <w:i/>
          <w:iCs/>
          <w:noProof/>
          <w:szCs w:val="24"/>
        </w:rPr>
        <w:t>6</w:t>
      </w:r>
      <w:r w:rsidRPr="00912FFE">
        <w:rPr>
          <w:noProof/>
          <w:szCs w:val="24"/>
        </w:rPr>
        <w:t xml:space="preserve"> (1), 1–7. https://doi.org/10.1038/srep24482.</w:t>
      </w:r>
    </w:p>
    <w:p w14:paraId="1BD4C592"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lastRenderedPageBreak/>
        <w:t xml:space="preserve">(100) </w:t>
      </w:r>
      <w:r w:rsidRPr="00912FFE">
        <w:rPr>
          <w:noProof/>
          <w:szCs w:val="24"/>
        </w:rPr>
        <w:tab/>
        <w:t xml:space="preserve">Kang, X.; Dong, F.; Shi, C.; Liu, S.; Sun, J.; Chen, J.; Li, H.; Xu, H.; Lao, X.; Zheng, H. DRAMP 2.0, an Updated Data Repository of Antimicrobial Peptides. </w:t>
      </w:r>
      <w:r w:rsidRPr="00912FFE">
        <w:rPr>
          <w:i/>
          <w:iCs/>
          <w:noProof/>
          <w:szCs w:val="24"/>
        </w:rPr>
        <w:t>Sci. Data</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6</w:t>
      </w:r>
      <w:r w:rsidRPr="00912FFE">
        <w:rPr>
          <w:noProof/>
          <w:szCs w:val="24"/>
        </w:rPr>
        <w:t xml:space="preserve"> (1), 1–10. https://doi.org/10.1038/s41597-019-0154-y.</w:t>
      </w:r>
    </w:p>
    <w:p w14:paraId="4CAC2165"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(101) </w:t>
      </w:r>
      <w:r w:rsidRPr="00912FFE">
        <w:rPr>
          <w:noProof/>
          <w:szCs w:val="24"/>
        </w:rPr>
        <w:tab/>
        <w:t xml:space="preserve">Van Heel, A. J.; De Jong, A.; Song, C.; Viel, J. H.; Kok, J.; Kuipers, O. P. BAGEL4: A User-Friendly Web Server to Thoroughly Mine RiPPs and Bacteriocins. </w:t>
      </w:r>
      <w:r w:rsidRPr="00912FFE">
        <w:rPr>
          <w:i/>
          <w:iCs/>
          <w:noProof/>
          <w:szCs w:val="24"/>
        </w:rPr>
        <w:t>Nucleic Acids Res.</w:t>
      </w:r>
      <w:r w:rsidRPr="00912FFE">
        <w:rPr>
          <w:noProof/>
          <w:szCs w:val="24"/>
        </w:rPr>
        <w:t xml:space="preserve"> </w:t>
      </w:r>
      <w:r w:rsidRPr="00912FFE">
        <w:rPr>
          <w:b/>
          <w:bCs/>
          <w:noProof/>
          <w:szCs w:val="24"/>
        </w:rPr>
        <w:t>2018</w:t>
      </w:r>
      <w:r w:rsidRPr="00912FFE">
        <w:rPr>
          <w:noProof/>
          <w:szCs w:val="24"/>
        </w:rPr>
        <w:t xml:space="preserve">, </w:t>
      </w:r>
      <w:r w:rsidRPr="00912FFE">
        <w:rPr>
          <w:i/>
          <w:iCs/>
          <w:noProof/>
          <w:szCs w:val="24"/>
        </w:rPr>
        <w:t>46</w:t>
      </w:r>
      <w:r w:rsidRPr="00912FFE">
        <w:rPr>
          <w:noProof/>
          <w:szCs w:val="24"/>
        </w:rPr>
        <w:t xml:space="preserve"> (W1), W278–W281. https://doi.org/10.1093/nar/gky383.</w:t>
      </w:r>
    </w:p>
    <w:p w14:paraId="0289F1BE"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(102) </w:t>
      </w:r>
      <w:r w:rsidRPr="00912FFE">
        <w:rPr>
          <w:noProof/>
          <w:szCs w:val="24"/>
        </w:rPr>
        <w:tab/>
        <w:t xml:space="preserve">Ramos-Martín, F.; Annaval, T.; Buchoux, S.; Sarazin, C.; D’Amelio, N. Adaptable: A Comprehensive Web Platform of Antimicrobial Peptides Tailored to the User’s Research. </w:t>
      </w:r>
      <w:r w:rsidRPr="00912FFE">
        <w:rPr>
          <w:i/>
          <w:iCs/>
          <w:noProof/>
          <w:szCs w:val="24"/>
        </w:rPr>
        <w:t>Life Sci. Alliance</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2</w:t>
      </w:r>
      <w:r w:rsidRPr="00912FFE">
        <w:rPr>
          <w:noProof/>
          <w:szCs w:val="24"/>
        </w:rPr>
        <w:t xml:space="preserve"> (6), e201900512. https://doi.org/10.26508/lsa.201900512.</w:t>
      </w:r>
    </w:p>
    <w:p w14:paraId="010BB588"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(103) </w:t>
      </w:r>
      <w:r w:rsidRPr="00912FFE">
        <w:rPr>
          <w:noProof/>
          <w:szCs w:val="24"/>
        </w:rPr>
        <w:tab/>
        <w:t xml:space="preserve">Gómez, E. A.; Giraldo, P.; Orduz, S. InverPep: A Database of Invertebrate Antimicrobial Peptides. </w:t>
      </w:r>
      <w:r w:rsidRPr="00912FFE">
        <w:rPr>
          <w:i/>
          <w:iCs/>
          <w:noProof/>
          <w:szCs w:val="24"/>
        </w:rPr>
        <w:t>J. Glob. Antimicrob. Resist.</w:t>
      </w:r>
      <w:r w:rsidRPr="00912FFE">
        <w:rPr>
          <w:noProof/>
          <w:szCs w:val="24"/>
        </w:rPr>
        <w:t xml:space="preserve"> </w:t>
      </w:r>
      <w:r w:rsidRPr="00912FFE">
        <w:rPr>
          <w:b/>
          <w:bCs/>
          <w:noProof/>
          <w:szCs w:val="24"/>
        </w:rPr>
        <w:t>2017</w:t>
      </w:r>
      <w:r w:rsidRPr="00912FFE">
        <w:rPr>
          <w:noProof/>
          <w:szCs w:val="24"/>
        </w:rPr>
        <w:t xml:space="preserve">, </w:t>
      </w:r>
      <w:r w:rsidRPr="00912FFE">
        <w:rPr>
          <w:i/>
          <w:iCs/>
          <w:noProof/>
          <w:szCs w:val="24"/>
        </w:rPr>
        <w:t>8</w:t>
      </w:r>
      <w:r w:rsidRPr="00912FFE">
        <w:rPr>
          <w:noProof/>
          <w:szCs w:val="24"/>
        </w:rPr>
        <w:t>, 13–17. https://doi.org/10.1016/j.jgar.2016.10.003.</w:t>
      </w:r>
    </w:p>
    <w:p w14:paraId="393FDC07"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(104) </w:t>
      </w:r>
      <w:r w:rsidRPr="00912FFE">
        <w:rPr>
          <w:noProof/>
          <w:szCs w:val="24"/>
        </w:rPr>
        <w:tab/>
        <w:t xml:space="preserve">Porto, W. F.; Silva, O. N.; Franco, O. L. Prediction and Rational Design of Antimicrobial Peptides. In </w:t>
      </w:r>
      <w:r w:rsidRPr="00912FFE">
        <w:rPr>
          <w:i/>
          <w:iCs/>
          <w:noProof/>
          <w:szCs w:val="24"/>
        </w:rPr>
        <w:t>Protein Structure</w:t>
      </w:r>
      <w:r w:rsidRPr="00912FFE">
        <w:rPr>
          <w:noProof/>
          <w:szCs w:val="24"/>
        </w:rPr>
        <w:t>; InTech, 2012; pp 377–396. https://doi.org/10.5772/38023.</w:t>
      </w:r>
    </w:p>
    <w:p w14:paraId="61E8DD2A"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(105) </w:t>
      </w:r>
      <w:r w:rsidRPr="00912FFE">
        <w:rPr>
          <w:noProof/>
          <w:szCs w:val="24"/>
        </w:rPr>
        <w:tab/>
        <w:t xml:space="preserve">Drin, G.; Antonny, B. Amphipathic Helices and Membrane Curvature. </w:t>
      </w:r>
      <w:r w:rsidRPr="00912FFE">
        <w:rPr>
          <w:i/>
          <w:iCs/>
          <w:noProof/>
          <w:szCs w:val="24"/>
        </w:rPr>
        <w:t>FEBS Lett.</w:t>
      </w:r>
      <w:r w:rsidRPr="00912FFE">
        <w:rPr>
          <w:noProof/>
          <w:szCs w:val="24"/>
        </w:rPr>
        <w:t xml:space="preserve"> </w:t>
      </w:r>
      <w:r w:rsidRPr="00912FFE">
        <w:rPr>
          <w:b/>
          <w:bCs/>
          <w:noProof/>
          <w:szCs w:val="24"/>
        </w:rPr>
        <w:t>2010</w:t>
      </w:r>
      <w:r w:rsidRPr="00912FFE">
        <w:rPr>
          <w:noProof/>
          <w:szCs w:val="24"/>
        </w:rPr>
        <w:t xml:space="preserve">, </w:t>
      </w:r>
      <w:r w:rsidRPr="00912FFE">
        <w:rPr>
          <w:i/>
          <w:iCs/>
          <w:noProof/>
          <w:szCs w:val="24"/>
        </w:rPr>
        <w:t>584</w:t>
      </w:r>
      <w:r w:rsidRPr="00912FFE">
        <w:rPr>
          <w:noProof/>
          <w:szCs w:val="24"/>
        </w:rPr>
        <w:t xml:space="preserve"> (9), 1840–1847. https://doi.org/10.1016/j.febslet.2009.10.022.</w:t>
      </w:r>
    </w:p>
    <w:p w14:paraId="3D797F2E"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(106) </w:t>
      </w:r>
      <w:r w:rsidRPr="00912FFE">
        <w:rPr>
          <w:noProof/>
          <w:szCs w:val="24"/>
        </w:rPr>
        <w:tab/>
        <w:t xml:space="preserve">Dathe, M.; Nikolenko, H.; Meyer, J.; Beyermann, M.; Bienert, M. Optimization of the Antimicrobial Activity of Magainin Peptides by Modification of Charge. </w:t>
      </w:r>
      <w:r w:rsidRPr="00912FFE">
        <w:rPr>
          <w:i/>
          <w:iCs/>
          <w:noProof/>
          <w:szCs w:val="24"/>
        </w:rPr>
        <w:t>FEBS Lett.</w:t>
      </w:r>
      <w:r w:rsidRPr="00912FFE">
        <w:rPr>
          <w:noProof/>
          <w:szCs w:val="24"/>
        </w:rPr>
        <w:t xml:space="preserve"> </w:t>
      </w:r>
      <w:r w:rsidRPr="00912FFE">
        <w:rPr>
          <w:b/>
          <w:bCs/>
          <w:noProof/>
          <w:szCs w:val="24"/>
        </w:rPr>
        <w:t>2001</w:t>
      </w:r>
      <w:r w:rsidRPr="00912FFE">
        <w:rPr>
          <w:noProof/>
          <w:szCs w:val="24"/>
        </w:rPr>
        <w:t xml:space="preserve">, </w:t>
      </w:r>
      <w:r w:rsidRPr="00912FFE">
        <w:rPr>
          <w:i/>
          <w:iCs/>
          <w:noProof/>
          <w:szCs w:val="24"/>
        </w:rPr>
        <w:t>501</w:t>
      </w:r>
      <w:r w:rsidRPr="00912FFE">
        <w:rPr>
          <w:noProof/>
          <w:szCs w:val="24"/>
        </w:rPr>
        <w:t xml:space="preserve"> (2–3), 146–150. https://doi.org/10.1016/S0014-5793(01)02648-5.</w:t>
      </w:r>
    </w:p>
    <w:p w14:paraId="7910E944"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(107) </w:t>
      </w:r>
      <w:r w:rsidRPr="00912FFE">
        <w:rPr>
          <w:noProof/>
          <w:szCs w:val="24"/>
        </w:rPr>
        <w:tab/>
        <w:t>Giangaspero, A.; Sandri, L.; Tossi, A. Amphipathic α Helical Antimicrobial Peptides.</w:t>
      </w:r>
      <w:r w:rsidRPr="00912FFE">
        <w:rPr>
          <w:noProof/>
          <w:szCs w:val="24"/>
        </w:rPr>
        <w:t> </w:t>
      </w:r>
      <w:r w:rsidRPr="00912FFE">
        <w:rPr>
          <w:noProof/>
          <w:szCs w:val="24"/>
        </w:rPr>
        <w:t xml:space="preserve">. </w:t>
      </w:r>
      <w:r w:rsidRPr="00912FFE">
        <w:rPr>
          <w:i/>
          <w:iCs/>
          <w:noProof/>
          <w:szCs w:val="24"/>
        </w:rPr>
        <w:t>Eur. J. Biochem.</w:t>
      </w:r>
      <w:r w:rsidRPr="00912FFE">
        <w:rPr>
          <w:noProof/>
          <w:szCs w:val="24"/>
        </w:rPr>
        <w:t xml:space="preserve"> </w:t>
      </w:r>
      <w:r w:rsidRPr="00912FFE">
        <w:rPr>
          <w:b/>
          <w:bCs/>
          <w:noProof/>
          <w:szCs w:val="24"/>
        </w:rPr>
        <w:t>2001</w:t>
      </w:r>
      <w:r w:rsidRPr="00912FFE">
        <w:rPr>
          <w:noProof/>
          <w:szCs w:val="24"/>
        </w:rPr>
        <w:t xml:space="preserve">, </w:t>
      </w:r>
      <w:r w:rsidRPr="00912FFE">
        <w:rPr>
          <w:i/>
          <w:iCs/>
          <w:noProof/>
          <w:szCs w:val="24"/>
        </w:rPr>
        <w:t>268</w:t>
      </w:r>
      <w:r w:rsidRPr="00912FFE">
        <w:rPr>
          <w:noProof/>
          <w:szCs w:val="24"/>
        </w:rPr>
        <w:t xml:space="preserve"> (21), 5589–5600. https://doi.org/10.1046/j.1432-1033.2001.02494.x.</w:t>
      </w:r>
    </w:p>
    <w:p w14:paraId="18D1C294"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(108) </w:t>
      </w:r>
      <w:r w:rsidRPr="00912FFE">
        <w:rPr>
          <w:noProof/>
          <w:szCs w:val="24"/>
        </w:rPr>
        <w:tab/>
        <w:t xml:space="preserve">Mourtada, R.; Herce, H. D.; Yin, D. J.; Moroco, J. A.; Wales, T. E.; Engen, J. R.; Walensky, L. D. Design of Stapled Antimicrobial Peptides That Are Stable, Nontoxic and Kill Antibiotic-Resistant Bacteria in Mice. </w:t>
      </w:r>
      <w:r w:rsidRPr="00912FFE">
        <w:rPr>
          <w:i/>
          <w:iCs/>
          <w:noProof/>
          <w:szCs w:val="24"/>
        </w:rPr>
        <w:t>Nat. Biotechnol.</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37</w:t>
      </w:r>
      <w:r w:rsidRPr="00912FFE">
        <w:rPr>
          <w:noProof/>
          <w:szCs w:val="24"/>
        </w:rPr>
        <w:t xml:space="preserve"> (10), 1186–1197. https://doi.org/10.1038/s41587-019-0222-z.</w:t>
      </w:r>
    </w:p>
    <w:p w14:paraId="42225865"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(109) </w:t>
      </w:r>
      <w:r w:rsidRPr="00912FFE">
        <w:rPr>
          <w:noProof/>
          <w:szCs w:val="24"/>
        </w:rPr>
        <w:tab/>
        <w:t xml:space="preserve">Lin, Y.; Cai, Y.; Liu, J.; Lin, C.; Liu, X. An Advanced Approach to Identify Antimicrobial Peptides and Their Function Types for Penaeus through Machine Learning Strategies. </w:t>
      </w:r>
      <w:r w:rsidRPr="00912FFE">
        <w:rPr>
          <w:i/>
          <w:iCs/>
          <w:noProof/>
          <w:szCs w:val="24"/>
        </w:rPr>
        <w:t>BMC Bioinformatics</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20</w:t>
      </w:r>
      <w:r w:rsidRPr="00912FFE">
        <w:rPr>
          <w:noProof/>
          <w:szCs w:val="24"/>
        </w:rPr>
        <w:t xml:space="preserve"> (S8), 291. https://doi.org/10.1186/s12859-019-2766-9.</w:t>
      </w:r>
    </w:p>
    <w:p w14:paraId="3AA5F01C"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(110) </w:t>
      </w:r>
      <w:r w:rsidRPr="00912FFE">
        <w:rPr>
          <w:noProof/>
          <w:szCs w:val="24"/>
        </w:rPr>
        <w:tab/>
        <w:t xml:space="preserve">Meher, P. K.; Sahu, T. K.; Saini, V.; Rao, A. R. Predicting Antimicrobial Peptides with Improved Accuracy by Incorporating the Compositional, Physico-Chemical and Structural Features into Chou’s General PseAAC. </w:t>
      </w:r>
      <w:r w:rsidRPr="00912FFE">
        <w:rPr>
          <w:i/>
          <w:iCs/>
          <w:noProof/>
          <w:szCs w:val="24"/>
        </w:rPr>
        <w:t>Sci. Rep.</w:t>
      </w:r>
      <w:r w:rsidRPr="00912FFE">
        <w:rPr>
          <w:noProof/>
          <w:szCs w:val="24"/>
        </w:rPr>
        <w:t xml:space="preserve"> </w:t>
      </w:r>
      <w:r w:rsidRPr="00912FFE">
        <w:rPr>
          <w:b/>
          <w:bCs/>
          <w:noProof/>
          <w:szCs w:val="24"/>
        </w:rPr>
        <w:t>2017</w:t>
      </w:r>
      <w:r w:rsidRPr="00912FFE">
        <w:rPr>
          <w:noProof/>
          <w:szCs w:val="24"/>
        </w:rPr>
        <w:t xml:space="preserve">, </w:t>
      </w:r>
      <w:r w:rsidRPr="00912FFE">
        <w:rPr>
          <w:i/>
          <w:iCs/>
          <w:noProof/>
          <w:szCs w:val="24"/>
        </w:rPr>
        <w:t>7</w:t>
      </w:r>
      <w:r w:rsidRPr="00912FFE">
        <w:rPr>
          <w:noProof/>
          <w:szCs w:val="24"/>
        </w:rPr>
        <w:t xml:space="preserve"> (1), 1–12. https://doi.org/10.1038/srep42362.</w:t>
      </w:r>
    </w:p>
    <w:p w14:paraId="0AF93EB6"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(111) </w:t>
      </w:r>
      <w:r w:rsidRPr="00912FFE">
        <w:rPr>
          <w:noProof/>
          <w:szCs w:val="24"/>
        </w:rPr>
        <w:tab/>
        <w:t xml:space="preserve">van Heel, A. J.; de Jong, A.; Montalbán-López, M.; Kok, J.; Kuipers, O. P. BAGEL3: Automated Identification of Genes Encoding Bacteriocins and (Non-)Bactericidal Posttranslationally Modified Peptides. </w:t>
      </w:r>
      <w:r w:rsidRPr="00912FFE">
        <w:rPr>
          <w:i/>
          <w:iCs/>
          <w:noProof/>
          <w:szCs w:val="24"/>
        </w:rPr>
        <w:t>Nucleic Acids Res.</w:t>
      </w:r>
      <w:r w:rsidRPr="00912FFE">
        <w:rPr>
          <w:noProof/>
          <w:szCs w:val="24"/>
        </w:rPr>
        <w:t xml:space="preserve"> </w:t>
      </w:r>
      <w:r w:rsidRPr="00912FFE">
        <w:rPr>
          <w:b/>
          <w:bCs/>
          <w:noProof/>
          <w:szCs w:val="24"/>
        </w:rPr>
        <w:t>2013</w:t>
      </w:r>
      <w:r w:rsidRPr="00912FFE">
        <w:rPr>
          <w:noProof/>
          <w:szCs w:val="24"/>
        </w:rPr>
        <w:t xml:space="preserve">, </w:t>
      </w:r>
      <w:r w:rsidRPr="00912FFE">
        <w:rPr>
          <w:i/>
          <w:iCs/>
          <w:noProof/>
          <w:szCs w:val="24"/>
        </w:rPr>
        <w:t>41</w:t>
      </w:r>
      <w:r w:rsidRPr="00912FFE">
        <w:rPr>
          <w:noProof/>
          <w:szCs w:val="24"/>
        </w:rPr>
        <w:t xml:space="preserve"> (Web Server issue), W448–W453. https://doi.org/10.1093/nar/gkt391.</w:t>
      </w:r>
    </w:p>
    <w:p w14:paraId="16E78C1C"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(112) </w:t>
      </w:r>
      <w:r w:rsidRPr="00912FFE">
        <w:rPr>
          <w:noProof/>
          <w:szCs w:val="24"/>
        </w:rPr>
        <w:tab/>
        <w:t xml:space="preserve">Gabere, M. N.; Noble, W. S. Empirical Comparison of Web-Based Antimicrobial Peptide Prediction Tools. </w:t>
      </w:r>
      <w:r w:rsidRPr="00912FFE">
        <w:rPr>
          <w:i/>
          <w:iCs/>
          <w:noProof/>
          <w:szCs w:val="24"/>
        </w:rPr>
        <w:t>Bioinformatics</w:t>
      </w:r>
      <w:r w:rsidRPr="00912FFE">
        <w:rPr>
          <w:noProof/>
          <w:szCs w:val="24"/>
        </w:rPr>
        <w:t xml:space="preserve"> </w:t>
      </w:r>
      <w:r w:rsidRPr="00912FFE">
        <w:rPr>
          <w:b/>
          <w:bCs/>
          <w:noProof/>
          <w:szCs w:val="24"/>
        </w:rPr>
        <w:t>2017</w:t>
      </w:r>
      <w:r w:rsidRPr="00912FFE">
        <w:rPr>
          <w:noProof/>
          <w:szCs w:val="24"/>
        </w:rPr>
        <w:t xml:space="preserve">, </w:t>
      </w:r>
      <w:r w:rsidRPr="00912FFE">
        <w:rPr>
          <w:i/>
          <w:iCs/>
          <w:noProof/>
          <w:szCs w:val="24"/>
        </w:rPr>
        <w:t>33</w:t>
      </w:r>
      <w:r w:rsidRPr="00912FFE">
        <w:rPr>
          <w:noProof/>
          <w:szCs w:val="24"/>
        </w:rPr>
        <w:t xml:space="preserve"> (13), 1921–1929. https://doi.org/10.1093/bioinformatics/btx081.</w:t>
      </w:r>
    </w:p>
    <w:p w14:paraId="4BF6C64B"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(113) </w:t>
      </w:r>
      <w:r w:rsidRPr="00912FFE">
        <w:rPr>
          <w:noProof/>
          <w:szCs w:val="24"/>
        </w:rPr>
        <w:tab/>
        <w:t xml:space="preserve">Vishnepolsky, B.; Pirtskhalava, M. Comment on: ‘Empirical Comparison of Web-Based Antimicrobial Peptide Prediction Tools.’ </w:t>
      </w:r>
      <w:r w:rsidRPr="00912FFE">
        <w:rPr>
          <w:i/>
          <w:iCs/>
          <w:noProof/>
          <w:szCs w:val="24"/>
        </w:rPr>
        <w:t>Bioinformatics</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35</w:t>
      </w:r>
      <w:r w:rsidRPr="00912FFE">
        <w:rPr>
          <w:noProof/>
          <w:szCs w:val="24"/>
        </w:rPr>
        <w:t xml:space="preserve"> (15), 2692–2694. https://doi.org/10.1093/bioinformatics/bty1023.</w:t>
      </w:r>
    </w:p>
    <w:p w14:paraId="552206F5"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(114) </w:t>
      </w:r>
      <w:r w:rsidRPr="00912FFE">
        <w:rPr>
          <w:noProof/>
          <w:szCs w:val="24"/>
        </w:rPr>
        <w:tab/>
        <w:t xml:space="preserve">Burdukiewicz, M.; Sidorczuk, K.; Rafacz, D.; Pietluch, F.; Chilimoniuk, J.; Rödiger, S.; Gagat, P. Proteomic Screening for Prediction and Design of Antimicrobial Peptides with Ampgram. </w:t>
      </w:r>
      <w:r w:rsidRPr="00912FFE">
        <w:rPr>
          <w:i/>
          <w:iCs/>
          <w:noProof/>
          <w:szCs w:val="24"/>
        </w:rPr>
        <w:t>Int. J. Mol. Sci.</w:t>
      </w:r>
      <w:r w:rsidRPr="00912FFE">
        <w:rPr>
          <w:noProof/>
          <w:szCs w:val="24"/>
        </w:rPr>
        <w:t xml:space="preserve"> </w:t>
      </w:r>
      <w:r w:rsidRPr="00912FFE">
        <w:rPr>
          <w:b/>
          <w:bCs/>
          <w:noProof/>
          <w:szCs w:val="24"/>
        </w:rPr>
        <w:t>2020</w:t>
      </w:r>
      <w:r w:rsidRPr="00912FFE">
        <w:rPr>
          <w:noProof/>
          <w:szCs w:val="24"/>
        </w:rPr>
        <w:t xml:space="preserve">, </w:t>
      </w:r>
      <w:r w:rsidRPr="00912FFE">
        <w:rPr>
          <w:i/>
          <w:iCs/>
          <w:noProof/>
          <w:szCs w:val="24"/>
        </w:rPr>
        <w:t>21</w:t>
      </w:r>
      <w:r w:rsidRPr="00912FFE">
        <w:rPr>
          <w:noProof/>
          <w:szCs w:val="24"/>
        </w:rPr>
        <w:t xml:space="preserve"> (12), 1–13. https://doi.org/10.3390/ijms21124310.</w:t>
      </w:r>
    </w:p>
    <w:p w14:paraId="1571CB6F"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(115) </w:t>
      </w:r>
      <w:r w:rsidRPr="00912FFE">
        <w:rPr>
          <w:noProof/>
          <w:szCs w:val="24"/>
        </w:rPr>
        <w:tab/>
        <w:t xml:space="preserve">Xu, J.; Li, F.; Leier, A.; Xiang, D.; Shen, H.-H.; Marquez Lago, T. T.; Li, J.; Yu, D.-J.; Song, J. Comprehensive Assessment of Machine Learning-Based Methods for Predicting Antimicrobial Peptides. </w:t>
      </w:r>
      <w:r w:rsidRPr="00912FFE">
        <w:rPr>
          <w:i/>
          <w:iCs/>
          <w:noProof/>
          <w:szCs w:val="24"/>
        </w:rPr>
        <w:t>Brief. Bioinform.</w:t>
      </w:r>
      <w:r w:rsidRPr="00912FFE">
        <w:rPr>
          <w:noProof/>
          <w:szCs w:val="24"/>
        </w:rPr>
        <w:t xml:space="preserve"> </w:t>
      </w:r>
      <w:r w:rsidRPr="00912FFE">
        <w:rPr>
          <w:b/>
          <w:bCs/>
          <w:noProof/>
          <w:szCs w:val="24"/>
        </w:rPr>
        <w:t>2021</w:t>
      </w:r>
      <w:r w:rsidRPr="00912FFE">
        <w:rPr>
          <w:noProof/>
          <w:szCs w:val="24"/>
        </w:rPr>
        <w:t xml:space="preserve">, </w:t>
      </w:r>
      <w:r w:rsidRPr="00912FFE">
        <w:rPr>
          <w:i/>
          <w:iCs/>
          <w:noProof/>
          <w:szCs w:val="24"/>
        </w:rPr>
        <w:t>2021</w:t>
      </w:r>
      <w:r w:rsidRPr="00912FFE">
        <w:rPr>
          <w:noProof/>
          <w:szCs w:val="24"/>
        </w:rPr>
        <w:t xml:space="preserve"> (00), 1–22. https://doi.org/10.1093/bib/bbab083.</w:t>
      </w:r>
    </w:p>
    <w:p w14:paraId="4996206A"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(116) </w:t>
      </w:r>
      <w:r w:rsidRPr="00912FFE">
        <w:rPr>
          <w:noProof/>
          <w:szCs w:val="24"/>
        </w:rPr>
        <w:tab/>
        <w:t xml:space="preserve">Lawrence, T. J.; Carper, D. L.; Spangler, M. K.; Carrell, A. A.; Rush, T. A.; Minter, S. J.; </w:t>
      </w:r>
      <w:r w:rsidRPr="00912FFE">
        <w:rPr>
          <w:noProof/>
          <w:szCs w:val="24"/>
        </w:rPr>
        <w:lastRenderedPageBreak/>
        <w:t xml:space="preserve">Weston, D. J.; Labbé, J. L. AmPEPpy 1.0: A Portable and Accurate Antimicrobial Peptide Prediction Tool. </w:t>
      </w:r>
      <w:r w:rsidRPr="00912FFE">
        <w:rPr>
          <w:i/>
          <w:iCs/>
          <w:noProof/>
          <w:szCs w:val="24"/>
        </w:rPr>
        <w:t>Bioinformatics</w:t>
      </w:r>
      <w:r w:rsidRPr="00912FFE">
        <w:rPr>
          <w:noProof/>
          <w:szCs w:val="24"/>
        </w:rPr>
        <w:t xml:space="preserve"> </w:t>
      </w:r>
      <w:r w:rsidRPr="00912FFE">
        <w:rPr>
          <w:b/>
          <w:bCs/>
          <w:noProof/>
          <w:szCs w:val="24"/>
        </w:rPr>
        <w:t>2020</w:t>
      </w:r>
      <w:r w:rsidRPr="00912FFE">
        <w:rPr>
          <w:noProof/>
          <w:szCs w:val="24"/>
        </w:rPr>
        <w:t>, 1–3. https://doi.org/10.1093/bioinformatics/btaa917.</w:t>
      </w:r>
    </w:p>
    <w:p w14:paraId="1F665A1A"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(117) </w:t>
      </w:r>
      <w:r w:rsidRPr="00912FFE">
        <w:rPr>
          <w:noProof/>
          <w:szCs w:val="24"/>
        </w:rPr>
        <w:tab/>
        <w:t xml:space="preserve">Chung, C. R.; Kuo, T. R.; Wu, L. C.; Lee, T. Y.; Horng, J. T. Characterization and Identification of Antimicrobial Peptides with Different Functional Activities. </w:t>
      </w:r>
      <w:r w:rsidRPr="00912FFE">
        <w:rPr>
          <w:i/>
          <w:iCs/>
          <w:noProof/>
          <w:szCs w:val="24"/>
        </w:rPr>
        <w:t>Brief. Bioinform.</w:t>
      </w:r>
      <w:r w:rsidRPr="00912FFE">
        <w:rPr>
          <w:noProof/>
          <w:szCs w:val="24"/>
        </w:rPr>
        <w:t xml:space="preserve"> </w:t>
      </w:r>
      <w:r w:rsidRPr="00912FFE">
        <w:rPr>
          <w:b/>
          <w:bCs/>
          <w:noProof/>
          <w:szCs w:val="24"/>
        </w:rPr>
        <w:t>2020</w:t>
      </w:r>
      <w:r w:rsidRPr="00912FFE">
        <w:rPr>
          <w:noProof/>
          <w:szCs w:val="24"/>
        </w:rPr>
        <w:t xml:space="preserve">, </w:t>
      </w:r>
      <w:r w:rsidRPr="00912FFE">
        <w:rPr>
          <w:i/>
          <w:iCs/>
          <w:noProof/>
          <w:szCs w:val="24"/>
        </w:rPr>
        <w:t>21</w:t>
      </w:r>
      <w:r w:rsidRPr="00912FFE">
        <w:rPr>
          <w:noProof/>
          <w:szCs w:val="24"/>
        </w:rPr>
        <w:t xml:space="preserve"> (3), 1098–1114. https://doi.org/10.1093/bib/bbz043.</w:t>
      </w:r>
    </w:p>
    <w:p w14:paraId="349B57E2"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(118) </w:t>
      </w:r>
      <w:r w:rsidRPr="00912FFE">
        <w:rPr>
          <w:noProof/>
          <w:szCs w:val="24"/>
        </w:rPr>
        <w:tab/>
        <w:t xml:space="preserve">Kavousi, K.; Bagheri, M.; Behrouzi, S.; Vafadar, S.; Atanaki, F. F.; Lotfabadi, B. T.; Ariaeenejad, S.; Shockravi, A.; Moosavi-Movahedi, A. A. IAMPE: NMR-Assisted Computational Prediction of Antimicrobial Peptides. </w:t>
      </w:r>
      <w:r w:rsidRPr="00912FFE">
        <w:rPr>
          <w:i/>
          <w:iCs/>
          <w:noProof/>
          <w:szCs w:val="24"/>
        </w:rPr>
        <w:t>J. Chem. Inf. Model.</w:t>
      </w:r>
      <w:r w:rsidRPr="00912FFE">
        <w:rPr>
          <w:noProof/>
          <w:szCs w:val="24"/>
        </w:rPr>
        <w:t xml:space="preserve"> </w:t>
      </w:r>
      <w:r w:rsidRPr="00912FFE">
        <w:rPr>
          <w:b/>
          <w:bCs/>
          <w:noProof/>
          <w:szCs w:val="24"/>
        </w:rPr>
        <w:t>2020</w:t>
      </w:r>
      <w:r w:rsidRPr="00912FFE">
        <w:rPr>
          <w:noProof/>
          <w:szCs w:val="24"/>
        </w:rPr>
        <w:t xml:space="preserve">, </w:t>
      </w:r>
      <w:r w:rsidRPr="00912FFE">
        <w:rPr>
          <w:i/>
          <w:iCs/>
          <w:noProof/>
          <w:szCs w:val="24"/>
        </w:rPr>
        <w:t>60</w:t>
      </w:r>
      <w:r w:rsidRPr="00912FFE">
        <w:rPr>
          <w:noProof/>
          <w:szCs w:val="24"/>
        </w:rPr>
        <w:t xml:space="preserve"> (10), 4691–4701. https://doi.org/10.1021/acs.jcim.0c00841.</w:t>
      </w:r>
    </w:p>
    <w:p w14:paraId="46875B08"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(119) </w:t>
      </w:r>
      <w:r w:rsidRPr="00912FFE">
        <w:rPr>
          <w:noProof/>
          <w:szCs w:val="24"/>
        </w:rPr>
        <w:tab/>
        <w:t xml:space="preserve">Lata, S.; Sharma, B. K.; Raghava, G. P. S. Analysis and Prediction of Antibacterial Peptides. </w:t>
      </w:r>
      <w:r w:rsidRPr="00912FFE">
        <w:rPr>
          <w:i/>
          <w:iCs/>
          <w:noProof/>
          <w:szCs w:val="24"/>
        </w:rPr>
        <w:t>BMC Bioinformatics</w:t>
      </w:r>
      <w:r w:rsidRPr="00912FFE">
        <w:rPr>
          <w:noProof/>
          <w:szCs w:val="24"/>
        </w:rPr>
        <w:t xml:space="preserve"> </w:t>
      </w:r>
      <w:r w:rsidRPr="00912FFE">
        <w:rPr>
          <w:b/>
          <w:bCs/>
          <w:noProof/>
          <w:szCs w:val="24"/>
        </w:rPr>
        <w:t>2007</w:t>
      </w:r>
      <w:r w:rsidRPr="00912FFE">
        <w:rPr>
          <w:noProof/>
          <w:szCs w:val="24"/>
        </w:rPr>
        <w:t xml:space="preserve">, </w:t>
      </w:r>
      <w:r w:rsidRPr="00912FFE">
        <w:rPr>
          <w:i/>
          <w:iCs/>
          <w:noProof/>
          <w:szCs w:val="24"/>
        </w:rPr>
        <w:t>8</w:t>
      </w:r>
      <w:r w:rsidRPr="00912FFE">
        <w:rPr>
          <w:noProof/>
          <w:szCs w:val="24"/>
        </w:rPr>
        <w:t xml:space="preserve"> (1), 263. https://doi.org/10.1186/1471-2105-8-263.</w:t>
      </w:r>
    </w:p>
    <w:p w14:paraId="51BC2B41"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(120) </w:t>
      </w:r>
      <w:r w:rsidRPr="00912FFE">
        <w:rPr>
          <w:noProof/>
          <w:szCs w:val="24"/>
        </w:rPr>
        <w:tab/>
        <w:t xml:space="preserve">Lata, S.; Mishra, N. K.; Raghava, G. P. S. AntiBP2: Improved Version of Antibacterial Peptide Prediction. </w:t>
      </w:r>
      <w:r w:rsidRPr="00912FFE">
        <w:rPr>
          <w:i/>
          <w:iCs/>
          <w:noProof/>
          <w:szCs w:val="24"/>
        </w:rPr>
        <w:t>BMC Bioinformatics</w:t>
      </w:r>
      <w:r w:rsidRPr="00912FFE">
        <w:rPr>
          <w:noProof/>
          <w:szCs w:val="24"/>
        </w:rPr>
        <w:t xml:space="preserve"> </w:t>
      </w:r>
      <w:r w:rsidRPr="00912FFE">
        <w:rPr>
          <w:b/>
          <w:bCs/>
          <w:noProof/>
          <w:szCs w:val="24"/>
        </w:rPr>
        <w:t>2010</w:t>
      </w:r>
      <w:r w:rsidRPr="00912FFE">
        <w:rPr>
          <w:noProof/>
          <w:szCs w:val="24"/>
        </w:rPr>
        <w:t xml:space="preserve">, </w:t>
      </w:r>
      <w:r w:rsidRPr="00912FFE">
        <w:rPr>
          <w:i/>
          <w:iCs/>
          <w:noProof/>
          <w:szCs w:val="24"/>
        </w:rPr>
        <w:t>11</w:t>
      </w:r>
      <w:r w:rsidRPr="00912FFE">
        <w:rPr>
          <w:noProof/>
          <w:szCs w:val="24"/>
        </w:rPr>
        <w:t>, S19. https://doi.org/10.1186/1471-2105-11-S1-S19.</w:t>
      </w:r>
    </w:p>
    <w:p w14:paraId="3AD4454A"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(121) </w:t>
      </w:r>
      <w:r w:rsidRPr="00912FFE">
        <w:rPr>
          <w:noProof/>
          <w:szCs w:val="24"/>
        </w:rPr>
        <w:tab/>
        <w:t xml:space="preserve">Veltri, D.; Kamath, U.; Shehu, A. Deep Learning Improves Antimicrobial Peptide Recognition. </w:t>
      </w:r>
      <w:r w:rsidRPr="00912FFE">
        <w:rPr>
          <w:i/>
          <w:iCs/>
          <w:noProof/>
          <w:szCs w:val="24"/>
        </w:rPr>
        <w:t>Bioinformatics</w:t>
      </w:r>
      <w:r w:rsidRPr="00912FFE">
        <w:rPr>
          <w:noProof/>
          <w:szCs w:val="24"/>
        </w:rPr>
        <w:t xml:space="preserve"> </w:t>
      </w:r>
      <w:r w:rsidRPr="00912FFE">
        <w:rPr>
          <w:b/>
          <w:bCs/>
          <w:noProof/>
          <w:szCs w:val="24"/>
        </w:rPr>
        <w:t>2018</w:t>
      </w:r>
      <w:r w:rsidRPr="00912FFE">
        <w:rPr>
          <w:noProof/>
          <w:szCs w:val="24"/>
        </w:rPr>
        <w:t xml:space="preserve">, </w:t>
      </w:r>
      <w:r w:rsidRPr="00912FFE">
        <w:rPr>
          <w:i/>
          <w:iCs/>
          <w:noProof/>
          <w:szCs w:val="24"/>
        </w:rPr>
        <w:t>34</w:t>
      </w:r>
      <w:r w:rsidRPr="00912FFE">
        <w:rPr>
          <w:noProof/>
          <w:szCs w:val="24"/>
        </w:rPr>
        <w:t xml:space="preserve"> (16), 2740–2747. https://doi.org/10.1093/bioinformatics/bty179.</w:t>
      </w:r>
    </w:p>
    <w:p w14:paraId="7C72F834"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(122) </w:t>
      </w:r>
      <w:r w:rsidRPr="00912FFE">
        <w:rPr>
          <w:noProof/>
          <w:szCs w:val="24"/>
        </w:rPr>
        <w:tab/>
        <w:t xml:space="preserve">Torrent, M.; Di Tommaso, P.; Pulido, D.; Nogués, M. V.; Notredame, C.; Boix, E.; Andreu, D. AMPA: An Automated Web Server for Prediction of Protein Antimicrobial Regions. </w:t>
      </w:r>
      <w:r w:rsidRPr="00912FFE">
        <w:rPr>
          <w:i/>
          <w:iCs/>
          <w:noProof/>
          <w:szCs w:val="24"/>
        </w:rPr>
        <w:t>Bioinformatics</w:t>
      </w:r>
      <w:r w:rsidRPr="00912FFE">
        <w:rPr>
          <w:noProof/>
          <w:szCs w:val="24"/>
        </w:rPr>
        <w:t xml:space="preserve"> </w:t>
      </w:r>
      <w:r w:rsidRPr="00912FFE">
        <w:rPr>
          <w:b/>
          <w:bCs/>
          <w:noProof/>
          <w:szCs w:val="24"/>
        </w:rPr>
        <w:t>2012</w:t>
      </w:r>
      <w:r w:rsidRPr="00912FFE">
        <w:rPr>
          <w:noProof/>
          <w:szCs w:val="24"/>
        </w:rPr>
        <w:t xml:space="preserve">, </w:t>
      </w:r>
      <w:r w:rsidRPr="00912FFE">
        <w:rPr>
          <w:i/>
          <w:iCs/>
          <w:noProof/>
          <w:szCs w:val="24"/>
        </w:rPr>
        <w:t>28</w:t>
      </w:r>
      <w:r w:rsidRPr="00912FFE">
        <w:rPr>
          <w:noProof/>
          <w:szCs w:val="24"/>
        </w:rPr>
        <w:t xml:space="preserve"> (1), 130–131. https://doi.org/10.1093/bioinformatics/btr604.</w:t>
      </w:r>
    </w:p>
    <w:p w14:paraId="61A8D84D"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(123) </w:t>
      </w:r>
      <w:r w:rsidRPr="00912FFE">
        <w:rPr>
          <w:noProof/>
          <w:szCs w:val="24"/>
        </w:rPr>
        <w:tab/>
        <w:t xml:space="preserve">Gull, S.; Shamim, N.; Minhas, F. AMAP: Hierarchical Multi-Label Prediction of Biologically Active and Antimicrobial Peptides. </w:t>
      </w:r>
      <w:r w:rsidRPr="00912FFE">
        <w:rPr>
          <w:i/>
          <w:iCs/>
          <w:noProof/>
          <w:szCs w:val="24"/>
        </w:rPr>
        <w:t>Comput. Biol. Med.</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107</w:t>
      </w:r>
      <w:r w:rsidRPr="00912FFE">
        <w:rPr>
          <w:noProof/>
          <w:szCs w:val="24"/>
        </w:rPr>
        <w:t xml:space="preserve"> (4), 172–181. https://doi.org/10.1016/j.compbiomed.2019.02.018.</w:t>
      </w:r>
    </w:p>
    <w:p w14:paraId="257EF417"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(124) </w:t>
      </w:r>
      <w:r w:rsidRPr="00912FFE">
        <w:rPr>
          <w:noProof/>
          <w:szCs w:val="24"/>
        </w:rPr>
        <w:tab/>
        <w:t xml:space="preserve">Xiao, X.; Wang, P.; Lin, W. Z.; Jia, J. H.; Chou, K. C. IAMP-2L: A Two-Level Multi-Label Classifier for Identifying Antimicrobial Peptides and Their Functional Types. </w:t>
      </w:r>
      <w:r w:rsidRPr="00912FFE">
        <w:rPr>
          <w:i/>
          <w:iCs/>
          <w:noProof/>
          <w:szCs w:val="24"/>
        </w:rPr>
        <w:t>Anal. Biochem.</w:t>
      </w:r>
      <w:r w:rsidRPr="00912FFE">
        <w:rPr>
          <w:noProof/>
          <w:szCs w:val="24"/>
        </w:rPr>
        <w:t xml:space="preserve"> </w:t>
      </w:r>
      <w:r w:rsidRPr="00912FFE">
        <w:rPr>
          <w:b/>
          <w:bCs/>
          <w:noProof/>
          <w:szCs w:val="24"/>
        </w:rPr>
        <w:t>2013</w:t>
      </w:r>
      <w:r w:rsidRPr="00912FFE">
        <w:rPr>
          <w:noProof/>
          <w:szCs w:val="24"/>
        </w:rPr>
        <w:t xml:space="preserve">, </w:t>
      </w:r>
      <w:r w:rsidRPr="00912FFE">
        <w:rPr>
          <w:i/>
          <w:iCs/>
          <w:noProof/>
          <w:szCs w:val="24"/>
        </w:rPr>
        <w:t>436</w:t>
      </w:r>
      <w:r w:rsidRPr="00912FFE">
        <w:rPr>
          <w:noProof/>
          <w:szCs w:val="24"/>
        </w:rPr>
        <w:t xml:space="preserve"> (2), 168–177. https://doi.org/10.1016/j.ab.2013.01.019.</w:t>
      </w:r>
    </w:p>
    <w:p w14:paraId="1266E256"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(125) </w:t>
      </w:r>
      <w:r w:rsidRPr="00912FFE">
        <w:rPr>
          <w:noProof/>
          <w:szCs w:val="24"/>
        </w:rPr>
        <w:tab/>
        <w:t xml:space="preserve">Porto, W. F.; Pires, Á. S.; Franco, O. L. CS-AMPPred: An Updated SVM Model for Antimicrobial Activity Prediction in Cysteine-Stabilized Peptides. </w:t>
      </w:r>
      <w:r w:rsidRPr="00912FFE">
        <w:rPr>
          <w:i/>
          <w:iCs/>
          <w:noProof/>
          <w:szCs w:val="24"/>
        </w:rPr>
        <w:t>PLoS One</w:t>
      </w:r>
      <w:r w:rsidRPr="00912FFE">
        <w:rPr>
          <w:noProof/>
          <w:szCs w:val="24"/>
        </w:rPr>
        <w:t xml:space="preserve"> </w:t>
      </w:r>
      <w:r w:rsidRPr="00912FFE">
        <w:rPr>
          <w:b/>
          <w:bCs/>
          <w:noProof/>
          <w:szCs w:val="24"/>
        </w:rPr>
        <w:t>2012</w:t>
      </w:r>
      <w:r w:rsidRPr="00912FFE">
        <w:rPr>
          <w:noProof/>
          <w:szCs w:val="24"/>
        </w:rPr>
        <w:t xml:space="preserve">, </w:t>
      </w:r>
      <w:r w:rsidRPr="00912FFE">
        <w:rPr>
          <w:i/>
          <w:iCs/>
          <w:noProof/>
          <w:szCs w:val="24"/>
        </w:rPr>
        <w:t>7</w:t>
      </w:r>
      <w:r w:rsidRPr="00912FFE">
        <w:rPr>
          <w:noProof/>
          <w:szCs w:val="24"/>
        </w:rPr>
        <w:t xml:space="preserve"> (12), e51444. https://doi.org/10.1371/journal.pone.0051444.</w:t>
      </w:r>
    </w:p>
    <w:p w14:paraId="1005B7C4"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(126) </w:t>
      </w:r>
      <w:r w:rsidRPr="00912FFE">
        <w:rPr>
          <w:noProof/>
          <w:szCs w:val="24"/>
        </w:rPr>
        <w:tab/>
        <w:t xml:space="preserve">Cherkasov, A.; Muratov, E. N.; Fourches, D.; Varnek, A.; Baskin, I. I.; Cronin, M.; Dearden, J.; Gramatica, P.; Martin, Y. C.; Todeschini, R.; Consonni, V.; Kuz’Min, V. E.; Cramer, R.; Benigni, R.; Yang, C.; Rathman, J.; Terfloth, L.; Gasteiger, J.; Richard, A.; Tropsha, A. QSAR Modeling: Where Have You Been? Where Are You Going To? </w:t>
      </w:r>
      <w:r w:rsidRPr="00912FFE">
        <w:rPr>
          <w:i/>
          <w:iCs/>
          <w:noProof/>
          <w:szCs w:val="24"/>
        </w:rPr>
        <w:t>J. Med. Chem.</w:t>
      </w:r>
      <w:r w:rsidRPr="00912FFE">
        <w:rPr>
          <w:noProof/>
          <w:szCs w:val="24"/>
        </w:rPr>
        <w:t xml:space="preserve"> </w:t>
      </w:r>
      <w:r w:rsidRPr="00912FFE">
        <w:rPr>
          <w:b/>
          <w:bCs/>
          <w:noProof/>
          <w:szCs w:val="24"/>
        </w:rPr>
        <w:t>2014</w:t>
      </w:r>
      <w:r w:rsidRPr="00912FFE">
        <w:rPr>
          <w:noProof/>
          <w:szCs w:val="24"/>
        </w:rPr>
        <w:t xml:space="preserve">, </w:t>
      </w:r>
      <w:r w:rsidRPr="00912FFE">
        <w:rPr>
          <w:i/>
          <w:iCs/>
          <w:noProof/>
          <w:szCs w:val="24"/>
        </w:rPr>
        <w:t>57</w:t>
      </w:r>
      <w:r w:rsidRPr="00912FFE">
        <w:rPr>
          <w:noProof/>
          <w:szCs w:val="24"/>
        </w:rPr>
        <w:t xml:space="preserve"> (12), 4977–5010. https://doi.org/10.1021/jm4004285.</w:t>
      </w:r>
    </w:p>
    <w:p w14:paraId="4667885C"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(127) </w:t>
      </w:r>
      <w:r w:rsidRPr="00912FFE">
        <w:rPr>
          <w:noProof/>
          <w:szCs w:val="24"/>
        </w:rPr>
        <w:tab/>
        <w:t xml:space="preserve">D. Fjell, C.; E.W. Hancock, R.; Jenssen, H. Computer-Aided Design of Antimicrobial Peptides. </w:t>
      </w:r>
      <w:r w:rsidRPr="00912FFE">
        <w:rPr>
          <w:i/>
          <w:iCs/>
          <w:noProof/>
          <w:szCs w:val="24"/>
        </w:rPr>
        <w:t>Curr. Pharm. Anal.</w:t>
      </w:r>
      <w:r w:rsidRPr="00912FFE">
        <w:rPr>
          <w:noProof/>
          <w:szCs w:val="24"/>
        </w:rPr>
        <w:t xml:space="preserve"> </w:t>
      </w:r>
      <w:r w:rsidRPr="00912FFE">
        <w:rPr>
          <w:b/>
          <w:bCs/>
          <w:noProof/>
          <w:szCs w:val="24"/>
        </w:rPr>
        <w:t>2010</w:t>
      </w:r>
      <w:r w:rsidRPr="00912FFE">
        <w:rPr>
          <w:noProof/>
          <w:szCs w:val="24"/>
        </w:rPr>
        <w:t xml:space="preserve">, </w:t>
      </w:r>
      <w:r w:rsidRPr="00912FFE">
        <w:rPr>
          <w:i/>
          <w:iCs/>
          <w:noProof/>
          <w:szCs w:val="24"/>
        </w:rPr>
        <w:t>6</w:t>
      </w:r>
      <w:r w:rsidRPr="00912FFE">
        <w:rPr>
          <w:noProof/>
          <w:szCs w:val="24"/>
        </w:rPr>
        <w:t xml:space="preserve"> (2), 66–75. https://doi.org/10.2174/157341210791202645.</w:t>
      </w:r>
    </w:p>
    <w:p w14:paraId="0CE70711"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(128) </w:t>
      </w:r>
      <w:r w:rsidRPr="00912FFE">
        <w:rPr>
          <w:noProof/>
          <w:szCs w:val="24"/>
        </w:rPr>
        <w:tab/>
        <w:t xml:space="preserve">Lee, E. Y.; Lee, M. W.; Fulan, B. M.; Ferguson, A. L.; Wong, G. C. L. What Can Machine Learning Do for Antimicrobial Peptides, and What Can Antimicrobial Peptides Do for Machine Learning? </w:t>
      </w:r>
      <w:r w:rsidRPr="00912FFE">
        <w:rPr>
          <w:i/>
          <w:iCs/>
          <w:noProof/>
          <w:szCs w:val="24"/>
        </w:rPr>
        <w:t>Interface Focus</w:t>
      </w:r>
      <w:r w:rsidRPr="00912FFE">
        <w:rPr>
          <w:noProof/>
          <w:szCs w:val="24"/>
        </w:rPr>
        <w:t xml:space="preserve"> </w:t>
      </w:r>
      <w:r w:rsidRPr="00912FFE">
        <w:rPr>
          <w:b/>
          <w:bCs/>
          <w:noProof/>
          <w:szCs w:val="24"/>
        </w:rPr>
        <w:t>2017</w:t>
      </w:r>
      <w:r w:rsidRPr="00912FFE">
        <w:rPr>
          <w:noProof/>
          <w:szCs w:val="24"/>
        </w:rPr>
        <w:t xml:space="preserve">, </w:t>
      </w:r>
      <w:r w:rsidRPr="00912FFE">
        <w:rPr>
          <w:i/>
          <w:iCs/>
          <w:noProof/>
          <w:szCs w:val="24"/>
        </w:rPr>
        <w:t>7</w:t>
      </w:r>
      <w:r w:rsidRPr="00912FFE">
        <w:rPr>
          <w:noProof/>
          <w:szCs w:val="24"/>
        </w:rPr>
        <w:t xml:space="preserve"> (6), 20160153. https://doi.org/10.1098/rsfs.2016.0153.</w:t>
      </w:r>
    </w:p>
    <w:p w14:paraId="1606E242"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(129) </w:t>
      </w:r>
      <w:r w:rsidRPr="00912FFE">
        <w:rPr>
          <w:noProof/>
          <w:szCs w:val="24"/>
        </w:rPr>
        <w:tab/>
        <w:t xml:space="preserve">Cortes, C.; Vapnik, V. Support-Vector Networks. </w:t>
      </w:r>
      <w:r w:rsidRPr="00912FFE">
        <w:rPr>
          <w:i/>
          <w:iCs/>
          <w:noProof/>
          <w:szCs w:val="24"/>
        </w:rPr>
        <w:t>Mach. Learn.</w:t>
      </w:r>
      <w:r w:rsidRPr="00912FFE">
        <w:rPr>
          <w:noProof/>
          <w:szCs w:val="24"/>
        </w:rPr>
        <w:t xml:space="preserve"> </w:t>
      </w:r>
      <w:r w:rsidRPr="00912FFE">
        <w:rPr>
          <w:b/>
          <w:bCs/>
          <w:noProof/>
          <w:szCs w:val="24"/>
        </w:rPr>
        <w:t>1995</w:t>
      </w:r>
      <w:r w:rsidRPr="00912FFE">
        <w:rPr>
          <w:noProof/>
          <w:szCs w:val="24"/>
        </w:rPr>
        <w:t xml:space="preserve">, </w:t>
      </w:r>
      <w:r w:rsidRPr="00912FFE">
        <w:rPr>
          <w:i/>
          <w:iCs/>
          <w:noProof/>
          <w:szCs w:val="24"/>
        </w:rPr>
        <w:t>20</w:t>
      </w:r>
      <w:r w:rsidRPr="00912FFE">
        <w:rPr>
          <w:noProof/>
          <w:szCs w:val="24"/>
        </w:rPr>
        <w:t xml:space="preserve"> (3), 273–297. https://doi.org/10.1023/A:1022627411411.</w:t>
      </w:r>
    </w:p>
    <w:p w14:paraId="2122B19B"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(130) </w:t>
      </w:r>
      <w:r w:rsidRPr="00912FFE">
        <w:rPr>
          <w:noProof/>
          <w:szCs w:val="24"/>
        </w:rPr>
        <w:tab/>
        <w:t xml:space="preserve">Bezdek, J. C.; Chuah, S. K.; Leep, D. Generalized K-Nearest Neighbor Rules. </w:t>
      </w:r>
      <w:r w:rsidRPr="00912FFE">
        <w:rPr>
          <w:i/>
          <w:iCs/>
          <w:noProof/>
          <w:szCs w:val="24"/>
        </w:rPr>
        <w:t>Fuzzy Sets Syst.</w:t>
      </w:r>
      <w:r w:rsidRPr="00912FFE">
        <w:rPr>
          <w:noProof/>
          <w:szCs w:val="24"/>
        </w:rPr>
        <w:t xml:space="preserve"> </w:t>
      </w:r>
      <w:r w:rsidRPr="00912FFE">
        <w:rPr>
          <w:b/>
          <w:bCs/>
          <w:noProof/>
          <w:szCs w:val="24"/>
        </w:rPr>
        <w:t>1986</w:t>
      </w:r>
      <w:r w:rsidRPr="00912FFE">
        <w:rPr>
          <w:noProof/>
          <w:szCs w:val="24"/>
        </w:rPr>
        <w:t xml:space="preserve">, </w:t>
      </w:r>
      <w:r w:rsidRPr="00912FFE">
        <w:rPr>
          <w:i/>
          <w:iCs/>
          <w:noProof/>
          <w:szCs w:val="24"/>
        </w:rPr>
        <w:t>18</w:t>
      </w:r>
      <w:r w:rsidRPr="00912FFE">
        <w:rPr>
          <w:noProof/>
          <w:szCs w:val="24"/>
        </w:rPr>
        <w:t xml:space="preserve"> (3), 237–256. https://doi.org/10.1016/0165-0114(86)90004-7.</w:t>
      </w:r>
    </w:p>
    <w:p w14:paraId="4B04408E"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(131) </w:t>
      </w:r>
      <w:r w:rsidRPr="00912FFE">
        <w:rPr>
          <w:noProof/>
          <w:szCs w:val="24"/>
        </w:rPr>
        <w:tab/>
        <w:t xml:space="preserve">Biau, G.; Scornet, E. A Random Forest Guided Tour. </w:t>
      </w:r>
      <w:r w:rsidRPr="00912FFE">
        <w:rPr>
          <w:i/>
          <w:iCs/>
          <w:noProof/>
          <w:szCs w:val="24"/>
        </w:rPr>
        <w:t>Test</w:t>
      </w:r>
      <w:r w:rsidRPr="00912FFE">
        <w:rPr>
          <w:noProof/>
          <w:szCs w:val="24"/>
        </w:rPr>
        <w:t xml:space="preserve"> </w:t>
      </w:r>
      <w:r w:rsidRPr="00912FFE">
        <w:rPr>
          <w:b/>
          <w:bCs/>
          <w:noProof/>
          <w:szCs w:val="24"/>
        </w:rPr>
        <w:t>2016</w:t>
      </w:r>
      <w:r w:rsidRPr="00912FFE">
        <w:rPr>
          <w:noProof/>
          <w:szCs w:val="24"/>
        </w:rPr>
        <w:t xml:space="preserve">, </w:t>
      </w:r>
      <w:r w:rsidRPr="00912FFE">
        <w:rPr>
          <w:i/>
          <w:iCs/>
          <w:noProof/>
          <w:szCs w:val="24"/>
        </w:rPr>
        <w:t>25</w:t>
      </w:r>
      <w:r w:rsidRPr="00912FFE">
        <w:rPr>
          <w:noProof/>
          <w:szCs w:val="24"/>
        </w:rPr>
        <w:t xml:space="preserve"> (2), 197–227. https://doi.org/10.1007/s11749-016-0481-7.</w:t>
      </w:r>
    </w:p>
    <w:p w14:paraId="7D2D58BB"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(132) </w:t>
      </w:r>
      <w:r w:rsidRPr="00912FFE">
        <w:rPr>
          <w:noProof/>
          <w:szCs w:val="24"/>
        </w:rPr>
        <w:tab/>
        <w:t xml:space="preserve">Sargent, D. J. Comparison of Artificial Neural Networks with Other Statistical Approaches. </w:t>
      </w:r>
      <w:r w:rsidRPr="00912FFE">
        <w:rPr>
          <w:i/>
          <w:iCs/>
          <w:noProof/>
          <w:szCs w:val="24"/>
        </w:rPr>
        <w:t>Cancer</w:t>
      </w:r>
      <w:r w:rsidRPr="00912FFE">
        <w:rPr>
          <w:noProof/>
          <w:szCs w:val="24"/>
        </w:rPr>
        <w:t xml:space="preserve"> </w:t>
      </w:r>
      <w:r w:rsidRPr="00912FFE">
        <w:rPr>
          <w:b/>
          <w:bCs/>
          <w:noProof/>
          <w:szCs w:val="24"/>
        </w:rPr>
        <w:t>2001</w:t>
      </w:r>
      <w:r w:rsidRPr="00912FFE">
        <w:rPr>
          <w:noProof/>
          <w:szCs w:val="24"/>
        </w:rPr>
        <w:t xml:space="preserve">, </w:t>
      </w:r>
      <w:r w:rsidRPr="00912FFE">
        <w:rPr>
          <w:i/>
          <w:iCs/>
          <w:noProof/>
          <w:szCs w:val="24"/>
        </w:rPr>
        <w:t>91</w:t>
      </w:r>
      <w:r w:rsidRPr="00912FFE">
        <w:rPr>
          <w:noProof/>
          <w:szCs w:val="24"/>
        </w:rPr>
        <w:t xml:space="preserve"> (S8), 1636–1642. https://doi.org/10.1002/1097-0142(20010415)91:8+&lt;1636::AID-CNCR1176&gt;3.0.CO;2-D.</w:t>
      </w:r>
    </w:p>
    <w:p w14:paraId="4FB1F345"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(133) </w:t>
      </w:r>
      <w:r w:rsidRPr="00912FFE">
        <w:rPr>
          <w:noProof/>
          <w:szCs w:val="24"/>
        </w:rPr>
        <w:tab/>
        <w:t xml:space="preserve">Vijayabaskar, M. S. Introduction to Hidden Markov Models and Its Applications in Biology. </w:t>
      </w:r>
      <w:r w:rsidRPr="00912FFE">
        <w:rPr>
          <w:noProof/>
          <w:szCs w:val="24"/>
        </w:rPr>
        <w:lastRenderedPageBreak/>
        <w:t xml:space="preserve">In </w:t>
      </w:r>
      <w:r w:rsidRPr="00912FFE">
        <w:rPr>
          <w:i/>
          <w:iCs/>
          <w:noProof/>
          <w:szCs w:val="24"/>
        </w:rPr>
        <w:t>Methods in Molecular Biology</w:t>
      </w:r>
      <w:r w:rsidRPr="00912FFE">
        <w:rPr>
          <w:noProof/>
          <w:szCs w:val="24"/>
        </w:rPr>
        <w:t>; Humana Press Inc., 2017; Vol. 1552, pp 1–12. https://doi.org/10.1007/978-1-4939-6753-7_1.</w:t>
      </w:r>
    </w:p>
    <w:p w14:paraId="78CE8949"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(134) </w:t>
      </w:r>
      <w:r w:rsidRPr="00912FFE">
        <w:rPr>
          <w:noProof/>
          <w:szCs w:val="24"/>
        </w:rPr>
        <w:tab/>
        <w:t xml:space="preserve">Wang, Z.; Wang, G. APD: The Antimicrobial Peptide Database. </w:t>
      </w:r>
      <w:r w:rsidRPr="00912FFE">
        <w:rPr>
          <w:i/>
          <w:iCs/>
          <w:noProof/>
          <w:szCs w:val="24"/>
        </w:rPr>
        <w:t>Nucleic Acids Res.</w:t>
      </w:r>
      <w:r w:rsidRPr="00912FFE">
        <w:rPr>
          <w:noProof/>
          <w:szCs w:val="24"/>
        </w:rPr>
        <w:t xml:space="preserve"> </w:t>
      </w:r>
      <w:r w:rsidRPr="00912FFE">
        <w:rPr>
          <w:b/>
          <w:bCs/>
          <w:noProof/>
          <w:szCs w:val="24"/>
        </w:rPr>
        <w:t>2004</w:t>
      </w:r>
      <w:r w:rsidRPr="00912FFE">
        <w:rPr>
          <w:noProof/>
          <w:szCs w:val="24"/>
        </w:rPr>
        <w:t xml:space="preserve">, </w:t>
      </w:r>
      <w:r w:rsidRPr="00912FFE">
        <w:rPr>
          <w:i/>
          <w:iCs/>
          <w:noProof/>
          <w:szCs w:val="24"/>
        </w:rPr>
        <w:t>32</w:t>
      </w:r>
      <w:r w:rsidRPr="00912FFE">
        <w:rPr>
          <w:noProof/>
          <w:szCs w:val="24"/>
        </w:rPr>
        <w:t xml:space="preserve"> (Database issue), D590-2. https://doi.org/10.1093/nar/gkh025.</w:t>
      </w:r>
    </w:p>
    <w:p w14:paraId="2675B2F4"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(135) </w:t>
      </w:r>
      <w:r w:rsidRPr="00912FFE">
        <w:rPr>
          <w:noProof/>
          <w:szCs w:val="24"/>
        </w:rPr>
        <w:tab/>
        <w:t xml:space="preserve">Cherkasov, A.; Hilpert, K.; Jenssen, H.; Fjell, C. D.; Waldbrook, M.; Mullaly, S. C.; Volkmer, R.; Hancock, R. E. W. Use of Artificial Intelligence in the Design of Small Peptide Antibiotics Effective against a Broad Spectrum of Highly Antibiotic-Resistant Superbugs. </w:t>
      </w:r>
      <w:r w:rsidRPr="00912FFE">
        <w:rPr>
          <w:i/>
          <w:iCs/>
          <w:noProof/>
          <w:szCs w:val="24"/>
        </w:rPr>
        <w:t>ACS Chem. Biol.</w:t>
      </w:r>
      <w:r w:rsidRPr="00912FFE">
        <w:rPr>
          <w:noProof/>
          <w:szCs w:val="24"/>
        </w:rPr>
        <w:t xml:space="preserve"> </w:t>
      </w:r>
      <w:r w:rsidRPr="00912FFE">
        <w:rPr>
          <w:b/>
          <w:bCs/>
          <w:noProof/>
          <w:szCs w:val="24"/>
        </w:rPr>
        <w:t>2009</w:t>
      </w:r>
      <w:r w:rsidRPr="00912FFE">
        <w:rPr>
          <w:noProof/>
          <w:szCs w:val="24"/>
        </w:rPr>
        <w:t xml:space="preserve">, </w:t>
      </w:r>
      <w:r w:rsidRPr="00912FFE">
        <w:rPr>
          <w:i/>
          <w:iCs/>
          <w:noProof/>
          <w:szCs w:val="24"/>
        </w:rPr>
        <w:t>4</w:t>
      </w:r>
      <w:r w:rsidRPr="00912FFE">
        <w:rPr>
          <w:noProof/>
          <w:szCs w:val="24"/>
        </w:rPr>
        <w:t xml:space="preserve"> (1), 65–74. https://doi.org/10.1021/cb800240j.</w:t>
      </w:r>
    </w:p>
    <w:p w14:paraId="0C5EF0D1"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(136) </w:t>
      </w:r>
      <w:r w:rsidRPr="00912FFE">
        <w:rPr>
          <w:noProof/>
          <w:szCs w:val="24"/>
        </w:rPr>
        <w:tab/>
        <w:t>Lee, E. Y.; Fulan, B. M.; Wong, G. C. L.; Ferguson, A. L. Mapping Membrane Activity in Undiscovered Peptide Sequence Space Using Machine Learning. https://doi.org/10.1073/pnas.1609893113.</w:t>
      </w:r>
    </w:p>
    <w:p w14:paraId="314941EA"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(137) </w:t>
      </w:r>
      <w:r w:rsidRPr="00912FFE">
        <w:rPr>
          <w:noProof/>
          <w:szCs w:val="24"/>
        </w:rPr>
        <w:tab/>
        <w:t xml:space="preserve">Polanco, C.; Samaniego, J. L. Detection of Selective Cationic Amphipatic Antibacterial Peptides by Hidden Markov Models. </w:t>
      </w:r>
      <w:r w:rsidRPr="00912FFE">
        <w:rPr>
          <w:i/>
          <w:iCs/>
          <w:noProof/>
          <w:szCs w:val="24"/>
        </w:rPr>
        <w:t>Acta Biochim Pol.</w:t>
      </w:r>
      <w:r w:rsidRPr="00912FFE">
        <w:rPr>
          <w:noProof/>
          <w:szCs w:val="24"/>
        </w:rPr>
        <w:t xml:space="preserve"> </w:t>
      </w:r>
      <w:r w:rsidRPr="00912FFE">
        <w:rPr>
          <w:b/>
          <w:bCs/>
          <w:noProof/>
          <w:szCs w:val="24"/>
        </w:rPr>
        <w:t>2009</w:t>
      </w:r>
      <w:r w:rsidRPr="00912FFE">
        <w:rPr>
          <w:noProof/>
          <w:szCs w:val="24"/>
        </w:rPr>
        <w:t xml:space="preserve">, </w:t>
      </w:r>
      <w:r w:rsidRPr="00912FFE">
        <w:rPr>
          <w:i/>
          <w:iCs/>
          <w:noProof/>
          <w:szCs w:val="24"/>
        </w:rPr>
        <w:t>56</w:t>
      </w:r>
      <w:r w:rsidRPr="00912FFE">
        <w:rPr>
          <w:noProof/>
          <w:szCs w:val="24"/>
        </w:rPr>
        <w:t xml:space="preserve"> (1), 167–176. https://doi.org/10.18388/abo.2009_2529.</w:t>
      </w:r>
    </w:p>
    <w:p w14:paraId="62728C7E"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(138) </w:t>
      </w:r>
      <w:r w:rsidRPr="00912FFE">
        <w:rPr>
          <w:noProof/>
          <w:szCs w:val="24"/>
        </w:rPr>
        <w:tab/>
        <w:t xml:space="preserve">Veltri, D.; Kamath, U.; Shehu, A. Deep Learning Improves Antimicrobial Peptide Recognition. </w:t>
      </w:r>
      <w:r w:rsidRPr="00912FFE">
        <w:rPr>
          <w:i/>
          <w:iCs/>
          <w:noProof/>
          <w:szCs w:val="24"/>
        </w:rPr>
        <w:t>Bioinformatics</w:t>
      </w:r>
      <w:r w:rsidRPr="00912FFE">
        <w:rPr>
          <w:noProof/>
          <w:szCs w:val="24"/>
        </w:rPr>
        <w:t xml:space="preserve"> </w:t>
      </w:r>
      <w:r w:rsidRPr="00912FFE">
        <w:rPr>
          <w:b/>
          <w:bCs/>
          <w:noProof/>
          <w:szCs w:val="24"/>
        </w:rPr>
        <w:t>2018</w:t>
      </w:r>
      <w:r w:rsidRPr="00912FFE">
        <w:rPr>
          <w:noProof/>
          <w:szCs w:val="24"/>
        </w:rPr>
        <w:t xml:space="preserve">, </w:t>
      </w:r>
      <w:r w:rsidRPr="00912FFE">
        <w:rPr>
          <w:i/>
          <w:iCs/>
          <w:noProof/>
          <w:szCs w:val="24"/>
        </w:rPr>
        <w:t>34</w:t>
      </w:r>
      <w:r w:rsidRPr="00912FFE">
        <w:rPr>
          <w:noProof/>
          <w:szCs w:val="24"/>
        </w:rPr>
        <w:t xml:space="preserve"> (16), 2740–2747. https://doi.org/10.1093/bioinformatics/bty179.</w:t>
      </w:r>
    </w:p>
    <w:p w14:paraId="5F84997C"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(139) </w:t>
      </w:r>
      <w:r w:rsidRPr="00912FFE">
        <w:rPr>
          <w:noProof/>
          <w:szCs w:val="24"/>
        </w:rPr>
        <w:tab/>
        <w:t xml:space="preserve">Müller, A. T.; Hiss, J. A.; Schneider, G. Recurrent Neural Network Model for Constructive Peptide Design. </w:t>
      </w:r>
      <w:r w:rsidRPr="00912FFE">
        <w:rPr>
          <w:i/>
          <w:iCs/>
          <w:noProof/>
          <w:szCs w:val="24"/>
        </w:rPr>
        <w:t>J. Chem. Inf. Model.</w:t>
      </w:r>
      <w:r w:rsidRPr="00912FFE">
        <w:rPr>
          <w:noProof/>
          <w:szCs w:val="24"/>
        </w:rPr>
        <w:t xml:space="preserve"> </w:t>
      </w:r>
      <w:r w:rsidRPr="00912FFE">
        <w:rPr>
          <w:b/>
          <w:bCs/>
          <w:noProof/>
          <w:szCs w:val="24"/>
        </w:rPr>
        <w:t>2018</w:t>
      </w:r>
      <w:r w:rsidRPr="00912FFE">
        <w:rPr>
          <w:noProof/>
          <w:szCs w:val="24"/>
        </w:rPr>
        <w:t xml:space="preserve">, </w:t>
      </w:r>
      <w:r w:rsidRPr="00912FFE">
        <w:rPr>
          <w:i/>
          <w:iCs/>
          <w:noProof/>
          <w:szCs w:val="24"/>
        </w:rPr>
        <w:t>58</w:t>
      </w:r>
      <w:r w:rsidRPr="00912FFE">
        <w:rPr>
          <w:noProof/>
          <w:szCs w:val="24"/>
        </w:rPr>
        <w:t xml:space="preserve"> (2), 472–479. https://doi.org/10.1021/acs.jcim.7b00414.</w:t>
      </w:r>
    </w:p>
    <w:p w14:paraId="7D011078"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(140) </w:t>
      </w:r>
      <w:r w:rsidRPr="00912FFE">
        <w:rPr>
          <w:noProof/>
          <w:szCs w:val="24"/>
        </w:rPr>
        <w:tab/>
        <w:t xml:space="preserve">Fjell, C. D.; Hiss, J. A.; Hancock, R. E. W.; Schneider, G. Designing Antimicrobial Peptides: Form Follows Function. </w:t>
      </w:r>
      <w:r w:rsidRPr="00912FFE">
        <w:rPr>
          <w:i/>
          <w:iCs/>
          <w:noProof/>
          <w:szCs w:val="24"/>
        </w:rPr>
        <w:t>Nat. Rev. Drug Discov.</w:t>
      </w:r>
      <w:r w:rsidRPr="00912FFE">
        <w:rPr>
          <w:noProof/>
          <w:szCs w:val="24"/>
        </w:rPr>
        <w:t xml:space="preserve"> </w:t>
      </w:r>
      <w:r w:rsidRPr="00912FFE">
        <w:rPr>
          <w:b/>
          <w:bCs/>
          <w:noProof/>
          <w:szCs w:val="24"/>
        </w:rPr>
        <w:t>2012</w:t>
      </w:r>
      <w:r w:rsidRPr="00912FFE">
        <w:rPr>
          <w:noProof/>
          <w:szCs w:val="24"/>
        </w:rPr>
        <w:t xml:space="preserve">, </w:t>
      </w:r>
      <w:r w:rsidRPr="00912FFE">
        <w:rPr>
          <w:i/>
          <w:iCs/>
          <w:noProof/>
          <w:szCs w:val="24"/>
        </w:rPr>
        <w:t>11</w:t>
      </w:r>
      <w:r w:rsidRPr="00912FFE">
        <w:rPr>
          <w:noProof/>
          <w:szCs w:val="24"/>
        </w:rPr>
        <w:t xml:space="preserve"> (1), 37–51. https://doi.org/10.1038/nrd3591.</w:t>
      </w:r>
    </w:p>
    <w:p w14:paraId="2CE1D769"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(141) </w:t>
      </w:r>
      <w:r w:rsidRPr="00912FFE">
        <w:rPr>
          <w:noProof/>
          <w:szCs w:val="24"/>
        </w:rPr>
        <w:tab/>
        <w:t xml:space="preserve">Graves, A. Generating Sequences With Recurrent Neural Networks. </w:t>
      </w:r>
      <w:r w:rsidRPr="00912FFE">
        <w:rPr>
          <w:i/>
          <w:iCs/>
          <w:noProof/>
          <w:szCs w:val="24"/>
        </w:rPr>
        <w:t>arXiv Prepr.</w:t>
      </w:r>
      <w:r w:rsidRPr="00912FFE">
        <w:rPr>
          <w:noProof/>
          <w:szCs w:val="24"/>
        </w:rPr>
        <w:t xml:space="preserve"> </w:t>
      </w:r>
      <w:r w:rsidRPr="00912FFE">
        <w:rPr>
          <w:b/>
          <w:bCs/>
          <w:noProof/>
          <w:szCs w:val="24"/>
        </w:rPr>
        <w:t>2013</w:t>
      </w:r>
      <w:r w:rsidRPr="00912FFE">
        <w:rPr>
          <w:noProof/>
          <w:szCs w:val="24"/>
        </w:rPr>
        <w:t xml:space="preserve">, </w:t>
      </w:r>
      <w:r w:rsidRPr="00912FFE">
        <w:rPr>
          <w:i/>
          <w:iCs/>
          <w:noProof/>
          <w:szCs w:val="24"/>
        </w:rPr>
        <w:t>arXiv:1308</w:t>
      </w:r>
      <w:r w:rsidRPr="00912FFE">
        <w:rPr>
          <w:noProof/>
          <w:szCs w:val="24"/>
        </w:rPr>
        <w:t>.</w:t>
      </w:r>
    </w:p>
    <w:p w14:paraId="6F11AEE2"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(142) </w:t>
      </w:r>
      <w:r w:rsidRPr="00912FFE">
        <w:rPr>
          <w:noProof/>
          <w:szCs w:val="24"/>
        </w:rPr>
        <w:tab/>
        <w:t xml:space="preserve">Chou, K. C. Some Remarks on Protein Attribute Prediction and Pseudo Amino Acid Composition. </w:t>
      </w:r>
      <w:r w:rsidRPr="00912FFE">
        <w:rPr>
          <w:i/>
          <w:iCs/>
          <w:noProof/>
          <w:szCs w:val="24"/>
        </w:rPr>
        <w:t>J. Theor. Biol.</w:t>
      </w:r>
      <w:r w:rsidRPr="00912FFE">
        <w:rPr>
          <w:noProof/>
          <w:szCs w:val="24"/>
        </w:rPr>
        <w:t xml:space="preserve"> </w:t>
      </w:r>
      <w:r w:rsidRPr="00912FFE">
        <w:rPr>
          <w:b/>
          <w:bCs/>
          <w:noProof/>
          <w:szCs w:val="24"/>
        </w:rPr>
        <w:t>2011</w:t>
      </w:r>
      <w:r w:rsidRPr="00912FFE">
        <w:rPr>
          <w:noProof/>
          <w:szCs w:val="24"/>
        </w:rPr>
        <w:t xml:space="preserve">, </w:t>
      </w:r>
      <w:r w:rsidRPr="00912FFE">
        <w:rPr>
          <w:i/>
          <w:iCs/>
          <w:noProof/>
          <w:szCs w:val="24"/>
        </w:rPr>
        <w:t>273</w:t>
      </w:r>
      <w:r w:rsidRPr="00912FFE">
        <w:rPr>
          <w:noProof/>
          <w:szCs w:val="24"/>
        </w:rPr>
        <w:t xml:space="preserve"> (1), 236–247. https://doi.org/10.1016/j.jtbi.2010.12.024.</w:t>
      </w:r>
    </w:p>
    <w:p w14:paraId="146F08D8"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(143) </w:t>
      </w:r>
      <w:r w:rsidRPr="00912FFE">
        <w:rPr>
          <w:noProof/>
          <w:szCs w:val="24"/>
        </w:rPr>
        <w:tab/>
        <w:t xml:space="preserve">Reimann, C.; Filzmoser, P.; Garrett, R. G.; Dutter, R. Discriminant Analysis (DA) and Other Knowledge-Based Classification Methods. In </w:t>
      </w:r>
      <w:r w:rsidRPr="00912FFE">
        <w:rPr>
          <w:i/>
          <w:iCs/>
          <w:noProof/>
          <w:szCs w:val="24"/>
        </w:rPr>
        <w:t>Statistical Data Analysis Explained</w:t>
      </w:r>
      <w:r w:rsidRPr="00912FFE">
        <w:rPr>
          <w:noProof/>
          <w:szCs w:val="24"/>
        </w:rPr>
        <w:t>; John Wiley &amp; Sons, Ltd, 2008; pp 269–280. https://doi.org/10.1002/9780470987605.ch17.</w:t>
      </w:r>
    </w:p>
    <w:p w14:paraId="02B2F9F3"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(144) </w:t>
      </w:r>
      <w:r w:rsidRPr="00912FFE">
        <w:rPr>
          <w:noProof/>
          <w:szCs w:val="24"/>
        </w:rPr>
        <w:tab/>
        <w:t xml:space="preserve">Cao, Y.; Miao, Q.-G.; Liu, J.-C.; Gao, L. Advance and Prospects of AdaBoost Algorithm. </w:t>
      </w:r>
      <w:r w:rsidRPr="00912FFE">
        <w:rPr>
          <w:i/>
          <w:iCs/>
          <w:noProof/>
          <w:szCs w:val="24"/>
        </w:rPr>
        <w:t>Acta Autom. Sin.</w:t>
      </w:r>
      <w:r w:rsidRPr="00912FFE">
        <w:rPr>
          <w:noProof/>
          <w:szCs w:val="24"/>
        </w:rPr>
        <w:t xml:space="preserve"> </w:t>
      </w:r>
      <w:r w:rsidRPr="00912FFE">
        <w:rPr>
          <w:b/>
          <w:bCs/>
          <w:noProof/>
          <w:szCs w:val="24"/>
        </w:rPr>
        <w:t>2013</w:t>
      </w:r>
      <w:r w:rsidRPr="00912FFE">
        <w:rPr>
          <w:noProof/>
          <w:szCs w:val="24"/>
        </w:rPr>
        <w:t xml:space="preserve">, </w:t>
      </w:r>
      <w:r w:rsidRPr="00912FFE">
        <w:rPr>
          <w:i/>
          <w:iCs/>
          <w:noProof/>
          <w:szCs w:val="24"/>
        </w:rPr>
        <w:t>39</w:t>
      </w:r>
      <w:r w:rsidRPr="00912FFE">
        <w:rPr>
          <w:noProof/>
          <w:szCs w:val="24"/>
        </w:rPr>
        <w:t xml:space="preserve"> (6), 745–758. https://doi.org/10.1016/s1874-1029(13)60052-x.</w:t>
      </w:r>
    </w:p>
    <w:p w14:paraId="272B8A96"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(145) </w:t>
      </w:r>
      <w:r w:rsidRPr="00912FFE">
        <w:rPr>
          <w:noProof/>
          <w:szCs w:val="24"/>
        </w:rPr>
        <w:tab/>
        <w:t xml:space="preserve">Brown, P. F.; DeSouza, P. V; Mercer, R. L.; Della Pietra, V. J.; Lai, J. C. Class-Based n-Gram Models of Natural Language. </w:t>
      </w:r>
      <w:r w:rsidRPr="00912FFE">
        <w:rPr>
          <w:i/>
          <w:iCs/>
          <w:noProof/>
          <w:szCs w:val="24"/>
        </w:rPr>
        <w:t>Comput. Linguist.</w:t>
      </w:r>
      <w:r w:rsidRPr="00912FFE">
        <w:rPr>
          <w:noProof/>
          <w:szCs w:val="24"/>
        </w:rPr>
        <w:t xml:space="preserve"> </w:t>
      </w:r>
      <w:r w:rsidRPr="00912FFE">
        <w:rPr>
          <w:b/>
          <w:bCs/>
          <w:noProof/>
          <w:szCs w:val="24"/>
        </w:rPr>
        <w:t>1992</w:t>
      </w:r>
      <w:r w:rsidRPr="00912FFE">
        <w:rPr>
          <w:noProof/>
          <w:szCs w:val="24"/>
        </w:rPr>
        <w:t xml:space="preserve">, </w:t>
      </w:r>
      <w:r w:rsidRPr="00912FFE">
        <w:rPr>
          <w:i/>
          <w:iCs/>
          <w:noProof/>
          <w:szCs w:val="24"/>
        </w:rPr>
        <w:t>18</w:t>
      </w:r>
      <w:r w:rsidRPr="00912FFE">
        <w:rPr>
          <w:noProof/>
          <w:szCs w:val="24"/>
        </w:rPr>
        <w:t xml:space="preserve"> (4), 467–480. https://doi.org/10.5555/176313.176313.</w:t>
      </w:r>
    </w:p>
    <w:p w14:paraId="4C7075E2"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(146) </w:t>
      </w:r>
      <w:r w:rsidRPr="00912FFE">
        <w:rPr>
          <w:noProof/>
          <w:szCs w:val="24"/>
        </w:rPr>
        <w:tab/>
        <w:t xml:space="preserve">Pane, K.; Sgambati, V.; Zanfardino, A.; Smaldone, G.; Cafaro, V.; Angrisano, T.; Pedone, E.; Di Gaetano, S.; Capasso, D.; Haney, E. F.; Izzo, V.; Varcamonti, M.; Notomista, E.; Hancock, R. E. W.; Di Donato, A.; Pizzo, E. A New Cryptic Cationic Antimicrobial Peptide from Human Apolipoprotein E with Antibacterial Activity and Immunomodulatory Effects on Human Cells. </w:t>
      </w:r>
      <w:r w:rsidRPr="00912FFE">
        <w:rPr>
          <w:i/>
          <w:iCs/>
          <w:noProof/>
          <w:szCs w:val="24"/>
        </w:rPr>
        <w:t>FEBS J.</w:t>
      </w:r>
      <w:r w:rsidRPr="00912FFE">
        <w:rPr>
          <w:noProof/>
          <w:szCs w:val="24"/>
        </w:rPr>
        <w:t xml:space="preserve"> </w:t>
      </w:r>
      <w:r w:rsidRPr="00912FFE">
        <w:rPr>
          <w:b/>
          <w:bCs/>
          <w:noProof/>
          <w:szCs w:val="24"/>
        </w:rPr>
        <w:t>2016</w:t>
      </w:r>
      <w:r w:rsidRPr="00912FFE">
        <w:rPr>
          <w:noProof/>
          <w:szCs w:val="24"/>
        </w:rPr>
        <w:t xml:space="preserve">, </w:t>
      </w:r>
      <w:r w:rsidRPr="00912FFE">
        <w:rPr>
          <w:i/>
          <w:iCs/>
          <w:noProof/>
          <w:szCs w:val="24"/>
        </w:rPr>
        <w:t>283</w:t>
      </w:r>
      <w:r w:rsidRPr="00912FFE">
        <w:rPr>
          <w:noProof/>
          <w:szCs w:val="24"/>
        </w:rPr>
        <w:t xml:space="preserve"> (11), 2115–2131. https://doi.org/10.1111/febs.13725.</w:t>
      </w:r>
    </w:p>
    <w:p w14:paraId="11674455"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(147) </w:t>
      </w:r>
      <w:r w:rsidRPr="00912FFE">
        <w:rPr>
          <w:noProof/>
          <w:szCs w:val="24"/>
        </w:rPr>
        <w:tab/>
        <w:t xml:space="preserve">Papareddy, P.; Rydengård, V.; Pasupuleti, M.; Walse, B.; Mörgelin, M.; Chalupka, A.; Malmsten, M.; Schmidtchen, A. Proteolysis of Human Thrombin Generates Novel Host Defense Peptides. </w:t>
      </w:r>
      <w:r w:rsidRPr="00912FFE">
        <w:rPr>
          <w:i/>
          <w:iCs/>
          <w:noProof/>
          <w:szCs w:val="24"/>
        </w:rPr>
        <w:t>PLoS Pathog.</w:t>
      </w:r>
      <w:r w:rsidRPr="00912FFE">
        <w:rPr>
          <w:noProof/>
          <w:szCs w:val="24"/>
        </w:rPr>
        <w:t xml:space="preserve"> </w:t>
      </w:r>
      <w:r w:rsidRPr="00912FFE">
        <w:rPr>
          <w:b/>
          <w:bCs/>
          <w:noProof/>
          <w:szCs w:val="24"/>
        </w:rPr>
        <w:t>2010</w:t>
      </w:r>
      <w:r w:rsidRPr="00912FFE">
        <w:rPr>
          <w:noProof/>
          <w:szCs w:val="24"/>
        </w:rPr>
        <w:t xml:space="preserve">, </w:t>
      </w:r>
      <w:r w:rsidRPr="00912FFE">
        <w:rPr>
          <w:i/>
          <w:iCs/>
          <w:noProof/>
          <w:szCs w:val="24"/>
        </w:rPr>
        <w:t>6</w:t>
      </w:r>
      <w:r w:rsidRPr="00912FFE">
        <w:rPr>
          <w:noProof/>
          <w:szCs w:val="24"/>
        </w:rPr>
        <w:t xml:space="preserve"> (4), e1000857. https://doi.org/10.1371/journal.ppat.1000857.</w:t>
      </w:r>
    </w:p>
    <w:p w14:paraId="41B53391"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(148) </w:t>
      </w:r>
      <w:r w:rsidRPr="00912FFE">
        <w:rPr>
          <w:noProof/>
          <w:szCs w:val="24"/>
        </w:rPr>
        <w:tab/>
        <w:t xml:space="preserve">Oberleitner, L.; Poschmann, G.; Macorano, L.; Schott-Verdugo, S.; Gohlke, H.; Stühler, K.; Nowack, E. C. M. The Puzzle of Metabolite Exchange and Identification of Putative Octotrico Peptide Repeat Expression Regulators in the Nascent Photosynthetic Organelles of Paulinella Chromatophora. </w:t>
      </w:r>
      <w:r w:rsidRPr="00912FFE">
        <w:rPr>
          <w:i/>
          <w:iCs/>
          <w:noProof/>
          <w:szCs w:val="24"/>
        </w:rPr>
        <w:t>Front. Microbiol.</w:t>
      </w:r>
      <w:r w:rsidRPr="00912FFE">
        <w:rPr>
          <w:noProof/>
          <w:szCs w:val="24"/>
        </w:rPr>
        <w:t xml:space="preserve"> </w:t>
      </w:r>
      <w:r w:rsidRPr="00912FFE">
        <w:rPr>
          <w:b/>
          <w:bCs/>
          <w:noProof/>
          <w:szCs w:val="24"/>
        </w:rPr>
        <w:t>2020</w:t>
      </w:r>
      <w:r w:rsidRPr="00912FFE">
        <w:rPr>
          <w:noProof/>
          <w:szCs w:val="24"/>
        </w:rPr>
        <w:t xml:space="preserve">, </w:t>
      </w:r>
      <w:r w:rsidRPr="00912FFE">
        <w:rPr>
          <w:i/>
          <w:iCs/>
          <w:noProof/>
          <w:szCs w:val="24"/>
        </w:rPr>
        <w:t>11</w:t>
      </w:r>
      <w:r w:rsidRPr="00912FFE">
        <w:rPr>
          <w:noProof/>
          <w:szCs w:val="24"/>
        </w:rPr>
        <w:t xml:space="preserve">, 607182. </w:t>
      </w:r>
      <w:r w:rsidRPr="00912FFE">
        <w:rPr>
          <w:noProof/>
          <w:szCs w:val="24"/>
        </w:rPr>
        <w:lastRenderedPageBreak/>
        <w:t>https://doi.org/10.3389/fmicb.2020.607182.</w:t>
      </w:r>
    </w:p>
    <w:p w14:paraId="5F880E7A"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(149) </w:t>
      </w:r>
      <w:r w:rsidRPr="00912FFE">
        <w:rPr>
          <w:noProof/>
          <w:szCs w:val="24"/>
        </w:rPr>
        <w:tab/>
        <w:t xml:space="preserve">Khan, S. Comparing Machine Learning and Ensemble Learning in the Field of Football. </w:t>
      </w:r>
      <w:r w:rsidRPr="00912FFE">
        <w:rPr>
          <w:i/>
          <w:iCs/>
          <w:noProof/>
          <w:szCs w:val="24"/>
        </w:rPr>
        <w:t>Int. J. Electr. Comput. Eng.</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9</w:t>
      </w:r>
      <w:r w:rsidRPr="00912FFE">
        <w:rPr>
          <w:noProof/>
          <w:szCs w:val="24"/>
        </w:rPr>
        <w:t xml:space="preserve"> (5), 4321–4325. https://doi.org/10.11591/ijece.v9i5.pp4321-4325.</w:t>
      </w:r>
    </w:p>
    <w:p w14:paraId="01A03F22"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(150) </w:t>
      </w:r>
      <w:r w:rsidRPr="00912FFE">
        <w:rPr>
          <w:noProof/>
          <w:szCs w:val="24"/>
        </w:rPr>
        <w:tab/>
        <w:t xml:space="preserve">Li, W.; Yin, Y.; Quan, X.; Zhang, H. Gene Expression Value Prediction Based on XGBoost Algorithm. </w:t>
      </w:r>
      <w:r w:rsidRPr="00912FFE">
        <w:rPr>
          <w:i/>
          <w:iCs/>
          <w:noProof/>
          <w:szCs w:val="24"/>
        </w:rPr>
        <w:t>Front. Genet.</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10</w:t>
      </w:r>
      <w:r w:rsidRPr="00912FFE">
        <w:rPr>
          <w:noProof/>
          <w:szCs w:val="24"/>
        </w:rPr>
        <w:t>, 1077. https://doi.org/10.3389/fgene.2019.01077.</w:t>
      </w:r>
    </w:p>
    <w:p w14:paraId="7BA2A289"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(151) </w:t>
      </w:r>
      <w:r w:rsidRPr="00912FFE">
        <w:rPr>
          <w:noProof/>
          <w:szCs w:val="24"/>
        </w:rPr>
        <w:tab/>
        <w:t xml:space="preserve">Ogunleye, A.; Wang, Q. G. XGBoost Model for Chronic Kidney Disease Diagnosis. </w:t>
      </w:r>
      <w:r w:rsidRPr="00912FFE">
        <w:rPr>
          <w:i/>
          <w:iCs/>
          <w:noProof/>
          <w:szCs w:val="24"/>
        </w:rPr>
        <w:t>IEEE/ACM Trans. Comput. Biol. Bioinforma.</w:t>
      </w:r>
      <w:r w:rsidRPr="00912FFE">
        <w:rPr>
          <w:noProof/>
          <w:szCs w:val="24"/>
        </w:rPr>
        <w:t xml:space="preserve"> </w:t>
      </w:r>
      <w:r w:rsidRPr="00912FFE">
        <w:rPr>
          <w:b/>
          <w:bCs/>
          <w:noProof/>
          <w:szCs w:val="24"/>
        </w:rPr>
        <w:t>2020</w:t>
      </w:r>
      <w:r w:rsidRPr="00912FFE">
        <w:rPr>
          <w:noProof/>
          <w:szCs w:val="24"/>
        </w:rPr>
        <w:t xml:space="preserve">, </w:t>
      </w:r>
      <w:r w:rsidRPr="00912FFE">
        <w:rPr>
          <w:i/>
          <w:iCs/>
          <w:noProof/>
          <w:szCs w:val="24"/>
        </w:rPr>
        <w:t>17</w:t>
      </w:r>
      <w:r w:rsidRPr="00912FFE">
        <w:rPr>
          <w:noProof/>
          <w:szCs w:val="24"/>
        </w:rPr>
        <w:t xml:space="preserve"> (6), 2131–2140. https://doi.org/10.1109/TCBB.2019.2911071.</w:t>
      </w:r>
    </w:p>
    <w:p w14:paraId="294261E6"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(152) </w:t>
      </w:r>
      <w:r w:rsidRPr="00912FFE">
        <w:rPr>
          <w:noProof/>
          <w:szCs w:val="24"/>
        </w:rPr>
        <w:tab/>
        <w:t xml:space="preserve">Gumus, M.; Kiran, M. S. Crude Oil Price Forecasting Using XGBoost. In </w:t>
      </w:r>
      <w:r w:rsidRPr="00912FFE">
        <w:rPr>
          <w:i/>
          <w:iCs/>
          <w:noProof/>
          <w:szCs w:val="24"/>
        </w:rPr>
        <w:t>2nd International Conference on Computer Science and Engineering, UBMK 2017</w:t>
      </w:r>
      <w:r w:rsidRPr="00912FFE">
        <w:rPr>
          <w:noProof/>
          <w:szCs w:val="24"/>
        </w:rPr>
        <w:t>; Institute of Electrical and Electronics Engineers Inc., 2017; pp 1100–1103. https://doi.org/10.1109/UBMK.2017.8093500.</w:t>
      </w:r>
    </w:p>
    <w:p w14:paraId="72B28ACB"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(153) </w:t>
      </w:r>
      <w:r w:rsidRPr="00912FFE">
        <w:rPr>
          <w:noProof/>
          <w:szCs w:val="24"/>
        </w:rPr>
        <w:tab/>
        <w:t xml:space="preserve">Liu, S.; Bao, J.; Lao, X.; Zheng, H. Novel 3D Structure Based Model for Activity Prediction and Design of Antimicrobial Peptides. </w:t>
      </w:r>
      <w:r w:rsidRPr="00912FFE">
        <w:rPr>
          <w:i/>
          <w:iCs/>
          <w:noProof/>
          <w:szCs w:val="24"/>
        </w:rPr>
        <w:t>Sci. Rep.</w:t>
      </w:r>
      <w:r w:rsidRPr="00912FFE">
        <w:rPr>
          <w:noProof/>
          <w:szCs w:val="24"/>
        </w:rPr>
        <w:t xml:space="preserve"> </w:t>
      </w:r>
      <w:r w:rsidRPr="00912FFE">
        <w:rPr>
          <w:b/>
          <w:bCs/>
          <w:noProof/>
          <w:szCs w:val="24"/>
        </w:rPr>
        <w:t>2018</w:t>
      </w:r>
      <w:r w:rsidRPr="00912FFE">
        <w:rPr>
          <w:noProof/>
          <w:szCs w:val="24"/>
        </w:rPr>
        <w:t xml:space="preserve">, </w:t>
      </w:r>
      <w:r w:rsidRPr="00912FFE">
        <w:rPr>
          <w:i/>
          <w:iCs/>
          <w:noProof/>
          <w:szCs w:val="24"/>
        </w:rPr>
        <w:t>8</w:t>
      </w:r>
      <w:r w:rsidRPr="00912FFE">
        <w:rPr>
          <w:noProof/>
          <w:szCs w:val="24"/>
        </w:rPr>
        <w:t xml:space="preserve"> (1), 11189. https://doi.org/10.1038/s41598-018-29566-5.</w:t>
      </w:r>
    </w:p>
    <w:p w14:paraId="46839092"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(154) </w:t>
      </w:r>
      <w:r w:rsidRPr="00912FFE">
        <w:rPr>
          <w:noProof/>
          <w:szCs w:val="24"/>
        </w:rPr>
        <w:tab/>
        <w:t xml:space="preserve">Wang, P.; Ge, R.; Liu, L.; Xiao, X.; Li, Y.; Cai, Y. Multi-Label Learning for Predicting the Activities of Antimicrobial Peptides. </w:t>
      </w:r>
      <w:r w:rsidRPr="00912FFE">
        <w:rPr>
          <w:i/>
          <w:iCs/>
          <w:noProof/>
          <w:szCs w:val="24"/>
        </w:rPr>
        <w:t>Sci. Rep.</w:t>
      </w:r>
      <w:r w:rsidRPr="00912FFE">
        <w:rPr>
          <w:noProof/>
          <w:szCs w:val="24"/>
        </w:rPr>
        <w:t xml:space="preserve"> </w:t>
      </w:r>
      <w:r w:rsidRPr="00912FFE">
        <w:rPr>
          <w:b/>
          <w:bCs/>
          <w:noProof/>
          <w:szCs w:val="24"/>
        </w:rPr>
        <w:t>2017</w:t>
      </w:r>
      <w:r w:rsidRPr="00912FFE">
        <w:rPr>
          <w:noProof/>
          <w:szCs w:val="24"/>
        </w:rPr>
        <w:t xml:space="preserve">, </w:t>
      </w:r>
      <w:r w:rsidRPr="00912FFE">
        <w:rPr>
          <w:i/>
          <w:iCs/>
          <w:noProof/>
          <w:szCs w:val="24"/>
        </w:rPr>
        <w:t>7</w:t>
      </w:r>
      <w:r w:rsidRPr="00912FFE">
        <w:rPr>
          <w:noProof/>
          <w:szCs w:val="24"/>
        </w:rPr>
        <w:t xml:space="preserve"> (1), 1–11. https://doi.org/10.1038/s41598-017-01986-9.</w:t>
      </w:r>
    </w:p>
    <w:p w14:paraId="404E1093"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(155) </w:t>
      </w:r>
      <w:r w:rsidRPr="00912FFE">
        <w:rPr>
          <w:noProof/>
          <w:szCs w:val="24"/>
        </w:rPr>
        <w:tab/>
        <w:t xml:space="preserve">Pedregosa, F.; Michel, V.; Grisel, O.; Blondel, M.; Prettenhofer, P.; Weiss, R.; Vanderplas, J.; Cournapeau, D.; Pedregosa, F.; Varoquaux, G.; Gramfort, A.; Thirion, B.; Grisel, O.; Dubourg, V.; Passos, A.; Brucher, M.; Perrot, M.; Duchesnay, É. Scikit-Learn: Machine Learning in Python. </w:t>
      </w:r>
      <w:r w:rsidRPr="00912FFE">
        <w:rPr>
          <w:i/>
          <w:iCs/>
          <w:noProof/>
          <w:szCs w:val="24"/>
        </w:rPr>
        <w:t>J. Mach. Learn. Res.</w:t>
      </w:r>
      <w:r w:rsidRPr="00912FFE">
        <w:rPr>
          <w:noProof/>
          <w:szCs w:val="24"/>
        </w:rPr>
        <w:t xml:space="preserve"> </w:t>
      </w:r>
      <w:r w:rsidRPr="00912FFE">
        <w:rPr>
          <w:b/>
          <w:bCs/>
          <w:noProof/>
          <w:szCs w:val="24"/>
        </w:rPr>
        <w:t>2011</w:t>
      </w:r>
      <w:r w:rsidRPr="00912FFE">
        <w:rPr>
          <w:noProof/>
          <w:szCs w:val="24"/>
        </w:rPr>
        <w:t xml:space="preserve">, </w:t>
      </w:r>
      <w:r w:rsidRPr="00912FFE">
        <w:rPr>
          <w:i/>
          <w:iCs/>
          <w:noProof/>
          <w:szCs w:val="24"/>
        </w:rPr>
        <w:t>12</w:t>
      </w:r>
      <w:r w:rsidRPr="00912FFE">
        <w:rPr>
          <w:noProof/>
          <w:szCs w:val="24"/>
        </w:rPr>
        <w:t>, 2825–2830. https://doi.org/10.5555/1953048.2078195.</w:t>
      </w:r>
    </w:p>
    <w:p w14:paraId="0DDEA196"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(156) </w:t>
      </w:r>
      <w:r w:rsidRPr="00912FFE">
        <w:rPr>
          <w:noProof/>
          <w:szCs w:val="24"/>
        </w:rPr>
        <w:tab/>
        <w:t xml:space="preserve">Bischl, B.; Lang, M.; Kotthoff, L.; Schiffner, J.; Richter, J.; Studerus, E.; Casalicchio, G.; Jones, Z. M. Mlr: Machine Learning in R. </w:t>
      </w:r>
      <w:r w:rsidRPr="00912FFE">
        <w:rPr>
          <w:i/>
          <w:iCs/>
          <w:noProof/>
          <w:szCs w:val="24"/>
        </w:rPr>
        <w:t>J. Mach. Learn. Res.</w:t>
      </w:r>
      <w:r w:rsidRPr="00912FFE">
        <w:rPr>
          <w:noProof/>
          <w:szCs w:val="24"/>
        </w:rPr>
        <w:t xml:space="preserve"> </w:t>
      </w:r>
      <w:r w:rsidRPr="00912FFE">
        <w:rPr>
          <w:b/>
          <w:bCs/>
          <w:noProof/>
          <w:szCs w:val="24"/>
        </w:rPr>
        <w:t>2016</w:t>
      </w:r>
      <w:r w:rsidRPr="00912FFE">
        <w:rPr>
          <w:noProof/>
          <w:szCs w:val="24"/>
        </w:rPr>
        <w:t xml:space="preserve">, </w:t>
      </w:r>
      <w:r w:rsidRPr="00912FFE">
        <w:rPr>
          <w:i/>
          <w:iCs/>
          <w:noProof/>
          <w:szCs w:val="24"/>
        </w:rPr>
        <w:t>17</w:t>
      </w:r>
      <w:r w:rsidRPr="00912FFE">
        <w:rPr>
          <w:noProof/>
          <w:szCs w:val="24"/>
        </w:rPr>
        <w:t>, 1–5. https://doi.org/10.5555/29446645.3053452.</w:t>
      </w:r>
    </w:p>
    <w:p w14:paraId="30E9A43A"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(157) </w:t>
      </w:r>
      <w:r w:rsidRPr="00912FFE">
        <w:rPr>
          <w:noProof/>
          <w:szCs w:val="24"/>
        </w:rPr>
        <w:tab/>
        <w:t xml:space="preserve">Eisenberg, D.; Weiss, R. M.; Terwilliger, T. C. The Helical Hydrophobic Moment: A Measure of the Amphiphilicity of a Helix. </w:t>
      </w:r>
      <w:r w:rsidRPr="00912FFE">
        <w:rPr>
          <w:i/>
          <w:iCs/>
          <w:noProof/>
          <w:szCs w:val="24"/>
        </w:rPr>
        <w:t>Nature</w:t>
      </w:r>
      <w:r w:rsidRPr="00912FFE">
        <w:rPr>
          <w:noProof/>
          <w:szCs w:val="24"/>
        </w:rPr>
        <w:t xml:space="preserve"> </w:t>
      </w:r>
      <w:r w:rsidRPr="00912FFE">
        <w:rPr>
          <w:b/>
          <w:bCs/>
          <w:noProof/>
          <w:szCs w:val="24"/>
        </w:rPr>
        <w:t>1982</w:t>
      </w:r>
      <w:r w:rsidRPr="00912FFE">
        <w:rPr>
          <w:noProof/>
          <w:szCs w:val="24"/>
        </w:rPr>
        <w:t xml:space="preserve">, </w:t>
      </w:r>
      <w:r w:rsidRPr="00912FFE">
        <w:rPr>
          <w:i/>
          <w:iCs/>
          <w:noProof/>
          <w:szCs w:val="24"/>
        </w:rPr>
        <w:t>299</w:t>
      </w:r>
      <w:r w:rsidRPr="00912FFE">
        <w:rPr>
          <w:noProof/>
          <w:szCs w:val="24"/>
        </w:rPr>
        <w:t xml:space="preserve"> (5881), 371–374. https://doi.org/10.1038/299371a0.</w:t>
      </w:r>
    </w:p>
    <w:p w14:paraId="0E4E0969"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(158) </w:t>
      </w:r>
      <w:r w:rsidRPr="00912FFE">
        <w:rPr>
          <w:noProof/>
          <w:szCs w:val="24"/>
        </w:rPr>
        <w:tab/>
        <w:t xml:space="preserve">Rodriguez, R.; Chinea, G.; Lopez, N.; Pons, T.; Vriend, G. Homology Modeling, Model and Software Evaluation: Three Related Resources. </w:t>
      </w:r>
      <w:r w:rsidRPr="00912FFE">
        <w:rPr>
          <w:i/>
          <w:iCs/>
          <w:noProof/>
          <w:szCs w:val="24"/>
        </w:rPr>
        <w:t>Bioinformatics</w:t>
      </w:r>
      <w:r w:rsidRPr="00912FFE">
        <w:rPr>
          <w:noProof/>
          <w:szCs w:val="24"/>
        </w:rPr>
        <w:t xml:space="preserve"> </w:t>
      </w:r>
      <w:r w:rsidRPr="00912FFE">
        <w:rPr>
          <w:b/>
          <w:bCs/>
          <w:noProof/>
          <w:szCs w:val="24"/>
        </w:rPr>
        <w:t>1998</w:t>
      </w:r>
      <w:r w:rsidRPr="00912FFE">
        <w:rPr>
          <w:noProof/>
          <w:szCs w:val="24"/>
        </w:rPr>
        <w:t xml:space="preserve">, </w:t>
      </w:r>
      <w:r w:rsidRPr="00912FFE">
        <w:rPr>
          <w:i/>
          <w:iCs/>
          <w:noProof/>
          <w:szCs w:val="24"/>
        </w:rPr>
        <w:t>14</w:t>
      </w:r>
      <w:r w:rsidRPr="00912FFE">
        <w:rPr>
          <w:noProof/>
          <w:szCs w:val="24"/>
        </w:rPr>
        <w:t xml:space="preserve"> (6), 523–528. https://doi.org/10.1093/bioinformatics/14.6.523.</w:t>
      </w:r>
    </w:p>
    <w:p w14:paraId="62CBA76E"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(159) </w:t>
      </w:r>
      <w:r w:rsidRPr="00912FFE">
        <w:rPr>
          <w:noProof/>
          <w:szCs w:val="24"/>
        </w:rPr>
        <w:tab/>
        <w:t xml:space="preserve">Shen, Y.; Maupetit, J.; Derreumaux, P.; Tufféry, P. Improved PEP-FOLD Approach for Peptide and Miniprotein Structure Prediction. </w:t>
      </w:r>
      <w:r w:rsidRPr="00912FFE">
        <w:rPr>
          <w:i/>
          <w:iCs/>
          <w:noProof/>
          <w:szCs w:val="24"/>
        </w:rPr>
        <w:t>J. Chem. Theory Comput.</w:t>
      </w:r>
      <w:r w:rsidRPr="00912FFE">
        <w:rPr>
          <w:noProof/>
          <w:szCs w:val="24"/>
        </w:rPr>
        <w:t xml:space="preserve"> </w:t>
      </w:r>
      <w:r w:rsidRPr="00912FFE">
        <w:rPr>
          <w:b/>
          <w:bCs/>
          <w:noProof/>
          <w:szCs w:val="24"/>
        </w:rPr>
        <w:t>2014</w:t>
      </w:r>
      <w:r w:rsidRPr="00912FFE">
        <w:rPr>
          <w:noProof/>
          <w:szCs w:val="24"/>
        </w:rPr>
        <w:t xml:space="preserve">, </w:t>
      </w:r>
      <w:r w:rsidRPr="00912FFE">
        <w:rPr>
          <w:i/>
          <w:iCs/>
          <w:noProof/>
          <w:szCs w:val="24"/>
        </w:rPr>
        <w:t>10</w:t>
      </w:r>
      <w:r w:rsidRPr="00912FFE">
        <w:rPr>
          <w:noProof/>
          <w:szCs w:val="24"/>
        </w:rPr>
        <w:t xml:space="preserve"> (10), 4745–4758. https://doi.org/10.1021/ct500592m.</w:t>
      </w:r>
    </w:p>
    <w:p w14:paraId="39E32032"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(160) </w:t>
      </w:r>
      <w:r w:rsidRPr="00912FFE">
        <w:rPr>
          <w:noProof/>
          <w:szCs w:val="24"/>
        </w:rPr>
        <w:tab/>
        <w:t xml:space="preserve">Wang, S.; Peng, J.; Ma, J.; Xu, J. Protein Secondary Structure Prediction Using Deep Convolutional Neural Fields. </w:t>
      </w:r>
      <w:r w:rsidRPr="00912FFE">
        <w:rPr>
          <w:i/>
          <w:iCs/>
          <w:noProof/>
          <w:szCs w:val="24"/>
        </w:rPr>
        <w:t>Sci. Rep.</w:t>
      </w:r>
      <w:r w:rsidRPr="00912FFE">
        <w:rPr>
          <w:noProof/>
          <w:szCs w:val="24"/>
        </w:rPr>
        <w:t xml:space="preserve"> </w:t>
      </w:r>
      <w:r w:rsidRPr="00912FFE">
        <w:rPr>
          <w:b/>
          <w:bCs/>
          <w:noProof/>
          <w:szCs w:val="24"/>
        </w:rPr>
        <w:t>2016</w:t>
      </w:r>
      <w:r w:rsidRPr="00912FFE">
        <w:rPr>
          <w:noProof/>
          <w:szCs w:val="24"/>
        </w:rPr>
        <w:t xml:space="preserve">, </w:t>
      </w:r>
      <w:r w:rsidRPr="00912FFE">
        <w:rPr>
          <w:i/>
          <w:iCs/>
          <w:noProof/>
          <w:szCs w:val="24"/>
        </w:rPr>
        <w:t>6</w:t>
      </w:r>
      <w:r w:rsidRPr="00912FFE">
        <w:rPr>
          <w:noProof/>
          <w:szCs w:val="24"/>
        </w:rPr>
        <w:t xml:space="preserve"> (1), 1–11. https://doi.org/10.1038/srep18962.</w:t>
      </w:r>
    </w:p>
    <w:p w14:paraId="5956F3F5"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(161) </w:t>
      </w:r>
      <w:r w:rsidRPr="00912FFE">
        <w:rPr>
          <w:noProof/>
          <w:szCs w:val="24"/>
        </w:rPr>
        <w:tab/>
        <w:t xml:space="preserve">Spencer, M.; Eickholt, J.; Cheng, J. A Deep Learning Network Approach to Ab Initio Protein Secondary Structure Prediction. </w:t>
      </w:r>
      <w:r w:rsidRPr="00912FFE">
        <w:rPr>
          <w:i/>
          <w:iCs/>
          <w:noProof/>
          <w:szCs w:val="24"/>
        </w:rPr>
        <w:t>IEEE/ACM Trans. Comput. Biol. Bioinforma.</w:t>
      </w:r>
      <w:r w:rsidRPr="00912FFE">
        <w:rPr>
          <w:noProof/>
          <w:szCs w:val="24"/>
        </w:rPr>
        <w:t xml:space="preserve"> </w:t>
      </w:r>
      <w:r w:rsidRPr="00912FFE">
        <w:rPr>
          <w:b/>
          <w:bCs/>
          <w:noProof/>
          <w:szCs w:val="24"/>
        </w:rPr>
        <w:t>2015</w:t>
      </w:r>
      <w:r w:rsidRPr="00912FFE">
        <w:rPr>
          <w:noProof/>
          <w:szCs w:val="24"/>
        </w:rPr>
        <w:t xml:space="preserve">, </w:t>
      </w:r>
      <w:r w:rsidRPr="00912FFE">
        <w:rPr>
          <w:i/>
          <w:iCs/>
          <w:noProof/>
          <w:szCs w:val="24"/>
        </w:rPr>
        <w:t>12</w:t>
      </w:r>
      <w:r w:rsidRPr="00912FFE">
        <w:rPr>
          <w:noProof/>
          <w:szCs w:val="24"/>
        </w:rPr>
        <w:t xml:space="preserve"> (1), 103–112. https://doi.org/10.1109/TCBB.2014.2343960.</w:t>
      </w:r>
    </w:p>
    <w:p w14:paraId="77D9D704"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(162) </w:t>
      </w:r>
      <w:r w:rsidRPr="00912FFE">
        <w:rPr>
          <w:noProof/>
          <w:szCs w:val="24"/>
        </w:rPr>
        <w:tab/>
        <w:t xml:space="preserve">Pedersen, J. T.; Moult, J. Ab Initio Structure Prediction for Small Polypeptides and Protein Fragments Using Genetic Algorithms. </w:t>
      </w:r>
      <w:r w:rsidRPr="00912FFE">
        <w:rPr>
          <w:i/>
          <w:iCs/>
          <w:noProof/>
          <w:szCs w:val="24"/>
        </w:rPr>
        <w:t>Proteins Struct. Funct. Bioinforma.</w:t>
      </w:r>
      <w:r w:rsidRPr="00912FFE">
        <w:rPr>
          <w:noProof/>
          <w:szCs w:val="24"/>
        </w:rPr>
        <w:t xml:space="preserve"> </w:t>
      </w:r>
      <w:r w:rsidRPr="00912FFE">
        <w:rPr>
          <w:b/>
          <w:bCs/>
          <w:noProof/>
          <w:szCs w:val="24"/>
        </w:rPr>
        <w:t>1995</w:t>
      </w:r>
      <w:r w:rsidRPr="00912FFE">
        <w:rPr>
          <w:noProof/>
          <w:szCs w:val="24"/>
        </w:rPr>
        <w:t xml:space="preserve">, </w:t>
      </w:r>
      <w:r w:rsidRPr="00912FFE">
        <w:rPr>
          <w:i/>
          <w:iCs/>
          <w:noProof/>
          <w:szCs w:val="24"/>
        </w:rPr>
        <w:t>23</w:t>
      </w:r>
      <w:r w:rsidRPr="00912FFE">
        <w:rPr>
          <w:noProof/>
          <w:szCs w:val="24"/>
        </w:rPr>
        <w:t xml:space="preserve"> (3), 454–460. https://doi.org/10.1002/prot.340230319.</w:t>
      </w:r>
    </w:p>
    <w:p w14:paraId="7B1AAC8F"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(163) </w:t>
      </w:r>
      <w:r w:rsidRPr="00912FFE">
        <w:rPr>
          <w:noProof/>
          <w:szCs w:val="24"/>
        </w:rPr>
        <w:tab/>
        <w:t xml:space="preserve">Batista, C. V. .; Scaloni, A.; Rigden, D. J.; Silva, L. R.; Rodrigues Romero, A.; Dukor, R.; Sebben, A.; Talamo, F.; Bloch, C. A Novel Heterodimeric Antimicrobial Peptide from the Tree-Frog </w:t>
      </w:r>
      <w:r w:rsidRPr="00912FFE">
        <w:rPr>
          <w:i/>
          <w:iCs/>
          <w:noProof/>
          <w:szCs w:val="24"/>
        </w:rPr>
        <w:t>Phyllomedusa Distincta</w:t>
      </w:r>
      <w:r w:rsidRPr="00912FFE">
        <w:rPr>
          <w:noProof/>
          <w:szCs w:val="24"/>
        </w:rPr>
        <w:t xml:space="preserve">. </w:t>
      </w:r>
      <w:r w:rsidRPr="00912FFE">
        <w:rPr>
          <w:i/>
          <w:iCs/>
          <w:noProof/>
          <w:szCs w:val="24"/>
        </w:rPr>
        <w:t>FEBS Lett.</w:t>
      </w:r>
      <w:r w:rsidRPr="00912FFE">
        <w:rPr>
          <w:noProof/>
          <w:szCs w:val="24"/>
        </w:rPr>
        <w:t xml:space="preserve"> </w:t>
      </w:r>
      <w:r w:rsidRPr="00912FFE">
        <w:rPr>
          <w:b/>
          <w:bCs/>
          <w:noProof/>
          <w:szCs w:val="24"/>
        </w:rPr>
        <w:t>2001</w:t>
      </w:r>
      <w:r w:rsidRPr="00912FFE">
        <w:rPr>
          <w:noProof/>
          <w:szCs w:val="24"/>
        </w:rPr>
        <w:t xml:space="preserve">, </w:t>
      </w:r>
      <w:r w:rsidRPr="00912FFE">
        <w:rPr>
          <w:i/>
          <w:iCs/>
          <w:noProof/>
          <w:szCs w:val="24"/>
        </w:rPr>
        <w:t>494</w:t>
      </w:r>
      <w:r w:rsidRPr="00912FFE">
        <w:rPr>
          <w:noProof/>
          <w:szCs w:val="24"/>
        </w:rPr>
        <w:t xml:space="preserve"> (1–2), 85–89. https://doi.org/10.1016/S0014-5793(01)02324-9.</w:t>
      </w:r>
    </w:p>
    <w:p w14:paraId="495AF0BF"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(164) </w:t>
      </w:r>
      <w:r w:rsidRPr="00912FFE">
        <w:rPr>
          <w:noProof/>
          <w:szCs w:val="24"/>
        </w:rPr>
        <w:tab/>
        <w:t xml:space="preserve">Bobek, L. A.; Situ, H. MUC7 20-Mer: Investigation of Antimicrobial Activity, Secondary </w:t>
      </w:r>
      <w:r w:rsidRPr="00912FFE">
        <w:rPr>
          <w:noProof/>
          <w:szCs w:val="24"/>
        </w:rPr>
        <w:lastRenderedPageBreak/>
        <w:t xml:space="preserve">Structure, and Possible Mechanism of Antifungal Action. </w:t>
      </w:r>
      <w:r w:rsidRPr="00912FFE">
        <w:rPr>
          <w:i/>
          <w:iCs/>
          <w:noProof/>
          <w:szCs w:val="24"/>
        </w:rPr>
        <w:t>Antimicrob. Agents Chemother.</w:t>
      </w:r>
      <w:r w:rsidRPr="00912FFE">
        <w:rPr>
          <w:noProof/>
          <w:szCs w:val="24"/>
        </w:rPr>
        <w:t xml:space="preserve"> </w:t>
      </w:r>
      <w:r w:rsidRPr="00912FFE">
        <w:rPr>
          <w:b/>
          <w:bCs/>
          <w:noProof/>
          <w:szCs w:val="24"/>
        </w:rPr>
        <w:t>2003</w:t>
      </w:r>
      <w:r w:rsidRPr="00912FFE">
        <w:rPr>
          <w:noProof/>
          <w:szCs w:val="24"/>
        </w:rPr>
        <w:t xml:space="preserve">, </w:t>
      </w:r>
      <w:r w:rsidRPr="00912FFE">
        <w:rPr>
          <w:i/>
          <w:iCs/>
          <w:noProof/>
          <w:szCs w:val="24"/>
        </w:rPr>
        <w:t>47</w:t>
      </w:r>
      <w:r w:rsidRPr="00912FFE">
        <w:rPr>
          <w:noProof/>
          <w:szCs w:val="24"/>
        </w:rPr>
        <w:t xml:space="preserve"> (2), 643–652. https://doi.org/10.1128/AAC.47.2.643-652.2003.</w:t>
      </w:r>
    </w:p>
    <w:p w14:paraId="40D2A089"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(165) </w:t>
      </w:r>
      <w:r w:rsidRPr="00912FFE">
        <w:rPr>
          <w:noProof/>
          <w:szCs w:val="24"/>
        </w:rPr>
        <w:tab/>
        <w:t xml:space="preserve">Gennaro, R.; Scocchi, M.; Merluzzi, L.; Zanetti, M. Biological Characterization of a Novel Mammalian Antimicrobial Peptide. </w:t>
      </w:r>
      <w:r w:rsidRPr="00912FFE">
        <w:rPr>
          <w:i/>
          <w:iCs/>
          <w:noProof/>
          <w:szCs w:val="24"/>
        </w:rPr>
        <w:t>Biochim. Biophys. Acta - Gen. Subj.</w:t>
      </w:r>
      <w:r w:rsidRPr="00912FFE">
        <w:rPr>
          <w:noProof/>
          <w:szCs w:val="24"/>
        </w:rPr>
        <w:t xml:space="preserve"> </w:t>
      </w:r>
      <w:r w:rsidRPr="00912FFE">
        <w:rPr>
          <w:b/>
          <w:bCs/>
          <w:noProof/>
          <w:szCs w:val="24"/>
        </w:rPr>
        <w:t>1998</w:t>
      </w:r>
      <w:r w:rsidRPr="00912FFE">
        <w:rPr>
          <w:noProof/>
          <w:szCs w:val="24"/>
        </w:rPr>
        <w:t xml:space="preserve">, </w:t>
      </w:r>
      <w:r w:rsidRPr="00912FFE">
        <w:rPr>
          <w:i/>
          <w:iCs/>
          <w:noProof/>
          <w:szCs w:val="24"/>
        </w:rPr>
        <w:t>1425</w:t>
      </w:r>
      <w:r w:rsidRPr="00912FFE">
        <w:rPr>
          <w:noProof/>
          <w:szCs w:val="24"/>
        </w:rPr>
        <w:t xml:space="preserve"> (2), 361–368. https://doi.org/10.1016/S0304-4165(98)00087-7.</w:t>
      </w:r>
    </w:p>
    <w:p w14:paraId="6B6576BE"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(166) </w:t>
      </w:r>
      <w:r w:rsidRPr="00912FFE">
        <w:rPr>
          <w:noProof/>
          <w:szCs w:val="24"/>
        </w:rPr>
        <w:tab/>
        <w:t xml:space="preserve">Torres-Larios, A.; Gurrola, G. B.; Zamudio, F. Z.; Possani, L. D. Hadrurin, A New Antimicrobial Peptide from the Venom of the Scorpion Hadrurus Aztecus. </w:t>
      </w:r>
      <w:r w:rsidRPr="00912FFE">
        <w:rPr>
          <w:i/>
          <w:iCs/>
          <w:noProof/>
          <w:szCs w:val="24"/>
        </w:rPr>
        <w:t>Eur. J. Biochem.</w:t>
      </w:r>
      <w:r w:rsidRPr="00912FFE">
        <w:rPr>
          <w:noProof/>
          <w:szCs w:val="24"/>
        </w:rPr>
        <w:t xml:space="preserve"> </w:t>
      </w:r>
      <w:r w:rsidRPr="00912FFE">
        <w:rPr>
          <w:b/>
          <w:bCs/>
          <w:noProof/>
          <w:szCs w:val="24"/>
        </w:rPr>
        <w:t>2000</w:t>
      </w:r>
      <w:r w:rsidRPr="00912FFE">
        <w:rPr>
          <w:noProof/>
          <w:szCs w:val="24"/>
        </w:rPr>
        <w:t xml:space="preserve">, </w:t>
      </w:r>
      <w:r w:rsidRPr="00912FFE">
        <w:rPr>
          <w:i/>
          <w:iCs/>
          <w:noProof/>
          <w:szCs w:val="24"/>
        </w:rPr>
        <w:t>267</w:t>
      </w:r>
      <w:r w:rsidRPr="00912FFE">
        <w:rPr>
          <w:noProof/>
          <w:szCs w:val="24"/>
        </w:rPr>
        <w:t xml:space="preserve"> (16), 5023–5031. https://doi.org/10.1046/j.1432-1327.2000.01556.x.</w:t>
      </w:r>
    </w:p>
    <w:p w14:paraId="2E894219"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(167) </w:t>
      </w:r>
      <w:r w:rsidRPr="00912FFE">
        <w:rPr>
          <w:noProof/>
          <w:szCs w:val="24"/>
        </w:rPr>
        <w:tab/>
        <w:t xml:space="preserve">Singh, H.; Singh, S.; Singh Raghava, G. P. Peptide Secondary Structure Prediction Using Evolutionary Information. </w:t>
      </w:r>
      <w:r w:rsidRPr="00912FFE">
        <w:rPr>
          <w:i/>
          <w:iCs/>
          <w:noProof/>
          <w:szCs w:val="24"/>
        </w:rPr>
        <w:t>bioRxiv</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558791</w:t>
      </w:r>
      <w:r w:rsidRPr="00912FFE">
        <w:rPr>
          <w:noProof/>
          <w:szCs w:val="24"/>
        </w:rPr>
        <w:t>. https://doi.org/10.1101/558791.</w:t>
      </w:r>
    </w:p>
    <w:p w14:paraId="62B98249"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(168) </w:t>
      </w:r>
      <w:r w:rsidRPr="00912FFE">
        <w:rPr>
          <w:noProof/>
          <w:szCs w:val="24"/>
        </w:rPr>
        <w:tab/>
        <w:t xml:space="preserve">Singh, S.; Singh, H.; Tuknait, A.; Chaudhary, K.; Singh, B.; Kumaran, S.; Raghava, G. P. S. PEPstrMOD: Structure Prediction of Peptides Containing Natural, Non-Natural and Modified Residues. </w:t>
      </w:r>
      <w:r w:rsidRPr="00912FFE">
        <w:rPr>
          <w:i/>
          <w:iCs/>
          <w:noProof/>
          <w:szCs w:val="24"/>
        </w:rPr>
        <w:t>Biol. Direct</w:t>
      </w:r>
      <w:r w:rsidRPr="00912FFE">
        <w:rPr>
          <w:noProof/>
          <w:szCs w:val="24"/>
        </w:rPr>
        <w:t xml:space="preserve"> </w:t>
      </w:r>
      <w:r w:rsidRPr="00912FFE">
        <w:rPr>
          <w:b/>
          <w:bCs/>
          <w:noProof/>
          <w:szCs w:val="24"/>
        </w:rPr>
        <w:t>2015</w:t>
      </w:r>
      <w:r w:rsidRPr="00912FFE">
        <w:rPr>
          <w:noProof/>
          <w:szCs w:val="24"/>
        </w:rPr>
        <w:t xml:space="preserve">, </w:t>
      </w:r>
      <w:r w:rsidRPr="00912FFE">
        <w:rPr>
          <w:i/>
          <w:iCs/>
          <w:noProof/>
          <w:szCs w:val="24"/>
        </w:rPr>
        <w:t>10</w:t>
      </w:r>
      <w:r w:rsidRPr="00912FFE">
        <w:rPr>
          <w:noProof/>
          <w:szCs w:val="24"/>
        </w:rPr>
        <w:t xml:space="preserve"> (1), 73. https://doi.org/10.1186/s13062-015-0103-4.</w:t>
      </w:r>
    </w:p>
    <w:p w14:paraId="01C8161F"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(169) </w:t>
      </w:r>
      <w:r w:rsidRPr="00912FFE">
        <w:rPr>
          <w:noProof/>
          <w:szCs w:val="24"/>
        </w:rPr>
        <w:tab/>
        <w:t xml:space="preserve">Drozdetskiy, A.; Cole, C.; Procter, J.; Barton, G. J. JPred4: A Protein Secondary Structure Prediction Server. </w:t>
      </w:r>
      <w:r w:rsidRPr="00912FFE">
        <w:rPr>
          <w:i/>
          <w:iCs/>
          <w:noProof/>
          <w:szCs w:val="24"/>
        </w:rPr>
        <w:t>Nucleic Acids Res.</w:t>
      </w:r>
      <w:r w:rsidRPr="00912FFE">
        <w:rPr>
          <w:noProof/>
          <w:szCs w:val="24"/>
        </w:rPr>
        <w:t xml:space="preserve"> </w:t>
      </w:r>
      <w:r w:rsidRPr="00912FFE">
        <w:rPr>
          <w:b/>
          <w:bCs/>
          <w:noProof/>
          <w:szCs w:val="24"/>
        </w:rPr>
        <w:t>2015</w:t>
      </w:r>
      <w:r w:rsidRPr="00912FFE">
        <w:rPr>
          <w:noProof/>
          <w:szCs w:val="24"/>
        </w:rPr>
        <w:t xml:space="preserve">, </w:t>
      </w:r>
      <w:r w:rsidRPr="00912FFE">
        <w:rPr>
          <w:i/>
          <w:iCs/>
          <w:noProof/>
          <w:szCs w:val="24"/>
        </w:rPr>
        <w:t>43</w:t>
      </w:r>
      <w:r w:rsidRPr="00912FFE">
        <w:rPr>
          <w:noProof/>
          <w:szCs w:val="24"/>
        </w:rPr>
        <w:t xml:space="preserve"> (W1), W389–W394. https://doi.org/10.1093/nar/gkv332.</w:t>
      </w:r>
    </w:p>
    <w:p w14:paraId="74055071"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(170) </w:t>
      </w:r>
      <w:r w:rsidRPr="00912FFE">
        <w:rPr>
          <w:noProof/>
          <w:szCs w:val="24"/>
        </w:rPr>
        <w:tab/>
        <w:t xml:space="preserve">Rost, B. PHD: Predicting One-Dimensional Protein Structure by Profile-Based Neural Networks. </w:t>
      </w:r>
      <w:r w:rsidRPr="00912FFE">
        <w:rPr>
          <w:i/>
          <w:iCs/>
          <w:noProof/>
          <w:szCs w:val="24"/>
        </w:rPr>
        <w:t>Methods Enzymol.</w:t>
      </w:r>
      <w:r w:rsidRPr="00912FFE">
        <w:rPr>
          <w:noProof/>
          <w:szCs w:val="24"/>
        </w:rPr>
        <w:t xml:space="preserve"> </w:t>
      </w:r>
      <w:r w:rsidRPr="00912FFE">
        <w:rPr>
          <w:b/>
          <w:bCs/>
          <w:noProof/>
          <w:szCs w:val="24"/>
        </w:rPr>
        <w:t>1996</w:t>
      </w:r>
      <w:r w:rsidRPr="00912FFE">
        <w:rPr>
          <w:noProof/>
          <w:szCs w:val="24"/>
        </w:rPr>
        <w:t xml:space="preserve">, </w:t>
      </w:r>
      <w:r w:rsidRPr="00912FFE">
        <w:rPr>
          <w:i/>
          <w:iCs/>
          <w:noProof/>
          <w:szCs w:val="24"/>
        </w:rPr>
        <w:t>266</w:t>
      </w:r>
      <w:r w:rsidRPr="00912FFE">
        <w:rPr>
          <w:noProof/>
          <w:szCs w:val="24"/>
        </w:rPr>
        <w:t>, 525–539. https://doi.org/10.1016/s0076-6879(96)66033-9.</w:t>
      </w:r>
    </w:p>
    <w:p w14:paraId="0AEBED34"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(171) </w:t>
      </w:r>
      <w:r w:rsidRPr="00912FFE">
        <w:rPr>
          <w:noProof/>
          <w:szCs w:val="24"/>
        </w:rPr>
        <w:tab/>
        <w:t xml:space="preserve">Jones, D. T. Protein Secondary Structure Prediction Based on Position-Specific Scoring Matrices. </w:t>
      </w:r>
      <w:r w:rsidRPr="00912FFE">
        <w:rPr>
          <w:i/>
          <w:iCs/>
          <w:noProof/>
          <w:szCs w:val="24"/>
        </w:rPr>
        <w:t>J. Mol. Biol.</w:t>
      </w:r>
      <w:r w:rsidRPr="00912FFE">
        <w:rPr>
          <w:noProof/>
          <w:szCs w:val="24"/>
        </w:rPr>
        <w:t xml:space="preserve"> </w:t>
      </w:r>
      <w:r w:rsidRPr="00912FFE">
        <w:rPr>
          <w:b/>
          <w:bCs/>
          <w:noProof/>
          <w:szCs w:val="24"/>
        </w:rPr>
        <w:t>1999</w:t>
      </w:r>
      <w:r w:rsidRPr="00912FFE">
        <w:rPr>
          <w:noProof/>
          <w:szCs w:val="24"/>
        </w:rPr>
        <w:t xml:space="preserve">, </w:t>
      </w:r>
      <w:r w:rsidRPr="00912FFE">
        <w:rPr>
          <w:i/>
          <w:iCs/>
          <w:noProof/>
          <w:szCs w:val="24"/>
        </w:rPr>
        <w:t>292</w:t>
      </w:r>
      <w:r w:rsidRPr="00912FFE">
        <w:rPr>
          <w:noProof/>
          <w:szCs w:val="24"/>
        </w:rPr>
        <w:t xml:space="preserve"> (2), 195–202. https://doi.org/10.1006/jmbi.1999.3091.</w:t>
      </w:r>
    </w:p>
    <w:p w14:paraId="17F78889"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(172) </w:t>
      </w:r>
      <w:r w:rsidRPr="00912FFE">
        <w:rPr>
          <w:noProof/>
          <w:szCs w:val="24"/>
        </w:rPr>
        <w:tab/>
        <w:t xml:space="preserve">Geourjon, C.; Deléage, G. SOPMA: Significant Improvements in Protein Secondary Structure Prediction by Consensus Prediction from Multiple Alignments. </w:t>
      </w:r>
      <w:r w:rsidRPr="00912FFE">
        <w:rPr>
          <w:i/>
          <w:iCs/>
          <w:noProof/>
          <w:szCs w:val="24"/>
        </w:rPr>
        <w:t>Bioinformatics</w:t>
      </w:r>
      <w:r w:rsidRPr="00912FFE">
        <w:rPr>
          <w:noProof/>
          <w:szCs w:val="24"/>
        </w:rPr>
        <w:t xml:space="preserve"> </w:t>
      </w:r>
      <w:r w:rsidRPr="00912FFE">
        <w:rPr>
          <w:b/>
          <w:bCs/>
          <w:noProof/>
          <w:szCs w:val="24"/>
        </w:rPr>
        <w:t>1995</w:t>
      </w:r>
      <w:r w:rsidRPr="00912FFE">
        <w:rPr>
          <w:noProof/>
          <w:szCs w:val="24"/>
        </w:rPr>
        <w:t xml:space="preserve">, </w:t>
      </w:r>
      <w:r w:rsidRPr="00912FFE">
        <w:rPr>
          <w:i/>
          <w:iCs/>
          <w:noProof/>
          <w:szCs w:val="24"/>
        </w:rPr>
        <w:t>11</w:t>
      </w:r>
      <w:r w:rsidRPr="00912FFE">
        <w:rPr>
          <w:noProof/>
          <w:szCs w:val="24"/>
        </w:rPr>
        <w:t xml:space="preserve"> (6), 681–684. https://doi.org/10.1093/bioinformatics/11.6.681.</w:t>
      </w:r>
    </w:p>
    <w:p w14:paraId="0E3D9C6E"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(173) </w:t>
      </w:r>
      <w:r w:rsidRPr="00912FFE">
        <w:rPr>
          <w:noProof/>
          <w:szCs w:val="24"/>
        </w:rPr>
        <w:tab/>
        <w:t xml:space="preserve">Yang, J.; Yan, R.; Roy, A.; Xu, D.; Poisson, J.; Zhang, Y. The I-TASSER Suite: Protein Structure and Function Prediction. </w:t>
      </w:r>
      <w:r w:rsidRPr="00912FFE">
        <w:rPr>
          <w:i/>
          <w:iCs/>
          <w:noProof/>
          <w:szCs w:val="24"/>
        </w:rPr>
        <w:t>Nat. Methods</w:t>
      </w:r>
      <w:r w:rsidRPr="00912FFE">
        <w:rPr>
          <w:noProof/>
          <w:szCs w:val="24"/>
        </w:rPr>
        <w:t xml:space="preserve"> </w:t>
      </w:r>
      <w:r w:rsidRPr="00912FFE">
        <w:rPr>
          <w:b/>
          <w:bCs/>
          <w:noProof/>
          <w:szCs w:val="24"/>
        </w:rPr>
        <w:t>2014</w:t>
      </w:r>
      <w:r w:rsidRPr="00912FFE">
        <w:rPr>
          <w:noProof/>
          <w:szCs w:val="24"/>
        </w:rPr>
        <w:t xml:space="preserve">, </w:t>
      </w:r>
      <w:r w:rsidRPr="00912FFE">
        <w:rPr>
          <w:i/>
          <w:iCs/>
          <w:noProof/>
          <w:szCs w:val="24"/>
        </w:rPr>
        <w:t>12</w:t>
      </w:r>
      <w:r w:rsidRPr="00912FFE">
        <w:rPr>
          <w:noProof/>
          <w:szCs w:val="24"/>
        </w:rPr>
        <w:t xml:space="preserve"> (1), 7–8. https://doi.org/10.1038/nmeth.3213.</w:t>
      </w:r>
    </w:p>
    <w:p w14:paraId="6CA6E553"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(174) </w:t>
      </w:r>
      <w:r w:rsidRPr="00912FFE">
        <w:rPr>
          <w:noProof/>
          <w:szCs w:val="24"/>
        </w:rPr>
        <w:tab/>
        <w:t xml:space="preserve">Xu, D.; Zhang, Y. </w:t>
      </w:r>
      <w:r w:rsidRPr="00912FFE">
        <w:rPr>
          <w:i/>
          <w:iCs/>
          <w:noProof/>
          <w:szCs w:val="24"/>
        </w:rPr>
        <w:t>Ab Initio</w:t>
      </w:r>
      <w:r w:rsidRPr="00912FFE">
        <w:rPr>
          <w:noProof/>
          <w:szCs w:val="24"/>
        </w:rPr>
        <w:t xml:space="preserve"> Protein Structure Assembly Using Continuous Structure Fragments and Optimized Knowledge-Based Force Field. </w:t>
      </w:r>
      <w:r w:rsidRPr="00912FFE">
        <w:rPr>
          <w:i/>
          <w:iCs/>
          <w:noProof/>
          <w:szCs w:val="24"/>
        </w:rPr>
        <w:t>Proteins Struct. Funct. Bioinforma.</w:t>
      </w:r>
      <w:r w:rsidRPr="00912FFE">
        <w:rPr>
          <w:noProof/>
          <w:szCs w:val="24"/>
        </w:rPr>
        <w:t xml:space="preserve"> </w:t>
      </w:r>
      <w:r w:rsidRPr="00912FFE">
        <w:rPr>
          <w:b/>
          <w:bCs/>
          <w:noProof/>
          <w:szCs w:val="24"/>
        </w:rPr>
        <w:t>2012</w:t>
      </w:r>
      <w:r w:rsidRPr="00912FFE">
        <w:rPr>
          <w:noProof/>
          <w:szCs w:val="24"/>
        </w:rPr>
        <w:t xml:space="preserve">, </w:t>
      </w:r>
      <w:r w:rsidRPr="00912FFE">
        <w:rPr>
          <w:i/>
          <w:iCs/>
          <w:noProof/>
          <w:szCs w:val="24"/>
        </w:rPr>
        <w:t>80</w:t>
      </w:r>
      <w:r w:rsidRPr="00912FFE">
        <w:rPr>
          <w:noProof/>
          <w:szCs w:val="24"/>
        </w:rPr>
        <w:t xml:space="preserve"> (7), 1715–1735. https://doi.org/10.1002/prot.24065.</w:t>
      </w:r>
    </w:p>
    <w:p w14:paraId="59B89849"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(175) </w:t>
      </w:r>
      <w:r w:rsidRPr="00912FFE">
        <w:rPr>
          <w:noProof/>
          <w:szCs w:val="24"/>
        </w:rPr>
        <w:tab/>
        <w:t xml:space="preserve">Zheng, W.; Zhang, C.; Wuyun, Q.; Pearce, R.; Li, Y.; Zhang, Y. LOMETS2: Improved Meta-Threading Server for Fold-Recognition and Structure-Based Function Annotation for Distant-Homology Proteins. </w:t>
      </w:r>
      <w:r w:rsidRPr="00912FFE">
        <w:rPr>
          <w:i/>
          <w:iCs/>
          <w:noProof/>
          <w:szCs w:val="24"/>
        </w:rPr>
        <w:t>Nucleic Acids Res.</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47</w:t>
      </w:r>
      <w:r w:rsidRPr="00912FFE">
        <w:rPr>
          <w:noProof/>
          <w:szCs w:val="24"/>
        </w:rPr>
        <w:t xml:space="preserve"> (W1), W429–W436. https://doi.org/10.1093/nar/gkz384.</w:t>
      </w:r>
    </w:p>
    <w:p w14:paraId="19B72188"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(176) </w:t>
      </w:r>
      <w:r w:rsidRPr="00912FFE">
        <w:rPr>
          <w:noProof/>
          <w:szCs w:val="24"/>
        </w:rPr>
        <w:tab/>
        <w:t xml:space="preserve">Rohl, C. A.; Strauss, C. E. M.; Misura, K. M. S.; Baker, D. Protein Structure Prediction Using Rosetta. </w:t>
      </w:r>
      <w:r w:rsidRPr="00912FFE">
        <w:rPr>
          <w:i/>
          <w:iCs/>
          <w:noProof/>
          <w:szCs w:val="24"/>
        </w:rPr>
        <w:t>Methods Enzymol.</w:t>
      </w:r>
      <w:r w:rsidRPr="00912FFE">
        <w:rPr>
          <w:noProof/>
          <w:szCs w:val="24"/>
        </w:rPr>
        <w:t xml:space="preserve"> </w:t>
      </w:r>
      <w:r w:rsidRPr="00912FFE">
        <w:rPr>
          <w:b/>
          <w:bCs/>
          <w:noProof/>
          <w:szCs w:val="24"/>
        </w:rPr>
        <w:t>2004</w:t>
      </w:r>
      <w:r w:rsidRPr="00912FFE">
        <w:rPr>
          <w:noProof/>
          <w:szCs w:val="24"/>
        </w:rPr>
        <w:t xml:space="preserve">, </w:t>
      </w:r>
      <w:r w:rsidRPr="00912FFE">
        <w:rPr>
          <w:i/>
          <w:iCs/>
          <w:noProof/>
          <w:szCs w:val="24"/>
        </w:rPr>
        <w:t>383</w:t>
      </w:r>
      <w:r w:rsidRPr="00912FFE">
        <w:rPr>
          <w:noProof/>
          <w:szCs w:val="24"/>
        </w:rPr>
        <w:t>, 66–93. https://doi.org/10.1016/S0076-6879(04)83004-0.</w:t>
      </w:r>
    </w:p>
    <w:p w14:paraId="218E1F4C"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(177) </w:t>
      </w:r>
      <w:r w:rsidRPr="00912FFE">
        <w:rPr>
          <w:noProof/>
          <w:szCs w:val="24"/>
        </w:rPr>
        <w:tab/>
        <w:t xml:space="preserve">Song, Y.; Dimaio, F.; Wang, R. Y. R.; Kim, D.; Miles, C.; Brunette, T.; Thompson, J.; Baker, D. High-Resolution Comparative Modeling with RosettaCM. </w:t>
      </w:r>
      <w:r w:rsidRPr="00912FFE">
        <w:rPr>
          <w:i/>
          <w:iCs/>
          <w:noProof/>
          <w:szCs w:val="24"/>
        </w:rPr>
        <w:t>Structure</w:t>
      </w:r>
      <w:r w:rsidRPr="00912FFE">
        <w:rPr>
          <w:noProof/>
          <w:szCs w:val="24"/>
        </w:rPr>
        <w:t xml:space="preserve"> </w:t>
      </w:r>
      <w:r w:rsidRPr="00912FFE">
        <w:rPr>
          <w:b/>
          <w:bCs/>
          <w:noProof/>
          <w:szCs w:val="24"/>
        </w:rPr>
        <w:t>2013</w:t>
      </w:r>
      <w:r w:rsidRPr="00912FFE">
        <w:rPr>
          <w:noProof/>
          <w:szCs w:val="24"/>
        </w:rPr>
        <w:t xml:space="preserve">, </w:t>
      </w:r>
      <w:r w:rsidRPr="00912FFE">
        <w:rPr>
          <w:i/>
          <w:iCs/>
          <w:noProof/>
          <w:szCs w:val="24"/>
        </w:rPr>
        <w:t>21</w:t>
      </w:r>
      <w:r w:rsidRPr="00912FFE">
        <w:rPr>
          <w:noProof/>
          <w:szCs w:val="24"/>
        </w:rPr>
        <w:t xml:space="preserve"> (10), 1735–1742. https://doi.org/10.1016/j.str.2013.08.005.</w:t>
      </w:r>
    </w:p>
    <w:p w14:paraId="6453659F"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(178) </w:t>
      </w:r>
      <w:r w:rsidRPr="00912FFE">
        <w:rPr>
          <w:noProof/>
          <w:szCs w:val="24"/>
        </w:rPr>
        <w:tab/>
        <w:t xml:space="preserve">Webb, B.; Sali, A. Comparative Protein Structure Modeling Using MODELLER. </w:t>
      </w:r>
      <w:r w:rsidRPr="00912FFE">
        <w:rPr>
          <w:i/>
          <w:iCs/>
          <w:noProof/>
          <w:szCs w:val="24"/>
        </w:rPr>
        <w:t>Curr. Protoc. Bioinforma.</w:t>
      </w:r>
      <w:r w:rsidRPr="00912FFE">
        <w:rPr>
          <w:noProof/>
          <w:szCs w:val="24"/>
        </w:rPr>
        <w:t xml:space="preserve"> </w:t>
      </w:r>
      <w:r w:rsidRPr="00912FFE">
        <w:rPr>
          <w:b/>
          <w:bCs/>
          <w:noProof/>
          <w:szCs w:val="24"/>
        </w:rPr>
        <w:t>2016</w:t>
      </w:r>
      <w:r w:rsidRPr="00912FFE">
        <w:rPr>
          <w:noProof/>
          <w:szCs w:val="24"/>
        </w:rPr>
        <w:t xml:space="preserve">, </w:t>
      </w:r>
      <w:r w:rsidRPr="00912FFE">
        <w:rPr>
          <w:i/>
          <w:iCs/>
          <w:noProof/>
          <w:szCs w:val="24"/>
        </w:rPr>
        <w:t>54</w:t>
      </w:r>
      <w:r w:rsidRPr="00912FFE">
        <w:rPr>
          <w:noProof/>
          <w:szCs w:val="24"/>
        </w:rPr>
        <w:t xml:space="preserve"> (1), 5.6.1-5.6.37. https://doi.org/10.1002/cpbi.3.</w:t>
      </w:r>
    </w:p>
    <w:p w14:paraId="6E6E7BBF"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(179) </w:t>
      </w:r>
      <w:r w:rsidRPr="00912FFE">
        <w:rPr>
          <w:noProof/>
          <w:szCs w:val="24"/>
        </w:rPr>
        <w:tab/>
        <w:t xml:space="preserve">Hou, J.; Guo, Z.; Cheng, J. DNSS2: Improved Ab Initio Protein Secondary Structure Prediction Using Advanced Deep Learning Architectures. </w:t>
      </w:r>
      <w:r w:rsidRPr="00912FFE">
        <w:rPr>
          <w:i/>
          <w:iCs/>
          <w:noProof/>
          <w:szCs w:val="24"/>
        </w:rPr>
        <w:t>bioRxiv</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639021</w:t>
      </w:r>
      <w:r w:rsidRPr="00912FFE">
        <w:rPr>
          <w:noProof/>
          <w:szCs w:val="24"/>
        </w:rPr>
        <w:t>. https://doi.org/10.1101/639021.</w:t>
      </w:r>
    </w:p>
    <w:p w14:paraId="1F8E3950"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(180) </w:t>
      </w:r>
      <w:r w:rsidRPr="00912FFE">
        <w:rPr>
          <w:noProof/>
          <w:szCs w:val="24"/>
        </w:rPr>
        <w:tab/>
        <w:t xml:space="preserve">Kozic, M.; Fox, S. J.; Thomas, J. M.; Verma, C. S.; Rigden, D. J. Large Scale Ab Initio Modeling of Structurally Uncharacterized Antimicrobial Peptides Reveals Known and Novel Folds. </w:t>
      </w:r>
      <w:r w:rsidRPr="00912FFE">
        <w:rPr>
          <w:i/>
          <w:iCs/>
          <w:noProof/>
          <w:szCs w:val="24"/>
        </w:rPr>
        <w:t>Proteins Struct. Funct. Bioinforma.</w:t>
      </w:r>
      <w:r w:rsidRPr="00912FFE">
        <w:rPr>
          <w:noProof/>
          <w:szCs w:val="24"/>
        </w:rPr>
        <w:t xml:space="preserve"> </w:t>
      </w:r>
      <w:r w:rsidRPr="00912FFE">
        <w:rPr>
          <w:b/>
          <w:bCs/>
          <w:noProof/>
          <w:szCs w:val="24"/>
        </w:rPr>
        <w:t>2018</w:t>
      </w:r>
      <w:r w:rsidRPr="00912FFE">
        <w:rPr>
          <w:noProof/>
          <w:szCs w:val="24"/>
        </w:rPr>
        <w:t xml:space="preserve">, </w:t>
      </w:r>
      <w:r w:rsidRPr="00912FFE">
        <w:rPr>
          <w:i/>
          <w:iCs/>
          <w:noProof/>
          <w:szCs w:val="24"/>
        </w:rPr>
        <w:t>86</w:t>
      </w:r>
      <w:r w:rsidRPr="00912FFE">
        <w:rPr>
          <w:noProof/>
          <w:szCs w:val="24"/>
        </w:rPr>
        <w:t xml:space="preserve"> (5), 548–565. https://doi.org/10.1002/prot.25473.</w:t>
      </w:r>
    </w:p>
    <w:p w14:paraId="2E396D55"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(181) </w:t>
      </w:r>
      <w:r w:rsidRPr="00912FFE">
        <w:rPr>
          <w:noProof/>
          <w:szCs w:val="24"/>
        </w:rPr>
        <w:tab/>
        <w:t>Hancock, R. E. W.; Sahl, H. G. Antimicrobial and Host-Defense Peptides as New Anti-</w:t>
      </w:r>
      <w:r w:rsidRPr="00912FFE">
        <w:rPr>
          <w:noProof/>
          <w:szCs w:val="24"/>
        </w:rPr>
        <w:lastRenderedPageBreak/>
        <w:t xml:space="preserve">Infective Therapeutic Strategies. </w:t>
      </w:r>
      <w:r w:rsidRPr="00912FFE">
        <w:rPr>
          <w:i/>
          <w:iCs/>
          <w:noProof/>
          <w:szCs w:val="24"/>
        </w:rPr>
        <w:t>Nat. Biotechnol.</w:t>
      </w:r>
      <w:r w:rsidRPr="00912FFE">
        <w:rPr>
          <w:noProof/>
          <w:szCs w:val="24"/>
        </w:rPr>
        <w:t xml:space="preserve"> </w:t>
      </w:r>
      <w:r w:rsidRPr="00912FFE">
        <w:rPr>
          <w:b/>
          <w:bCs/>
          <w:noProof/>
          <w:szCs w:val="24"/>
        </w:rPr>
        <w:t>2006</w:t>
      </w:r>
      <w:r w:rsidRPr="00912FFE">
        <w:rPr>
          <w:noProof/>
          <w:szCs w:val="24"/>
        </w:rPr>
        <w:t xml:space="preserve">, </w:t>
      </w:r>
      <w:r w:rsidRPr="00912FFE">
        <w:rPr>
          <w:i/>
          <w:iCs/>
          <w:noProof/>
          <w:szCs w:val="24"/>
        </w:rPr>
        <w:t>24</w:t>
      </w:r>
      <w:r w:rsidRPr="00912FFE">
        <w:rPr>
          <w:noProof/>
          <w:szCs w:val="24"/>
        </w:rPr>
        <w:t xml:space="preserve"> (12), 1551–1557. https://doi.org/10.1038/nbt1267.</w:t>
      </w:r>
    </w:p>
    <w:p w14:paraId="6C24235A"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(182) </w:t>
      </w:r>
      <w:r w:rsidRPr="00912FFE">
        <w:rPr>
          <w:noProof/>
          <w:szCs w:val="24"/>
        </w:rPr>
        <w:tab/>
        <w:t xml:space="preserve">Wang, G. Database-Aided Prediction and Design of Novel Antimicrobial Peptides. In </w:t>
      </w:r>
      <w:r w:rsidRPr="00912FFE">
        <w:rPr>
          <w:i/>
          <w:iCs/>
          <w:noProof/>
          <w:szCs w:val="24"/>
        </w:rPr>
        <w:t>Antimicrobial Peptides: Discovery, Design and Novel Therapeutic Strategies</w:t>
      </w:r>
      <w:r w:rsidRPr="00912FFE">
        <w:rPr>
          <w:noProof/>
          <w:szCs w:val="24"/>
        </w:rPr>
        <w:t>; CABI Publishing, 2010; pp 72–86. https://doi.org/10.1079/9781845936570.0072.</w:t>
      </w:r>
    </w:p>
    <w:p w14:paraId="416D2CDB"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(183) </w:t>
      </w:r>
      <w:r w:rsidRPr="00912FFE">
        <w:rPr>
          <w:noProof/>
          <w:szCs w:val="24"/>
        </w:rPr>
        <w:tab/>
        <w:t xml:space="preserve">Pane, K.; Cafaro, V.; Avitabile, A.; Torres, M. D. T.; Vollaro, A.; De Gregorio, E.; Catania, M. R.; Di Maro, A.; Bosso, A.; Gallo, G.; Zanfardino, A.; Varcamonti, M.; Pizzo, E.; Di Donato, A.; Lu, T. K.; De La Fuente-Nunez, C.; Notomista, E. Identification of Novel Cryptic Multifunctional Antimicrobial Peptides from the Human Stomach Enabled by a Computational-Experimental Platform. </w:t>
      </w:r>
      <w:r w:rsidRPr="00912FFE">
        <w:rPr>
          <w:i/>
          <w:iCs/>
          <w:noProof/>
          <w:szCs w:val="24"/>
        </w:rPr>
        <w:t>ACS Synth. Biol.</w:t>
      </w:r>
      <w:r w:rsidRPr="00912FFE">
        <w:rPr>
          <w:noProof/>
          <w:szCs w:val="24"/>
        </w:rPr>
        <w:t xml:space="preserve"> </w:t>
      </w:r>
      <w:r w:rsidRPr="00912FFE">
        <w:rPr>
          <w:b/>
          <w:bCs/>
          <w:noProof/>
          <w:szCs w:val="24"/>
        </w:rPr>
        <w:t>2018</w:t>
      </w:r>
      <w:r w:rsidRPr="00912FFE">
        <w:rPr>
          <w:noProof/>
          <w:szCs w:val="24"/>
        </w:rPr>
        <w:t xml:space="preserve">, </w:t>
      </w:r>
      <w:r w:rsidRPr="00912FFE">
        <w:rPr>
          <w:i/>
          <w:iCs/>
          <w:noProof/>
          <w:szCs w:val="24"/>
        </w:rPr>
        <w:t>7</w:t>
      </w:r>
      <w:r w:rsidRPr="00912FFE">
        <w:rPr>
          <w:noProof/>
          <w:szCs w:val="24"/>
        </w:rPr>
        <w:t xml:space="preserve"> (9), 2105–2115. https://doi.org/10.1021/acssynbio.8b00084.</w:t>
      </w:r>
    </w:p>
    <w:p w14:paraId="145E9C76"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(184) </w:t>
      </w:r>
      <w:r w:rsidRPr="00912FFE">
        <w:rPr>
          <w:noProof/>
          <w:szCs w:val="24"/>
        </w:rPr>
        <w:tab/>
        <w:t xml:space="preserve">De Melo, E. T.; Estrela, A. B.; Santos, E. C. G.; Machado, P. R. L.; Farias, K. J. S.; Torres, T. M.; Carvalho, E.; Lima, J. P. M. S.; Silva-Júnior, A. A.; Barbosa, E. G.; Fernandes-Pedrosa, M. D. F. Structural Characterization of a Novel Peptide with Antimicrobial Activity from the Venom Gland of the Scorpion Tityus Stigmurus: Stigmurin. </w:t>
      </w:r>
      <w:r w:rsidRPr="00912FFE">
        <w:rPr>
          <w:i/>
          <w:iCs/>
          <w:noProof/>
          <w:szCs w:val="24"/>
        </w:rPr>
        <w:t>Peptides</w:t>
      </w:r>
      <w:r w:rsidRPr="00912FFE">
        <w:rPr>
          <w:noProof/>
          <w:szCs w:val="24"/>
        </w:rPr>
        <w:t xml:space="preserve"> </w:t>
      </w:r>
      <w:r w:rsidRPr="00912FFE">
        <w:rPr>
          <w:b/>
          <w:bCs/>
          <w:noProof/>
          <w:szCs w:val="24"/>
        </w:rPr>
        <w:t>2015</w:t>
      </w:r>
      <w:r w:rsidRPr="00912FFE">
        <w:rPr>
          <w:noProof/>
          <w:szCs w:val="24"/>
        </w:rPr>
        <w:t xml:space="preserve">, </w:t>
      </w:r>
      <w:r w:rsidRPr="00912FFE">
        <w:rPr>
          <w:i/>
          <w:iCs/>
          <w:noProof/>
          <w:szCs w:val="24"/>
        </w:rPr>
        <w:t>68</w:t>
      </w:r>
      <w:r w:rsidRPr="00912FFE">
        <w:rPr>
          <w:noProof/>
          <w:szCs w:val="24"/>
        </w:rPr>
        <w:t>, 3–10. https://doi.org/10.1016/j.peptides.2015.03.003.</w:t>
      </w:r>
    </w:p>
    <w:p w14:paraId="0CA5189D"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(185) </w:t>
      </w:r>
      <w:r w:rsidRPr="00912FFE">
        <w:rPr>
          <w:noProof/>
          <w:szCs w:val="24"/>
        </w:rPr>
        <w:tab/>
        <w:t xml:space="preserve">Malekkhaiat Häffner, S.; Malmsten, M. Influence of Self-Assembly on the Performance of Antimicrobial Peptides. </w:t>
      </w:r>
      <w:r w:rsidRPr="00912FFE">
        <w:rPr>
          <w:i/>
          <w:iCs/>
          <w:noProof/>
          <w:szCs w:val="24"/>
        </w:rPr>
        <w:t>Curr. Opin. Colloid Interface Sci.</w:t>
      </w:r>
      <w:r w:rsidRPr="00912FFE">
        <w:rPr>
          <w:noProof/>
          <w:szCs w:val="24"/>
        </w:rPr>
        <w:t xml:space="preserve"> </w:t>
      </w:r>
      <w:r w:rsidRPr="00912FFE">
        <w:rPr>
          <w:b/>
          <w:bCs/>
          <w:noProof/>
          <w:szCs w:val="24"/>
        </w:rPr>
        <w:t>2018</w:t>
      </w:r>
      <w:r w:rsidRPr="00912FFE">
        <w:rPr>
          <w:noProof/>
          <w:szCs w:val="24"/>
        </w:rPr>
        <w:t xml:space="preserve">, </w:t>
      </w:r>
      <w:r w:rsidRPr="00912FFE">
        <w:rPr>
          <w:i/>
          <w:iCs/>
          <w:noProof/>
          <w:szCs w:val="24"/>
        </w:rPr>
        <w:t>38</w:t>
      </w:r>
      <w:r w:rsidRPr="00912FFE">
        <w:rPr>
          <w:noProof/>
          <w:szCs w:val="24"/>
        </w:rPr>
        <w:t>, 56–79. https://doi.org/10.1016/j.cocis.2018.09.002.</w:t>
      </w:r>
    </w:p>
    <w:p w14:paraId="34ADE5ED"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(186) </w:t>
      </w:r>
      <w:r w:rsidRPr="00912FFE">
        <w:rPr>
          <w:noProof/>
          <w:szCs w:val="24"/>
        </w:rPr>
        <w:tab/>
        <w:t xml:space="preserve">Gour, S.; Kumar, V.; Singh, A.; Gadhave, K.; Goyal, P.; Pandey, J.; Giri, R.; Yadav, J. K. Mammalian Antimicrobial Peptide Protegrin‐4 Self Assembles and Forms Amyloid‐like Aggregates: Assessment of Its Functional Relevance. </w:t>
      </w:r>
      <w:r w:rsidRPr="00912FFE">
        <w:rPr>
          <w:i/>
          <w:iCs/>
          <w:noProof/>
          <w:szCs w:val="24"/>
        </w:rPr>
        <w:t>J. Pept. Sci.</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25</w:t>
      </w:r>
      <w:r w:rsidRPr="00912FFE">
        <w:rPr>
          <w:noProof/>
          <w:szCs w:val="24"/>
        </w:rPr>
        <w:t xml:space="preserve"> (3), e3151. https://doi.org/10.1002/psc.3151.</w:t>
      </w:r>
    </w:p>
    <w:p w14:paraId="0E5A72FE"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(187) </w:t>
      </w:r>
      <w:r w:rsidRPr="00912FFE">
        <w:rPr>
          <w:noProof/>
          <w:szCs w:val="24"/>
        </w:rPr>
        <w:tab/>
        <w:t xml:space="preserve">Mahalka, A. K.; Kinnunen, P. K. J. Binding of Amphipathic α-Helical Antimicrobial Peptides to Lipid Membranes: Lessons from Temporins B and L. </w:t>
      </w:r>
      <w:r w:rsidRPr="00912FFE">
        <w:rPr>
          <w:i/>
          <w:iCs/>
          <w:noProof/>
          <w:szCs w:val="24"/>
        </w:rPr>
        <w:t>Biochim. Biophys. Acta - Biomembr.</w:t>
      </w:r>
      <w:r w:rsidRPr="00912FFE">
        <w:rPr>
          <w:noProof/>
          <w:szCs w:val="24"/>
        </w:rPr>
        <w:t xml:space="preserve"> </w:t>
      </w:r>
      <w:r w:rsidRPr="00912FFE">
        <w:rPr>
          <w:b/>
          <w:bCs/>
          <w:noProof/>
          <w:szCs w:val="24"/>
        </w:rPr>
        <w:t>2009</w:t>
      </w:r>
      <w:r w:rsidRPr="00912FFE">
        <w:rPr>
          <w:noProof/>
          <w:szCs w:val="24"/>
        </w:rPr>
        <w:t xml:space="preserve">, </w:t>
      </w:r>
      <w:r w:rsidRPr="00912FFE">
        <w:rPr>
          <w:i/>
          <w:iCs/>
          <w:noProof/>
          <w:szCs w:val="24"/>
        </w:rPr>
        <w:t>1788</w:t>
      </w:r>
      <w:r w:rsidRPr="00912FFE">
        <w:rPr>
          <w:noProof/>
          <w:szCs w:val="24"/>
        </w:rPr>
        <w:t xml:space="preserve"> (8), 1600–1609. https://doi.org/10.1016/j.bbamem.2009.04.012.</w:t>
      </w:r>
    </w:p>
    <w:p w14:paraId="3EFA2F19"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(188) </w:t>
      </w:r>
      <w:r w:rsidRPr="00912FFE">
        <w:rPr>
          <w:noProof/>
          <w:szCs w:val="24"/>
        </w:rPr>
        <w:tab/>
        <w:t xml:space="preserve">Caflisch, A. Computational Models for the Prediction of Polypeptide Aggregation Propensity. </w:t>
      </w:r>
      <w:r w:rsidRPr="00912FFE">
        <w:rPr>
          <w:i/>
          <w:iCs/>
          <w:noProof/>
          <w:szCs w:val="24"/>
        </w:rPr>
        <w:t>Curr. Opin. Chem. Biol.</w:t>
      </w:r>
      <w:r w:rsidRPr="00912FFE">
        <w:rPr>
          <w:noProof/>
          <w:szCs w:val="24"/>
        </w:rPr>
        <w:t xml:space="preserve"> </w:t>
      </w:r>
      <w:r w:rsidRPr="00912FFE">
        <w:rPr>
          <w:b/>
          <w:bCs/>
          <w:noProof/>
          <w:szCs w:val="24"/>
        </w:rPr>
        <w:t>2006</w:t>
      </w:r>
      <w:r w:rsidRPr="00912FFE">
        <w:rPr>
          <w:noProof/>
          <w:szCs w:val="24"/>
        </w:rPr>
        <w:t xml:space="preserve">, </w:t>
      </w:r>
      <w:r w:rsidRPr="00912FFE">
        <w:rPr>
          <w:i/>
          <w:iCs/>
          <w:noProof/>
          <w:szCs w:val="24"/>
        </w:rPr>
        <w:t>10</w:t>
      </w:r>
      <w:r w:rsidRPr="00912FFE">
        <w:rPr>
          <w:noProof/>
          <w:szCs w:val="24"/>
        </w:rPr>
        <w:t xml:space="preserve"> (5), 437–444. https://doi.org/10.1016/j.cbpa.2006.07.009.</w:t>
      </w:r>
    </w:p>
    <w:p w14:paraId="1EEDAE19"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(189) </w:t>
      </w:r>
      <w:r w:rsidRPr="00912FFE">
        <w:rPr>
          <w:noProof/>
          <w:szCs w:val="24"/>
        </w:rPr>
        <w:tab/>
        <w:t xml:space="preserve">Zapadka, K. L.; Becher, F. J.; Gomes dos Santos, A. L.; Jackson, S. E. Factors Affecting the Physical Stability (Aggregation) of Peptide Therapeutics. </w:t>
      </w:r>
      <w:r w:rsidRPr="00912FFE">
        <w:rPr>
          <w:i/>
          <w:iCs/>
          <w:noProof/>
          <w:szCs w:val="24"/>
        </w:rPr>
        <w:t>Interface Focus</w:t>
      </w:r>
      <w:r w:rsidRPr="00912FFE">
        <w:rPr>
          <w:noProof/>
          <w:szCs w:val="24"/>
        </w:rPr>
        <w:t xml:space="preserve"> </w:t>
      </w:r>
      <w:r w:rsidRPr="00912FFE">
        <w:rPr>
          <w:b/>
          <w:bCs/>
          <w:noProof/>
          <w:szCs w:val="24"/>
        </w:rPr>
        <w:t>2017</w:t>
      </w:r>
      <w:r w:rsidRPr="00912FFE">
        <w:rPr>
          <w:noProof/>
          <w:szCs w:val="24"/>
        </w:rPr>
        <w:t xml:space="preserve">, </w:t>
      </w:r>
      <w:r w:rsidRPr="00912FFE">
        <w:rPr>
          <w:i/>
          <w:iCs/>
          <w:noProof/>
          <w:szCs w:val="24"/>
        </w:rPr>
        <w:t>7</w:t>
      </w:r>
      <w:r w:rsidRPr="00912FFE">
        <w:rPr>
          <w:noProof/>
          <w:szCs w:val="24"/>
        </w:rPr>
        <w:t xml:space="preserve"> (6), 20170030. https://doi.org/10.1098/rsfs.2017.0030.</w:t>
      </w:r>
    </w:p>
    <w:p w14:paraId="1F3CAAA8"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(190) </w:t>
      </w:r>
      <w:r w:rsidRPr="00912FFE">
        <w:rPr>
          <w:noProof/>
          <w:szCs w:val="24"/>
        </w:rPr>
        <w:tab/>
        <w:t xml:space="preserve">Conchillo-Solé, O.; de Groot, N. S.; Avilés, F. X.; Vendrell, J.; Daura, X.; Ventura, S. AGGRESCAN: A Server for the Prediction and Evaluation of “Hot Spots” of Aggregation in Polypeptides. </w:t>
      </w:r>
      <w:r w:rsidRPr="00912FFE">
        <w:rPr>
          <w:i/>
          <w:iCs/>
          <w:noProof/>
          <w:szCs w:val="24"/>
        </w:rPr>
        <w:t>BMC Bioinformatics</w:t>
      </w:r>
      <w:r w:rsidRPr="00912FFE">
        <w:rPr>
          <w:noProof/>
          <w:szCs w:val="24"/>
        </w:rPr>
        <w:t xml:space="preserve"> </w:t>
      </w:r>
      <w:r w:rsidRPr="00912FFE">
        <w:rPr>
          <w:b/>
          <w:bCs/>
          <w:noProof/>
          <w:szCs w:val="24"/>
        </w:rPr>
        <w:t>2007</w:t>
      </w:r>
      <w:r w:rsidRPr="00912FFE">
        <w:rPr>
          <w:noProof/>
          <w:szCs w:val="24"/>
        </w:rPr>
        <w:t xml:space="preserve">, </w:t>
      </w:r>
      <w:r w:rsidRPr="00912FFE">
        <w:rPr>
          <w:i/>
          <w:iCs/>
          <w:noProof/>
          <w:szCs w:val="24"/>
        </w:rPr>
        <w:t>8</w:t>
      </w:r>
      <w:r w:rsidRPr="00912FFE">
        <w:rPr>
          <w:noProof/>
          <w:szCs w:val="24"/>
        </w:rPr>
        <w:t xml:space="preserve"> (1), 1–17. https://doi.org/10.1186/1471-2105-8-65.</w:t>
      </w:r>
    </w:p>
    <w:p w14:paraId="756BC3FF"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(191) </w:t>
      </w:r>
      <w:r w:rsidRPr="00912FFE">
        <w:rPr>
          <w:noProof/>
          <w:szCs w:val="24"/>
        </w:rPr>
        <w:tab/>
        <w:t xml:space="preserve">O’Donnell, C. W.; Waldispühl, J.; Lis, M.; Halfmann, R.; Devadas, S.; Lindquist, S.; Berger, B. A Method for Probing the Mutational Landscape of Amyloid Structure. </w:t>
      </w:r>
      <w:r w:rsidRPr="00912FFE">
        <w:rPr>
          <w:i/>
          <w:iCs/>
          <w:noProof/>
          <w:szCs w:val="24"/>
        </w:rPr>
        <w:t>Bioinformatics</w:t>
      </w:r>
      <w:r w:rsidRPr="00912FFE">
        <w:rPr>
          <w:noProof/>
          <w:szCs w:val="24"/>
        </w:rPr>
        <w:t xml:space="preserve"> </w:t>
      </w:r>
      <w:r w:rsidRPr="00912FFE">
        <w:rPr>
          <w:b/>
          <w:bCs/>
          <w:noProof/>
          <w:szCs w:val="24"/>
        </w:rPr>
        <w:t>2011</w:t>
      </w:r>
      <w:r w:rsidRPr="00912FFE">
        <w:rPr>
          <w:noProof/>
          <w:szCs w:val="24"/>
        </w:rPr>
        <w:t xml:space="preserve">, </w:t>
      </w:r>
      <w:r w:rsidRPr="00912FFE">
        <w:rPr>
          <w:i/>
          <w:iCs/>
          <w:noProof/>
          <w:szCs w:val="24"/>
        </w:rPr>
        <w:t>27</w:t>
      </w:r>
      <w:r w:rsidRPr="00912FFE">
        <w:rPr>
          <w:noProof/>
          <w:szCs w:val="24"/>
        </w:rPr>
        <w:t xml:space="preserve"> (13), i34–i42. https://doi.org/10.1093/bioinformatics/btr238.</w:t>
      </w:r>
    </w:p>
    <w:p w14:paraId="424B0D17"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(192) </w:t>
      </w:r>
      <w:r w:rsidRPr="00912FFE">
        <w:rPr>
          <w:noProof/>
          <w:szCs w:val="24"/>
        </w:rPr>
        <w:tab/>
        <w:t xml:space="preserve">Tsolis, A. C.; Papandreou, N. C.; Iconomidou, V. A.; Hamodrakas, S. J. A Consensus Method for the Prediction of “Aggregation-Prone” Peptides in Globular Proteins. </w:t>
      </w:r>
      <w:r w:rsidRPr="00912FFE">
        <w:rPr>
          <w:i/>
          <w:iCs/>
          <w:noProof/>
          <w:szCs w:val="24"/>
        </w:rPr>
        <w:t>PLoS One</w:t>
      </w:r>
      <w:r w:rsidRPr="00912FFE">
        <w:rPr>
          <w:noProof/>
          <w:szCs w:val="24"/>
        </w:rPr>
        <w:t xml:space="preserve"> </w:t>
      </w:r>
      <w:r w:rsidRPr="00912FFE">
        <w:rPr>
          <w:b/>
          <w:bCs/>
          <w:noProof/>
          <w:szCs w:val="24"/>
        </w:rPr>
        <w:t>2013</w:t>
      </w:r>
      <w:r w:rsidRPr="00912FFE">
        <w:rPr>
          <w:noProof/>
          <w:szCs w:val="24"/>
        </w:rPr>
        <w:t xml:space="preserve">, </w:t>
      </w:r>
      <w:r w:rsidRPr="00912FFE">
        <w:rPr>
          <w:i/>
          <w:iCs/>
          <w:noProof/>
          <w:szCs w:val="24"/>
        </w:rPr>
        <w:t>8</w:t>
      </w:r>
      <w:r w:rsidRPr="00912FFE">
        <w:rPr>
          <w:noProof/>
          <w:szCs w:val="24"/>
        </w:rPr>
        <w:t xml:space="preserve"> (1), e54175. https://doi.org/10.1371/journal.pone.0054175.</w:t>
      </w:r>
    </w:p>
    <w:p w14:paraId="54420425"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(193) </w:t>
      </w:r>
      <w:r w:rsidRPr="00912FFE">
        <w:rPr>
          <w:noProof/>
          <w:szCs w:val="24"/>
        </w:rPr>
        <w:tab/>
        <w:t xml:space="preserve">Sormanni, P.; Aprile, F. A.; Vendruscolo, M. The CamSol Method of Rational Design of Protein Mutants with Enhanced Solubility. </w:t>
      </w:r>
      <w:r w:rsidRPr="00912FFE">
        <w:rPr>
          <w:i/>
          <w:iCs/>
          <w:noProof/>
          <w:szCs w:val="24"/>
        </w:rPr>
        <w:t>J. Mol. Biol.</w:t>
      </w:r>
      <w:r w:rsidRPr="00912FFE">
        <w:rPr>
          <w:noProof/>
          <w:szCs w:val="24"/>
        </w:rPr>
        <w:t xml:space="preserve"> </w:t>
      </w:r>
      <w:r w:rsidRPr="00912FFE">
        <w:rPr>
          <w:b/>
          <w:bCs/>
          <w:noProof/>
          <w:szCs w:val="24"/>
        </w:rPr>
        <w:t>2015</w:t>
      </w:r>
      <w:r w:rsidRPr="00912FFE">
        <w:rPr>
          <w:noProof/>
          <w:szCs w:val="24"/>
        </w:rPr>
        <w:t xml:space="preserve">, </w:t>
      </w:r>
      <w:r w:rsidRPr="00912FFE">
        <w:rPr>
          <w:i/>
          <w:iCs/>
          <w:noProof/>
          <w:szCs w:val="24"/>
        </w:rPr>
        <w:t>427</w:t>
      </w:r>
      <w:r w:rsidRPr="00912FFE">
        <w:rPr>
          <w:noProof/>
          <w:szCs w:val="24"/>
        </w:rPr>
        <w:t xml:space="preserve"> (2), 478–490. https://doi.org/10.1016/j.jmb.2014.09.026.</w:t>
      </w:r>
    </w:p>
    <w:p w14:paraId="03A5E2A7"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(194) </w:t>
      </w:r>
      <w:r w:rsidRPr="00912FFE">
        <w:rPr>
          <w:noProof/>
          <w:szCs w:val="24"/>
        </w:rPr>
        <w:tab/>
        <w:t xml:space="preserve">Yang, Z. Y.; Yang, Z. J.; Dong, J.; Wang, L. L.; Zhang, L. X.; Ding, J. J.; Ding, X. Q.; Lu, A. P.; Hou, T. J.; Cao, D. S. Structural Analysis and Identification of Colloidal Aggregators in Drug Discovery. </w:t>
      </w:r>
      <w:r w:rsidRPr="00912FFE">
        <w:rPr>
          <w:i/>
          <w:iCs/>
          <w:noProof/>
          <w:szCs w:val="24"/>
        </w:rPr>
        <w:t>J. Chem. Inf. Model.</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59</w:t>
      </w:r>
      <w:r w:rsidRPr="00912FFE">
        <w:rPr>
          <w:noProof/>
          <w:szCs w:val="24"/>
        </w:rPr>
        <w:t xml:space="preserve"> (9), 3714–3726. https://doi.org/10.1021/acs.jcim.9b00541.</w:t>
      </w:r>
    </w:p>
    <w:p w14:paraId="0DF4C0AA"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(195) </w:t>
      </w:r>
      <w:r w:rsidRPr="00912FFE">
        <w:rPr>
          <w:noProof/>
          <w:szCs w:val="24"/>
        </w:rPr>
        <w:tab/>
        <w:t xml:space="preserve">Garbuzynskiy, S. O.; Lobanov, M. Y.; Galzitskaya, O. V. FoldAmyloid: A Method of Prediction of Amyloidogenic Regions from Protein Sequence. </w:t>
      </w:r>
      <w:r w:rsidRPr="00912FFE">
        <w:rPr>
          <w:i/>
          <w:iCs/>
          <w:noProof/>
          <w:szCs w:val="24"/>
        </w:rPr>
        <w:t>Bioinformatics</w:t>
      </w:r>
      <w:r w:rsidRPr="00912FFE">
        <w:rPr>
          <w:noProof/>
          <w:szCs w:val="24"/>
        </w:rPr>
        <w:t xml:space="preserve"> </w:t>
      </w:r>
      <w:r w:rsidRPr="00912FFE">
        <w:rPr>
          <w:b/>
          <w:bCs/>
          <w:noProof/>
          <w:szCs w:val="24"/>
        </w:rPr>
        <w:t>2010</w:t>
      </w:r>
      <w:r w:rsidRPr="00912FFE">
        <w:rPr>
          <w:noProof/>
          <w:szCs w:val="24"/>
        </w:rPr>
        <w:t xml:space="preserve">, </w:t>
      </w:r>
      <w:r w:rsidRPr="00912FFE">
        <w:rPr>
          <w:i/>
          <w:iCs/>
          <w:noProof/>
          <w:szCs w:val="24"/>
        </w:rPr>
        <w:t>26</w:t>
      </w:r>
      <w:r w:rsidRPr="00912FFE">
        <w:rPr>
          <w:noProof/>
          <w:szCs w:val="24"/>
        </w:rPr>
        <w:t xml:space="preserve"> (3), </w:t>
      </w:r>
      <w:r w:rsidRPr="00912FFE">
        <w:rPr>
          <w:noProof/>
          <w:szCs w:val="24"/>
        </w:rPr>
        <w:lastRenderedPageBreak/>
        <w:t>326–332. https://doi.org/10.1093/bioinformatics/btp691.</w:t>
      </w:r>
    </w:p>
    <w:p w14:paraId="019002BE"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(196) </w:t>
      </w:r>
      <w:r w:rsidRPr="00912FFE">
        <w:rPr>
          <w:noProof/>
          <w:szCs w:val="24"/>
        </w:rPr>
        <w:tab/>
        <w:t xml:space="preserve">Emily, M.; Talvas, A.; Delamarche, C. MetAmyl: A METa-Predictor for AMYLoid Proteins. </w:t>
      </w:r>
      <w:r w:rsidRPr="00912FFE">
        <w:rPr>
          <w:i/>
          <w:iCs/>
          <w:noProof/>
          <w:szCs w:val="24"/>
        </w:rPr>
        <w:t>PLoS One</w:t>
      </w:r>
      <w:r w:rsidRPr="00912FFE">
        <w:rPr>
          <w:noProof/>
          <w:szCs w:val="24"/>
        </w:rPr>
        <w:t xml:space="preserve"> </w:t>
      </w:r>
      <w:r w:rsidRPr="00912FFE">
        <w:rPr>
          <w:b/>
          <w:bCs/>
          <w:noProof/>
          <w:szCs w:val="24"/>
        </w:rPr>
        <w:t>2013</w:t>
      </w:r>
      <w:r w:rsidRPr="00912FFE">
        <w:rPr>
          <w:noProof/>
          <w:szCs w:val="24"/>
        </w:rPr>
        <w:t xml:space="preserve">, </w:t>
      </w:r>
      <w:r w:rsidRPr="00912FFE">
        <w:rPr>
          <w:i/>
          <w:iCs/>
          <w:noProof/>
          <w:szCs w:val="24"/>
        </w:rPr>
        <w:t>8</w:t>
      </w:r>
      <w:r w:rsidRPr="00912FFE">
        <w:rPr>
          <w:noProof/>
          <w:szCs w:val="24"/>
        </w:rPr>
        <w:t xml:space="preserve"> (11), e79722. https://doi.org/10.1371/journal.pone.0079722.</w:t>
      </w:r>
    </w:p>
    <w:p w14:paraId="0CC5E35B"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(197) </w:t>
      </w:r>
      <w:r w:rsidRPr="00912FFE">
        <w:rPr>
          <w:noProof/>
          <w:szCs w:val="24"/>
        </w:rPr>
        <w:tab/>
        <w:t xml:space="preserve">Kim, C.; Choi, J.; Lee, S. J.; Welsh, W. J.; Yoon, S. NetCSSP: Web Application for Predicting Chameleon Sequences and Amyloid Fibril Formation. </w:t>
      </w:r>
      <w:r w:rsidRPr="00912FFE">
        <w:rPr>
          <w:i/>
          <w:iCs/>
          <w:noProof/>
          <w:szCs w:val="24"/>
        </w:rPr>
        <w:t>Nucleic Acids Res.</w:t>
      </w:r>
      <w:r w:rsidRPr="00912FFE">
        <w:rPr>
          <w:noProof/>
          <w:szCs w:val="24"/>
        </w:rPr>
        <w:t xml:space="preserve"> </w:t>
      </w:r>
      <w:r w:rsidRPr="00912FFE">
        <w:rPr>
          <w:b/>
          <w:bCs/>
          <w:noProof/>
          <w:szCs w:val="24"/>
        </w:rPr>
        <w:t>2009</w:t>
      </w:r>
      <w:r w:rsidRPr="00912FFE">
        <w:rPr>
          <w:noProof/>
          <w:szCs w:val="24"/>
        </w:rPr>
        <w:t xml:space="preserve">, </w:t>
      </w:r>
      <w:r w:rsidRPr="00912FFE">
        <w:rPr>
          <w:i/>
          <w:iCs/>
          <w:noProof/>
          <w:szCs w:val="24"/>
        </w:rPr>
        <w:t>37</w:t>
      </w:r>
      <w:r w:rsidRPr="00912FFE">
        <w:rPr>
          <w:noProof/>
          <w:szCs w:val="24"/>
        </w:rPr>
        <w:t xml:space="preserve"> (SUPPL. 2), W469. https://doi.org/10.1093/nar/gkp351.</w:t>
      </w:r>
    </w:p>
    <w:p w14:paraId="1EAFD39B"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(198) </w:t>
      </w:r>
      <w:r w:rsidRPr="00912FFE">
        <w:rPr>
          <w:noProof/>
          <w:szCs w:val="24"/>
        </w:rPr>
        <w:tab/>
        <w:t xml:space="preserve">Tian, J.; Wu, N.; Guo, J.; Fan, Y. Prediction of Amyloid Fibril-Forming Segments Based on a Support Vector Machine. </w:t>
      </w:r>
      <w:r w:rsidRPr="00912FFE">
        <w:rPr>
          <w:i/>
          <w:iCs/>
          <w:noProof/>
          <w:szCs w:val="24"/>
        </w:rPr>
        <w:t>BMC Bioinformatics</w:t>
      </w:r>
      <w:r w:rsidRPr="00912FFE">
        <w:rPr>
          <w:noProof/>
          <w:szCs w:val="24"/>
        </w:rPr>
        <w:t xml:space="preserve"> </w:t>
      </w:r>
      <w:r w:rsidRPr="00912FFE">
        <w:rPr>
          <w:b/>
          <w:bCs/>
          <w:noProof/>
          <w:szCs w:val="24"/>
        </w:rPr>
        <w:t>2009</w:t>
      </w:r>
      <w:r w:rsidRPr="00912FFE">
        <w:rPr>
          <w:noProof/>
          <w:szCs w:val="24"/>
        </w:rPr>
        <w:t xml:space="preserve">, </w:t>
      </w:r>
      <w:r w:rsidRPr="00912FFE">
        <w:rPr>
          <w:i/>
          <w:iCs/>
          <w:noProof/>
          <w:szCs w:val="24"/>
        </w:rPr>
        <w:t>10</w:t>
      </w:r>
      <w:r w:rsidRPr="00912FFE">
        <w:rPr>
          <w:noProof/>
          <w:szCs w:val="24"/>
        </w:rPr>
        <w:t xml:space="preserve"> (Suppl. 1), S45. https://doi.org/10.1186/1471-2105-10-S1-S45.</w:t>
      </w:r>
    </w:p>
    <w:p w14:paraId="5A55B377"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(199) </w:t>
      </w:r>
      <w:r w:rsidRPr="00912FFE">
        <w:rPr>
          <w:noProof/>
          <w:szCs w:val="24"/>
        </w:rPr>
        <w:tab/>
        <w:t xml:space="preserve">Walsh, I.; Seno, F.; Tosatto, S. C. E.; Trovato, A. PASTA 2.0: An Improved Server for Protein Aggregation Prediction. </w:t>
      </w:r>
      <w:r w:rsidRPr="00912FFE">
        <w:rPr>
          <w:i/>
          <w:iCs/>
          <w:noProof/>
          <w:szCs w:val="24"/>
        </w:rPr>
        <w:t>Nucleic Acids Res.</w:t>
      </w:r>
      <w:r w:rsidRPr="00912FFE">
        <w:rPr>
          <w:noProof/>
          <w:szCs w:val="24"/>
        </w:rPr>
        <w:t xml:space="preserve"> </w:t>
      </w:r>
      <w:r w:rsidRPr="00912FFE">
        <w:rPr>
          <w:b/>
          <w:bCs/>
          <w:noProof/>
          <w:szCs w:val="24"/>
        </w:rPr>
        <w:t>2014</w:t>
      </w:r>
      <w:r w:rsidRPr="00912FFE">
        <w:rPr>
          <w:noProof/>
          <w:szCs w:val="24"/>
        </w:rPr>
        <w:t xml:space="preserve">, </w:t>
      </w:r>
      <w:r w:rsidRPr="00912FFE">
        <w:rPr>
          <w:i/>
          <w:iCs/>
          <w:noProof/>
          <w:szCs w:val="24"/>
        </w:rPr>
        <w:t>42</w:t>
      </w:r>
      <w:r w:rsidRPr="00912FFE">
        <w:rPr>
          <w:noProof/>
          <w:szCs w:val="24"/>
        </w:rPr>
        <w:t xml:space="preserve"> (W1), W301. https://doi.org/10.1093/nar/gku399.</w:t>
      </w:r>
    </w:p>
    <w:p w14:paraId="24D2CFBC"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(200) </w:t>
      </w:r>
      <w:r w:rsidRPr="00912FFE">
        <w:rPr>
          <w:noProof/>
          <w:szCs w:val="24"/>
        </w:rPr>
        <w:tab/>
        <w:t xml:space="preserve">Hamodrakas, S. J. A Protein Secondary Structure Prediction Scheme for the IBM PC and Compatibles. </w:t>
      </w:r>
      <w:r w:rsidRPr="00912FFE">
        <w:rPr>
          <w:i/>
          <w:iCs/>
          <w:noProof/>
          <w:szCs w:val="24"/>
        </w:rPr>
        <w:t>Bioinformatics</w:t>
      </w:r>
      <w:r w:rsidRPr="00912FFE">
        <w:rPr>
          <w:noProof/>
          <w:szCs w:val="24"/>
        </w:rPr>
        <w:t xml:space="preserve"> </w:t>
      </w:r>
      <w:r w:rsidRPr="00912FFE">
        <w:rPr>
          <w:b/>
          <w:bCs/>
          <w:noProof/>
          <w:szCs w:val="24"/>
        </w:rPr>
        <w:t>1988</w:t>
      </w:r>
      <w:r w:rsidRPr="00912FFE">
        <w:rPr>
          <w:noProof/>
          <w:szCs w:val="24"/>
        </w:rPr>
        <w:t xml:space="preserve">, </w:t>
      </w:r>
      <w:r w:rsidRPr="00912FFE">
        <w:rPr>
          <w:i/>
          <w:iCs/>
          <w:noProof/>
          <w:szCs w:val="24"/>
        </w:rPr>
        <w:t>4</w:t>
      </w:r>
      <w:r w:rsidRPr="00912FFE">
        <w:rPr>
          <w:noProof/>
          <w:szCs w:val="24"/>
        </w:rPr>
        <w:t xml:space="preserve"> (4), 473–477. https://doi.org/10.1093/bioinformatics/4.4.473.</w:t>
      </w:r>
    </w:p>
    <w:p w14:paraId="467825E1"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(201) </w:t>
      </w:r>
      <w:r w:rsidRPr="00912FFE">
        <w:rPr>
          <w:noProof/>
          <w:szCs w:val="24"/>
        </w:rPr>
        <w:tab/>
        <w:t xml:space="preserve">Fernandez-Escamilla, A. M.; Rousseau, F.; Schymkowitz, J.; Serrano, L. Prediction of Sequence-Dependent and Mutational Effects on the Aggregation of Peptides and Proteins. </w:t>
      </w:r>
      <w:r w:rsidRPr="00912FFE">
        <w:rPr>
          <w:i/>
          <w:iCs/>
          <w:noProof/>
          <w:szCs w:val="24"/>
        </w:rPr>
        <w:t>Nat. Biotechnol.</w:t>
      </w:r>
      <w:r w:rsidRPr="00912FFE">
        <w:rPr>
          <w:noProof/>
          <w:szCs w:val="24"/>
        </w:rPr>
        <w:t xml:space="preserve"> </w:t>
      </w:r>
      <w:r w:rsidRPr="00912FFE">
        <w:rPr>
          <w:b/>
          <w:bCs/>
          <w:noProof/>
          <w:szCs w:val="24"/>
        </w:rPr>
        <w:t>2004</w:t>
      </w:r>
      <w:r w:rsidRPr="00912FFE">
        <w:rPr>
          <w:noProof/>
          <w:szCs w:val="24"/>
        </w:rPr>
        <w:t xml:space="preserve">, </w:t>
      </w:r>
      <w:r w:rsidRPr="00912FFE">
        <w:rPr>
          <w:i/>
          <w:iCs/>
          <w:noProof/>
          <w:szCs w:val="24"/>
        </w:rPr>
        <w:t>22</w:t>
      </w:r>
      <w:r w:rsidRPr="00912FFE">
        <w:rPr>
          <w:noProof/>
          <w:szCs w:val="24"/>
        </w:rPr>
        <w:t xml:space="preserve"> (10), 1302–1306. https://doi.org/10.1038/nbt1012.</w:t>
      </w:r>
    </w:p>
    <w:p w14:paraId="0A5206A1"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(202) </w:t>
      </w:r>
      <w:r w:rsidRPr="00912FFE">
        <w:rPr>
          <w:noProof/>
          <w:szCs w:val="24"/>
        </w:rPr>
        <w:tab/>
        <w:t xml:space="preserve">Oliveberg, M. Waltz, an Exciting New Move in Amyloid Prediction. </w:t>
      </w:r>
      <w:r w:rsidRPr="00912FFE">
        <w:rPr>
          <w:i/>
          <w:iCs/>
          <w:noProof/>
          <w:szCs w:val="24"/>
        </w:rPr>
        <w:t>Nat. Methods</w:t>
      </w:r>
      <w:r w:rsidRPr="00912FFE">
        <w:rPr>
          <w:noProof/>
          <w:szCs w:val="24"/>
        </w:rPr>
        <w:t xml:space="preserve"> </w:t>
      </w:r>
      <w:r w:rsidRPr="00912FFE">
        <w:rPr>
          <w:b/>
          <w:bCs/>
          <w:noProof/>
          <w:szCs w:val="24"/>
        </w:rPr>
        <w:t>2010</w:t>
      </w:r>
      <w:r w:rsidRPr="00912FFE">
        <w:rPr>
          <w:noProof/>
          <w:szCs w:val="24"/>
        </w:rPr>
        <w:t xml:space="preserve">, </w:t>
      </w:r>
      <w:r w:rsidRPr="00912FFE">
        <w:rPr>
          <w:i/>
          <w:iCs/>
          <w:noProof/>
          <w:szCs w:val="24"/>
        </w:rPr>
        <w:t>7</w:t>
      </w:r>
      <w:r w:rsidRPr="00912FFE">
        <w:rPr>
          <w:noProof/>
          <w:szCs w:val="24"/>
        </w:rPr>
        <w:t xml:space="preserve"> (3), 187–188. https://doi.org/10.1038/nmeth0310-187.</w:t>
      </w:r>
    </w:p>
    <w:p w14:paraId="07D4F275"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(203) </w:t>
      </w:r>
      <w:r w:rsidRPr="00912FFE">
        <w:rPr>
          <w:noProof/>
          <w:szCs w:val="24"/>
        </w:rPr>
        <w:tab/>
        <w:t xml:space="preserve">Goldschmidt, L.; Teng, P. K.; Riek, R.; Eisenberg, D. Identifying the Amylome, Proteins Capable of Forming Amyloid-like Fibrils. </w:t>
      </w:r>
      <w:r w:rsidRPr="00912FFE">
        <w:rPr>
          <w:i/>
          <w:iCs/>
          <w:noProof/>
          <w:szCs w:val="24"/>
        </w:rPr>
        <w:t>Proc. Natl. Acad. Sci. U. S. A.</w:t>
      </w:r>
      <w:r w:rsidRPr="00912FFE">
        <w:rPr>
          <w:noProof/>
          <w:szCs w:val="24"/>
        </w:rPr>
        <w:t xml:space="preserve"> </w:t>
      </w:r>
      <w:r w:rsidRPr="00912FFE">
        <w:rPr>
          <w:b/>
          <w:bCs/>
          <w:noProof/>
          <w:szCs w:val="24"/>
        </w:rPr>
        <w:t>2010</w:t>
      </w:r>
      <w:r w:rsidRPr="00912FFE">
        <w:rPr>
          <w:noProof/>
          <w:szCs w:val="24"/>
        </w:rPr>
        <w:t xml:space="preserve">, </w:t>
      </w:r>
      <w:r w:rsidRPr="00912FFE">
        <w:rPr>
          <w:i/>
          <w:iCs/>
          <w:noProof/>
          <w:szCs w:val="24"/>
        </w:rPr>
        <w:t>107</w:t>
      </w:r>
      <w:r w:rsidRPr="00912FFE">
        <w:rPr>
          <w:noProof/>
          <w:szCs w:val="24"/>
        </w:rPr>
        <w:t xml:space="preserve"> (8), 3487–3492. https://doi.org/10.1073/pnas.0915166107.</w:t>
      </w:r>
    </w:p>
    <w:p w14:paraId="0F662D2D"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(204) </w:t>
      </w:r>
      <w:r w:rsidRPr="00912FFE">
        <w:rPr>
          <w:noProof/>
          <w:szCs w:val="24"/>
        </w:rPr>
        <w:tab/>
        <w:t xml:space="preserve">Lan, Y.; Ye, Y.; Kozlowska, J.; Lam, J. K. W.; Drake, A. F.; Mason, A. J. Structural Contributions to the Intracellular Targeting Strategies of Antimicrobial Peptides. </w:t>
      </w:r>
      <w:r w:rsidRPr="00912FFE">
        <w:rPr>
          <w:i/>
          <w:iCs/>
          <w:noProof/>
          <w:szCs w:val="24"/>
        </w:rPr>
        <w:t>Biochim. Biophys. Acta - Biomembr.</w:t>
      </w:r>
      <w:r w:rsidRPr="00912FFE">
        <w:rPr>
          <w:noProof/>
          <w:szCs w:val="24"/>
        </w:rPr>
        <w:t xml:space="preserve"> </w:t>
      </w:r>
      <w:r w:rsidRPr="00912FFE">
        <w:rPr>
          <w:b/>
          <w:bCs/>
          <w:noProof/>
          <w:szCs w:val="24"/>
        </w:rPr>
        <w:t>2010</w:t>
      </w:r>
      <w:r w:rsidRPr="00912FFE">
        <w:rPr>
          <w:noProof/>
          <w:szCs w:val="24"/>
        </w:rPr>
        <w:t xml:space="preserve">, </w:t>
      </w:r>
      <w:r w:rsidRPr="00912FFE">
        <w:rPr>
          <w:i/>
          <w:iCs/>
          <w:noProof/>
          <w:szCs w:val="24"/>
        </w:rPr>
        <w:t>1798</w:t>
      </w:r>
      <w:r w:rsidRPr="00912FFE">
        <w:rPr>
          <w:noProof/>
          <w:szCs w:val="24"/>
        </w:rPr>
        <w:t xml:space="preserve"> (10), 1934–1943. https://doi.org/10.1016/j.bbamem.2010.07.003.</w:t>
      </w:r>
    </w:p>
    <w:p w14:paraId="5DDFD370"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(205) </w:t>
      </w:r>
      <w:r w:rsidRPr="00912FFE">
        <w:rPr>
          <w:noProof/>
          <w:szCs w:val="24"/>
        </w:rPr>
        <w:tab/>
        <w:t xml:space="preserve">Peng, S.; Yang, M.; Sun, R. N.; Liu, Y.; Wang, W.; Xi, Q.; Gong, H.; Chen, C. Mechanism of Actions of Oncocin, a Proline-Rich Antimicrobial Peptide, in Early Elongation Revealed by Single-Molecule FRET. </w:t>
      </w:r>
      <w:r w:rsidRPr="00912FFE">
        <w:rPr>
          <w:i/>
          <w:iCs/>
          <w:noProof/>
          <w:szCs w:val="24"/>
        </w:rPr>
        <w:t>Protein Cell</w:t>
      </w:r>
      <w:r w:rsidRPr="00912FFE">
        <w:rPr>
          <w:noProof/>
          <w:szCs w:val="24"/>
        </w:rPr>
        <w:t xml:space="preserve"> </w:t>
      </w:r>
      <w:r w:rsidRPr="00912FFE">
        <w:rPr>
          <w:b/>
          <w:bCs/>
          <w:noProof/>
          <w:szCs w:val="24"/>
        </w:rPr>
        <w:t>2018</w:t>
      </w:r>
      <w:r w:rsidRPr="00912FFE">
        <w:rPr>
          <w:noProof/>
          <w:szCs w:val="24"/>
        </w:rPr>
        <w:t xml:space="preserve">, </w:t>
      </w:r>
      <w:r w:rsidRPr="00912FFE">
        <w:rPr>
          <w:i/>
          <w:iCs/>
          <w:noProof/>
          <w:szCs w:val="24"/>
        </w:rPr>
        <w:t>9</w:t>
      </w:r>
      <w:r w:rsidRPr="00912FFE">
        <w:rPr>
          <w:noProof/>
          <w:szCs w:val="24"/>
        </w:rPr>
        <w:t xml:space="preserve"> (10), 890–895. https://doi.org/10.1007/s13238-017-0495-2.</w:t>
      </w:r>
    </w:p>
    <w:p w14:paraId="6EBF6373"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(206) </w:t>
      </w:r>
      <w:r w:rsidRPr="00912FFE">
        <w:rPr>
          <w:noProof/>
          <w:szCs w:val="24"/>
        </w:rPr>
        <w:tab/>
        <w:t xml:space="preserve">Shai, Y. Mode of Action of Membrane Active Antimicrobial Peptides. </w:t>
      </w:r>
      <w:r w:rsidRPr="00912FFE">
        <w:rPr>
          <w:i/>
          <w:iCs/>
          <w:noProof/>
          <w:szCs w:val="24"/>
        </w:rPr>
        <w:t>Biopolymers</w:t>
      </w:r>
      <w:r w:rsidRPr="00912FFE">
        <w:rPr>
          <w:noProof/>
          <w:szCs w:val="24"/>
        </w:rPr>
        <w:t xml:space="preserve"> </w:t>
      </w:r>
      <w:r w:rsidRPr="00912FFE">
        <w:rPr>
          <w:b/>
          <w:bCs/>
          <w:noProof/>
          <w:szCs w:val="24"/>
        </w:rPr>
        <w:t>2002</w:t>
      </w:r>
      <w:r w:rsidRPr="00912FFE">
        <w:rPr>
          <w:noProof/>
          <w:szCs w:val="24"/>
        </w:rPr>
        <w:t xml:space="preserve">, </w:t>
      </w:r>
      <w:r w:rsidRPr="00912FFE">
        <w:rPr>
          <w:i/>
          <w:iCs/>
          <w:noProof/>
          <w:szCs w:val="24"/>
        </w:rPr>
        <w:t>66</w:t>
      </w:r>
      <w:r w:rsidRPr="00912FFE">
        <w:rPr>
          <w:noProof/>
          <w:szCs w:val="24"/>
        </w:rPr>
        <w:t xml:space="preserve"> (4), 236–248. https://doi.org/10.1002/bip.10260.</w:t>
      </w:r>
    </w:p>
    <w:p w14:paraId="3F5724F8"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(207) </w:t>
      </w:r>
      <w:r w:rsidRPr="00912FFE">
        <w:rPr>
          <w:noProof/>
          <w:szCs w:val="24"/>
        </w:rPr>
        <w:tab/>
        <w:t xml:space="preserve">Bond, P. J.; Khalid, S. Antimicrobial and Cell-Penetrating Peptides: Structure, Assembly and Mechanisms of Membrane Lysis via Atomistic and Coarse-Grained Molecular Dynamic Simulations. </w:t>
      </w:r>
      <w:r w:rsidRPr="00912FFE">
        <w:rPr>
          <w:i/>
          <w:iCs/>
          <w:noProof/>
          <w:szCs w:val="24"/>
        </w:rPr>
        <w:t>Protein Pept. Lett.</w:t>
      </w:r>
      <w:r w:rsidRPr="00912FFE">
        <w:rPr>
          <w:noProof/>
          <w:szCs w:val="24"/>
        </w:rPr>
        <w:t xml:space="preserve"> </w:t>
      </w:r>
      <w:r w:rsidRPr="00912FFE">
        <w:rPr>
          <w:b/>
          <w:bCs/>
          <w:noProof/>
          <w:szCs w:val="24"/>
        </w:rPr>
        <w:t>2012</w:t>
      </w:r>
      <w:r w:rsidRPr="00912FFE">
        <w:rPr>
          <w:noProof/>
          <w:szCs w:val="24"/>
        </w:rPr>
        <w:t xml:space="preserve">, </w:t>
      </w:r>
      <w:r w:rsidRPr="00912FFE">
        <w:rPr>
          <w:i/>
          <w:iCs/>
          <w:noProof/>
          <w:szCs w:val="24"/>
        </w:rPr>
        <w:t>17</w:t>
      </w:r>
      <w:r w:rsidRPr="00912FFE">
        <w:rPr>
          <w:noProof/>
          <w:szCs w:val="24"/>
        </w:rPr>
        <w:t xml:space="preserve"> (11), 1313–1327. https://doi.org/10.2174/0929866511009011313.</w:t>
      </w:r>
    </w:p>
    <w:p w14:paraId="0D32110B"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(208) </w:t>
      </w:r>
      <w:r w:rsidRPr="00912FFE">
        <w:rPr>
          <w:noProof/>
          <w:szCs w:val="24"/>
        </w:rPr>
        <w:tab/>
        <w:t xml:space="preserve">Reid, L. M.; Verma, C. S.; Essex, J. W. The Role of Molecular Simulations in Understanding the Mechanisms of Cell-Penetrating Peptides. </w:t>
      </w:r>
      <w:r w:rsidRPr="00912FFE">
        <w:rPr>
          <w:i/>
          <w:iCs/>
          <w:noProof/>
          <w:szCs w:val="24"/>
        </w:rPr>
        <w:t>Drug Discov. Today</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24</w:t>
      </w:r>
      <w:r w:rsidRPr="00912FFE">
        <w:rPr>
          <w:noProof/>
          <w:szCs w:val="24"/>
        </w:rPr>
        <w:t xml:space="preserve"> (9), 1821–1835. https://doi.org/10.1016/j.drudis.2019.06.013.</w:t>
      </w:r>
    </w:p>
    <w:p w14:paraId="54C48965"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(209) </w:t>
      </w:r>
      <w:r w:rsidRPr="00912FFE">
        <w:rPr>
          <w:noProof/>
          <w:szCs w:val="24"/>
        </w:rPr>
        <w:tab/>
        <w:t xml:space="preserve">Leach, A. R. </w:t>
      </w:r>
      <w:r w:rsidRPr="00912FFE">
        <w:rPr>
          <w:i/>
          <w:iCs/>
          <w:noProof/>
          <w:szCs w:val="24"/>
        </w:rPr>
        <w:t>Molecular Modelling: Principles and Applications</w:t>
      </w:r>
      <w:r w:rsidRPr="00912FFE">
        <w:rPr>
          <w:noProof/>
          <w:szCs w:val="24"/>
        </w:rPr>
        <w:t>, 2nd Ed.; Prentice Hall: Upper Saddle River, NJ, 2001.</w:t>
      </w:r>
    </w:p>
    <w:p w14:paraId="12D7BC97"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(210) </w:t>
      </w:r>
      <w:r w:rsidRPr="00912FFE">
        <w:rPr>
          <w:noProof/>
          <w:szCs w:val="24"/>
        </w:rPr>
        <w:tab/>
        <w:t xml:space="preserve">Klepeis, J. L.; Lindorff-Larsen, K.; Dror, R. O.; Shaw, D. E. Long-Timescale Molecular Dynamics Simulations of Protein Structure and Function. </w:t>
      </w:r>
      <w:r w:rsidRPr="00912FFE">
        <w:rPr>
          <w:i/>
          <w:iCs/>
          <w:noProof/>
          <w:szCs w:val="24"/>
        </w:rPr>
        <w:t>Curr. Opin. Struct. Biol.</w:t>
      </w:r>
      <w:r w:rsidRPr="00912FFE">
        <w:rPr>
          <w:noProof/>
          <w:szCs w:val="24"/>
        </w:rPr>
        <w:t xml:space="preserve"> </w:t>
      </w:r>
      <w:r w:rsidRPr="00912FFE">
        <w:rPr>
          <w:b/>
          <w:bCs/>
          <w:noProof/>
          <w:szCs w:val="24"/>
        </w:rPr>
        <w:t>2009</w:t>
      </w:r>
      <w:r w:rsidRPr="00912FFE">
        <w:rPr>
          <w:noProof/>
          <w:szCs w:val="24"/>
        </w:rPr>
        <w:t xml:space="preserve">, </w:t>
      </w:r>
      <w:r w:rsidRPr="00912FFE">
        <w:rPr>
          <w:i/>
          <w:iCs/>
          <w:noProof/>
          <w:szCs w:val="24"/>
        </w:rPr>
        <w:t>19</w:t>
      </w:r>
      <w:r w:rsidRPr="00912FFE">
        <w:rPr>
          <w:noProof/>
          <w:szCs w:val="24"/>
        </w:rPr>
        <w:t xml:space="preserve"> (2), 120–127. https://doi.org/10.1016/j.sbi.2009.03.004.</w:t>
      </w:r>
    </w:p>
    <w:p w14:paraId="796A989C"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(211) </w:t>
      </w:r>
      <w:r w:rsidRPr="00912FFE">
        <w:rPr>
          <w:noProof/>
          <w:szCs w:val="24"/>
        </w:rPr>
        <w:tab/>
        <w:t xml:space="preserve">Kmiecik, S.; Gront, D.; Kolinski, M.; Wieteska, L.; Dawid, A. E.; Kolinski, A. Coarse-Grained Protein Models and Their Applications. </w:t>
      </w:r>
      <w:r w:rsidRPr="00912FFE">
        <w:rPr>
          <w:i/>
          <w:iCs/>
          <w:noProof/>
          <w:szCs w:val="24"/>
        </w:rPr>
        <w:t>Chem. Rev.</w:t>
      </w:r>
      <w:r w:rsidRPr="00912FFE">
        <w:rPr>
          <w:noProof/>
          <w:szCs w:val="24"/>
        </w:rPr>
        <w:t xml:space="preserve"> </w:t>
      </w:r>
      <w:r w:rsidRPr="00912FFE">
        <w:rPr>
          <w:b/>
          <w:bCs/>
          <w:noProof/>
          <w:szCs w:val="24"/>
        </w:rPr>
        <w:t>2016</w:t>
      </w:r>
      <w:r w:rsidRPr="00912FFE">
        <w:rPr>
          <w:noProof/>
          <w:szCs w:val="24"/>
        </w:rPr>
        <w:t xml:space="preserve">, </w:t>
      </w:r>
      <w:r w:rsidRPr="00912FFE">
        <w:rPr>
          <w:i/>
          <w:iCs/>
          <w:noProof/>
          <w:szCs w:val="24"/>
        </w:rPr>
        <w:t>116</w:t>
      </w:r>
      <w:r w:rsidRPr="00912FFE">
        <w:rPr>
          <w:noProof/>
          <w:szCs w:val="24"/>
        </w:rPr>
        <w:t xml:space="preserve"> (14), 7898–7936. https://doi.org/10.1021/acs.chemrev.6b00163.</w:t>
      </w:r>
    </w:p>
    <w:p w14:paraId="096D9BE0"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(212) </w:t>
      </w:r>
      <w:r w:rsidRPr="00912FFE">
        <w:rPr>
          <w:noProof/>
          <w:szCs w:val="24"/>
        </w:rPr>
        <w:tab/>
        <w:t xml:space="preserve">Marrink, S. J.; Tieleman, D. P. Perspective on the Martini Model. </w:t>
      </w:r>
      <w:r w:rsidRPr="00912FFE">
        <w:rPr>
          <w:i/>
          <w:iCs/>
          <w:noProof/>
          <w:szCs w:val="24"/>
        </w:rPr>
        <w:t>Chem. Soc. Rev.</w:t>
      </w:r>
      <w:r w:rsidRPr="00912FFE">
        <w:rPr>
          <w:noProof/>
          <w:szCs w:val="24"/>
        </w:rPr>
        <w:t xml:space="preserve"> </w:t>
      </w:r>
      <w:r w:rsidRPr="00912FFE">
        <w:rPr>
          <w:b/>
          <w:bCs/>
          <w:noProof/>
          <w:szCs w:val="24"/>
        </w:rPr>
        <w:t>2013</w:t>
      </w:r>
      <w:r w:rsidRPr="00912FFE">
        <w:rPr>
          <w:noProof/>
          <w:szCs w:val="24"/>
        </w:rPr>
        <w:t xml:space="preserve">, </w:t>
      </w:r>
      <w:r w:rsidRPr="00912FFE">
        <w:rPr>
          <w:i/>
          <w:iCs/>
          <w:noProof/>
          <w:szCs w:val="24"/>
        </w:rPr>
        <w:t>42</w:t>
      </w:r>
      <w:r w:rsidRPr="00912FFE">
        <w:rPr>
          <w:noProof/>
          <w:szCs w:val="24"/>
        </w:rPr>
        <w:t xml:space="preserve"> (16), 6801–6822. https://doi.org/10.1039/c3cs60093a.</w:t>
      </w:r>
    </w:p>
    <w:p w14:paraId="4D0195F3"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(213) </w:t>
      </w:r>
      <w:r w:rsidRPr="00912FFE">
        <w:rPr>
          <w:noProof/>
          <w:szCs w:val="24"/>
        </w:rPr>
        <w:tab/>
        <w:t xml:space="preserve">Zhao, L.; Cao, Z.; Bian, Y.; Hu, G.; Wang, J.; Zhou, Y. Molecular Dynamics Simulations </w:t>
      </w:r>
      <w:r w:rsidRPr="00912FFE">
        <w:rPr>
          <w:noProof/>
          <w:szCs w:val="24"/>
        </w:rPr>
        <w:lastRenderedPageBreak/>
        <w:t xml:space="preserve">of Human Antimicrobial Peptide LL-37 in Model POPC and POPG Lipid Bilayers. </w:t>
      </w:r>
      <w:r w:rsidRPr="00912FFE">
        <w:rPr>
          <w:i/>
          <w:iCs/>
          <w:noProof/>
          <w:szCs w:val="24"/>
        </w:rPr>
        <w:t>Int. J. Mol. Sci.</w:t>
      </w:r>
      <w:r w:rsidRPr="00912FFE">
        <w:rPr>
          <w:noProof/>
          <w:szCs w:val="24"/>
        </w:rPr>
        <w:t xml:space="preserve"> </w:t>
      </w:r>
      <w:r w:rsidRPr="00912FFE">
        <w:rPr>
          <w:b/>
          <w:bCs/>
          <w:noProof/>
          <w:szCs w:val="24"/>
        </w:rPr>
        <w:t>2018</w:t>
      </w:r>
      <w:r w:rsidRPr="00912FFE">
        <w:rPr>
          <w:noProof/>
          <w:szCs w:val="24"/>
        </w:rPr>
        <w:t xml:space="preserve">, </w:t>
      </w:r>
      <w:r w:rsidRPr="00912FFE">
        <w:rPr>
          <w:i/>
          <w:iCs/>
          <w:noProof/>
          <w:szCs w:val="24"/>
        </w:rPr>
        <w:t>19</w:t>
      </w:r>
      <w:r w:rsidRPr="00912FFE">
        <w:rPr>
          <w:noProof/>
          <w:szCs w:val="24"/>
        </w:rPr>
        <w:t xml:space="preserve"> (4). https://doi.org/10.3390/ijms19041186.</w:t>
      </w:r>
    </w:p>
    <w:p w14:paraId="50E2603F"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(214) </w:t>
      </w:r>
      <w:r w:rsidRPr="00912FFE">
        <w:rPr>
          <w:noProof/>
          <w:szCs w:val="24"/>
        </w:rPr>
        <w:tab/>
        <w:t xml:space="preserve">Manzo, G.; Ferguson, P. M.; Gustilo, V. B.; Hind, C. K.; Clifford, M.; Bui, T. T.; Drake, A. F.; Atkinson, R. A.; Sutton, J. M.; Batoni, G.; Lorenz, C. D.; Phoenix, D. A.; James Mason, A. Minor Sequence Modifications in Temporin B Cause Drastic Changes in Antibacterial Potency and Selectivity by Fundamentally Altering Membrane Activity. </w:t>
      </w:r>
      <w:r w:rsidRPr="00912FFE">
        <w:rPr>
          <w:i/>
          <w:iCs/>
          <w:noProof/>
          <w:szCs w:val="24"/>
        </w:rPr>
        <w:t>Sci. Rep.</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9</w:t>
      </w:r>
      <w:r w:rsidRPr="00912FFE">
        <w:rPr>
          <w:noProof/>
          <w:szCs w:val="24"/>
        </w:rPr>
        <w:t xml:space="preserve"> (1), 1–16. https://doi.org/10.1038/s41598-018-37630-3.</w:t>
      </w:r>
    </w:p>
    <w:p w14:paraId="179329FB"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(215) </w:t>
      </w:r>
      <w:r w:rsidRPr="00912FFE">
        <w:rPr>
          <w:noProof/>
          <w:szCs w:val="24"/>
        </w:rPr>
        <w:tab/>
        <w:t xml:space="preserve">Hazam, P. K.; Akhil, R.; Jerath, G.; Saikia, J.; Ramakrishnan, V. Topological Effects on the Designability and Bactericidal Potency of Antimicrobial Peptides. </w:t>
      </w:r>
      <w:r w:rsidRPr="00912FFE">
        <w:rPr>
          <w:i/>
          <w:iCs/>
          <w:noProof/>
          <w:szCs w:val="24"/>
        </w:rPr>
        <w:t>Biophys. Chem.</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248</w:t>
      </w:r>
      <w:r w:rsidRPr="00912FFE">
        <w:rPr>
          <w:noProof/>
          <w:szCs w:val="24"/>
        </w:rPr>
        <w:t>, 1–8. https://doi.org/10.1016/j.bpc.2019.02.005.</w:t>
      </w:r>
    </w:p>
    <w:p w14:paraId="03BE348A"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(216) </w:t>
      </w:r>
      <w:r w:rsidRPr="00912FFE">
        <w:rPr>
          <w:noProof/>
          <w:szCs w:val="24"/>
        </w:rPr>
        <w:tab/>
        <w:t xml:space="preserve">Agadi, N.; Vasudevan, S.; Kumar, A. Structural Insight into the Mechanism of Action of Antimicrobial Peptide BMAP-28(1–18) and Its Analogue MutBMAP18. </w:t>
      </w:r>
      <w:r w:rsidRPr="00912FFE">
        <w:rPr>
          <w:i/>
          <w:iCs/>
          <w:noProof/>
          <w:szCs w:val="24"/>
        </w:rPr>
        <w:t>J. Struct. Biol.</w:t>
      </w:r>
      <w:r w:rsidRPr="00912FFE">
        <w:rPr>
          <w:noProof/>
          <w:szCs w:val="24"/>
        </w:rPr>
        <w:t xml:space="preserve"> </w:t>
      </w:r>
      <w:r w:rsidRPr="00912FFE">
        <w:rPr>
          <w:b/>
          <w:bCs/>
          <w:noProof/>
          <w:szCs w:val="24"/>
        </w:rPr>
        <w:t>2018</w:t>
      </w:r>
      <w:r w:rsidRPr="00912FFE">
        <w:rPr>
          <w:noProof/>
          <w:szCs w:val="24"/>
        </w:rPr>
        <w:t xml:space="preserve">, </w:t>
      </w:r>
      <w:r w:rsidRPr="00912FFE">
        <w:rPr>
          <w:i/>
          <w:iCs/>
          <w:noProof/>
          <w:szCs w:val="24"/>
        </w:rPr>
        <w:t>204</w:t>
      </w:r>
      <w:r w:rsidRPr="00912FFE">
        <w:rPr>
          <w:noProof/>
          <w:szCs w:val="24"/>
        </w:rPr>
        <w:t xml:space="preserve"> (3), 435–448. https://doi.org/10.1016/j.jsb.2018.10.003.</w:t>
      </w:r>
    </w:p>
    <w:p w14:paraId="32F24802"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(217) </w:t>
      </w:r>
      <w:r w:rsidRPr="00912FFE">
        <w:rPr>
          <w:noProof/>
          <w:szCs w:val="24"/>
        </w:rPr>
        <w:tab/>
        <w:t xml:space="preserve">Li, J.; Hu, Z.; Beuerman, R.; Verma, C. Molecular Environment Modulates Conformational Differences between Crystal and Solution States of Human β-Defensin 2. </w:t>
      </w:r>
      <w:r w:rsidRPr="00912FFE">
        <w:rPr>
          <w:i/>
          <w:iCs/>
          <w:noProof/>
          <w:szCs w:val="24"/>
        </w:rPr>
        <w:t>J. Phys. Chem. B</w:t>
      </w:r>
      <w:r w:rsidRPr="00912FFE">
        <w:rPr>
          <w:noProof/>
          <w:szCs w:val="24"/>
        </w:rPr>
        <w:t xml:space="preserve"> </w:t>
      </w:r>
      <w:r w:rsidRPr="00912FFE">
        <w:rPr>
          <w:b/>
          <w:bCs/>
          <w:noProof/>
          <w:szCs w:val="24"/>
        </w:rPr>
        <w:t>2017</w:t>
      </w:r>
      <w:r w:rsidRPr="00912FFE">
        <w:rPr>
          <w:noProof/>
          <w:szCs w:val="24"/>
        </w:rPr>
        <w:t xml:space="preserve">, </w:t>
      </w:r>
      <w:r w:rsidRPr="00912FFE">
        <w:rPr>
          <w:i/>
          <w:iCs/>
          <w:noProof/>
          <w:szCs w:val="24"/>
        </w:rPr>
        <w:t>121</w:t>
      </w:r>
      <w:r w:rsidRPr="00912FFE">
        <w:rPr>
          <w:noProof/>
          <w:szCs w:val="24"/>
        </w:rPr>
        <w:t xml:space="preserve"> (13), 2739–2747. https://doi.org/10.1021/acs.jpcb.7b00083.</w:t>
      </w:r>
    </w:p>
    <w:p w14:paraId="13C13F35"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(218) </w:t>
      </w:r>
      <w:r w:rsidRPr="00912FFE">
        <w:rPr>
          <w:noProof/>
          <w:szCs w:val="24"/>
        </w:rPr>
        <w:tab/>
        <w:t xml:space="preserve">Fox, S. J.; Lakshminarayanan, R.; Beuerman, R. W.; Li, J.; Verma, C. S. Conformational Transitions of Melittin between Aqueous and Lipid Phases: Comparison of Simulations with Experiments. </w:t>
      </w:r>
      <w:r w:rsidRPr="00912FFE">
        <w:rPr>
          <w:i/>
          <w:iCs/>
          <w:noProof/>
          <w:szCs w:val="24"/>
        </w:rPr>
        <w:t>J. Phys. Chem. B</w:t>
      </w:r>
      <w:r w:rsidRPr="00912FFE">
        <w:rPr>
          <w:noProof/>
          <w:szCs w:val="24"/>
        </w:rPr>
        <w:t xml:space="preserve"> </w:t>
      </w:r>
      <w:r w:rsidRPr="00912FFE">
        <w:rPr>
          <w:b/>
          <w:bCs/>
          <w:noProof/>
          <w:szCs w:val="24"/>
        </w:rPr>
        <w:t>2018</w:t>
      </w:r>
      <w:r w:rsidRPr="00912FFE">
        <w:rPr>
          <w:noProof/>
          <w:szCs w:val="24"/>
        </w:rPr>
        <w:t xml:space="preserve">, </w:t>
      </w:r>
      <w:r w:rsidRPr="00912FFE">
        <w:rPr>
          <w:i/>
          <w:iCs/>
          <w:noProof/>
          <w:szCs w:val="24"/>
        </w:rPr>
        <w:t>122</w:t>
      </w:r>
      <w:r w:rsidRPr="00912FFE">
        <w:rPr>
          <w:noProof/>
          <w:szCs w:val="24"/>
        </w:rPr>
        <w:t xml:space="preserve"> (37), 8698–8705. https://doi.org/10.1021/acs.jpcb.8b06781.</w:t>
      </w:r>
    </w:p>
    <w:p w14:paraId="77A29CDB"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(219) </w:t>
      </w:r>
      <w:r w:rsidRPr="00912FFE">
        <w:rPr>
          <w:noProof/>
          <w:szCs w:val="24"/>
        </w:rPr>
        <w:tab/>
        <w:t xml:space="preserve">Chen, C. H.; Wiedman, G.; Khan, A.; Ulmschneider, M. B. Absorption and Folding of Melittin onto Lipid Bilayer Membranes via Unbiased Atomic Detail Microsecond Molecular Dynamics Simulation. </w:t>
      </w:r>
      <w:r w:rsidRPr="00912FFE">
        <w:rPr>
          <w:i/>
          <w:iCs/>
          <w:noProof/>
          <w:szCs w:val="24"/>
        </w:rPr>
        <w:t>Biochim. Biophys. Acta - Biomembr.</w:t>
      </w:r>
      <w:r w:rsidRPr="00912FFE">
        <w:rPr>
          <w:noProof/>
          <w:szCs w:val="24"/>
        </w:rPr>
        <w:t xml:space="preserve"> </w:t>
      </w:r>
      <w:r w:rsidRPr="00912FFE">
        <w:rPr>
          <w:b/>
          <w:bCs/>
          <w:noProof/>
          <w:szCs w:val="24"/>
        </w:rPr>
        <w:t>2014</w:t>
      </w:r>
      <w:r w:rsidRPr="00912FFE">
        <w:rPr>
          <w:noProof/>
          <w:szCs w:val="24"/>
        </w:rPr>
        <w:t xml:space="preserve">, </w:t>
      </w:r>
      <w:r w:rsidRPr="00912FFE">
        <w:rPr>
          <w:i/>
          <w:iCs/>
          <w:noProof/>
          <w:szCs w:val="24"/>
        </w:rPr>
        <w:t>1838</w:t>
      </w:r>
      <w:r w:rsidRPr="00912FFE">
        <w:rPr>
          <w:noProof/>
          <w:szCs w:val="24"/>
        </w:rPr>
        <w:t xml:space="preserve"> (9), 2243–2249. https://doi.org/10.1016/j.bbamem.2014.04.012.</w:t>
      </w:r>
    </w:p>
    <w:p w14:paraId="34687E23"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(220) </w:t>
      </w:r>
      <w:r w:rsidRPr="00912FFE">
        <w:rPr>
          <w:noProof/>
          <w:szCs w:val="24"/>
        </w:rPr>
        <w:tab/>
        <w:t xml:space="preserve">Bussi, G. Hamiltonian Replica Exchange in GROMACS: A Flexible Implementation. </w:t>
      </w:r>
      <w:r w:rsidRPr="00912FFE">
        <w:rPr>
          <w:i/>
          <w:iCs/>
          <w:noProof/>
          <w:szCs w:val="24"/>
        </w:rPr>
        <w:t>Mol. Phys.</w:t>
      </w:r>
      <w:r w:rsidRPr="00912FFE">
        <w:rPr>
          <w:noProof/>
          <w:szCs w:val="24"/>
        </w:rPr>
        <w:t xml:space="preserve"> </w:t>
      </w:r>
      <w:r w:rsidRPr="00912FFE">
        <w:rPr>
          <w:b/>
          <w:bCs/>
          <w:noProof/>
          <w:szCs w:val="24"/>
        </w:rPr>
        <w:t>2014</w:t>
      </w:r>
      <w:r w:rsidRPr="00912FFE">
        <w:rPr>
          <w:noProof/>
          <w:szCs w:val="24"/>
        </w:rPr>
        <w:t xml:space="preserve">, </w:t>
      </w:r>
      <w:r w:rsidRPr="00912FFE">
        <w:rPr>
          <w:i/>
          <w:iCs/>
          <w:noProof/>
          <w:szCs w:val="24"/>
        </w:rPr>
        <w:t>112</w:t>
      </w:r>
      <w:r w:rsidRPr="00912FFE">
        <w:rPr>
          <w:noProof/>
          <w:szCs w:val="24"/>
        </w:rPr>
        <w:t xml:space="preserve"> (3–4), 379–384. https://doi.org/10.1080/00268976.2013.824126.</w:t>
      </w:r>
    </w:p>
    <w:p w14:paraId="27BBD2DE"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(221) </w:t>
      </w:r>
      <w:r w:rsidRPr="00912FFE">
        <w:rPr>
          <w:noProof/>
          <w:szCs w:val="24"/>
        </w:rPr>
        <w:tab/>
        <w:t xml:space="preserve">Sugita, Y.; Okamoto, Y. Replica-Exchange Molecular Dynamics Method for Protein Folding. </w:t>
      </w:r>
      <w:r w:rsidRPr="00912FFE">
        <w:rPr>
          <w:i/>
          <w:iCs/>
          <w:noProof/>
          <w:szCs w:val="24"/>
        </w:rPr>
        <w:t>Chem. Phys. Lett.</w:t>
      </w:r>
      <w:r w:rsidRPr="00912FFE">
        <w:rPr>
          <w:noProof/>
          <w:szCs w:val="24"/>
        </w:rPr>
        <w:t xml:space="preserve"> </w:t>
      </w:r>
      <w:r w:rsidRPr="00912FFE">
        <w:rPr>
          <w:b/>
          <w:bCs/>
          <w:noProof/>
          <w:szCs w:val="24"/>
        </w:rPr>
        <w:t>1999</w:t>
      </w:r>
      <w:r w:rsidRPr="00912FFE">
        <w:rPr>
          <w:noProof/>
          <w:szCs w:val="24"/>
        </w:rPr>
        <w:t xml:space="preserve">, </w:t>
      </w:r>
      <w:r w:rsidRPr="00912FFE">
        <w:rPr>
          <w:i/>
          <w:iCs/>
          <w:noProof/>
          <w:szCs w:val="24"/>
        </w:rPr>
        <w:t>314</w:t>
      </w:r>
      <w:r w:rsidRPr="00912FFE">
        <w:rPr>
          <w:noProof/>
          <w:szCs w:val="24"/>
        </w:rPr>
        <w:t xml:space="preserve"> (1–2), 141–151. https://doi.org/10.1016/S0009-2614(99)01123-9.</w:t>
      </w:r>
    </w:p>
    <w:p w14:paraId="6B95536E"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(222) </w:t>
      </w:r>
      <w:r w:rsidRPr="00912FFE">
        <w:rPr>
          <w:noProof/>
          <w:szCs w:val="24"/>
        </w:rPr>
        <w:tab/>
        <w:t xml:space="preserve">Mukherjee, S.; Kar, R. K.; Nanga, R. P. R.; Mroue, K. H.; Ramamoorthy, A.; Bhunia, A. Accelerated Molecular Dynamics Simulation Analysis of MSI-594 in a Lipid Bilayer. </w:t>
      </w:r>
      <w:r w:rsidRPr="00912FFE">
        <w:rPr>
          <w:i/>
          <w:iCs/>
          <w:noProof/>
          <w:szCs w:val="24"/>
        </w:rPr>
        <w:t>Phys. Chem. Chem. Phys.</w:t>
      </w:r>
      <w:r w:rsidRPr="00912FFE">
        <w:rPr>
          <w:noProof/>
          <w:szCs w:val="24"/>
        </w:rPr>
        <w:t xml:space="preserve"> </w:t>
      </w:r>
      <w:r w:rsidRPr="00912FFE">
        <w:rPr>
          <w:b/>
          <w:bCs/>
          <w:noProof/>
          <w:szCs w:val="24"/>
        </w:rPr>
        <w:t>2017</w:t>
      </w:r>
      <w:r w:rsidRPr="00912FFE">
        <w:rPr>
          <w:noProof/>
          <w:szCs w:val="24"/>
        </w:rPr>
        <w:t xml:space="preserve">, </w:t>
      </w:r>
      <w:r w:rsidRPr="00912FFE">
        <w:rPr>
          <w:i/>
          <w:iCs/>
          <w:noProof/>
          <w:szCs w:val="24"/>
        </w:rPr>
        <w:t>19</w:t>
      </w:r>
      <w:r w:rsidRPr="00912FFE">
        <w:rPr>
          <w:noProof/>
          <w:szCs w:val="24"/>
        </w:rPr>
        <w:t xml:space="preserve"> (29), 19289–19299. https://doi.org/10.1039/c7cp01941f.</w:t>
      </w:r>
    </w:p>
    <w:p w14:paraId="5AAE996C"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(223) </w:t>
      </w:r>
      <w:r w:rsidRPr="00912FFE">
        <w:rPr>
          <w:noProof/>
          <w:szCs w:val="24"/>
        </w:rPr>
        <w:tab/>
        <w:t xml:space="preserve">Hamelberg, D.; Mongan, J.; McCammon, J. A. Accelerated Molecular Dynamics: A Promising and Efficient Simulation Method for Biomolecules. </w:t>
      </w:r>
      <w:r w:rsidRPr="00912FFE">
        <w:rPr>
          <w:i/>
          <w:iCs/>
          <w:noProof/>
          <w:szCs w:val="24"/>
        </w:rPr>
        <w:t>J. Chem. Phys.</w:t>
      </w:r>
      <w:r w:rsidRPr="00912FFE">
        <w:rPr>
          <w:noProof/>
          <w:szCs w:val="24"/>
        </w:rPr>
        <w:t xml:space="preserve"> </w:t>
      </w:r>
      <w:r w:rsidRPr="00912FFE">
        <w:rPr>
          <w:b/>
          <w:bCs/>
          <w:noProof/>
          <w:szCs w:val="24"/>
        </w:rPr>
        <w:t>2004</w:t>
      </w:r>
      <w:r w:rsidRPr="00912FFE">
        <w:rPr>
          <w:noProof/>
          <w:szCs w:val="24"/>
        </w:rPr>
        <w:t xml:space="preserve">, </w:t>
      </w:r>
      <w:r w:rsidRPr="00912FFE">
        <w:rPr>
          <w:i/>
          <w:iCs/>
          <w:noProof/>
          <w:szCs w:val="24"/>
        </w:rPr>
        <w:t>120</w:t>
      </w:r>
      <w:r w:rsidRPr="00912FFE">
        <w:rPr>
          <w:noProof/>
          <w:szCs w:val="24"/>
        </w:rPr>
        <w:t xml:space="preserve"> (24), 11919–11929. https://doi.org/10.1063/1.1755656.</w:t>
      </w:r>
    </w:p>
    <w:p w14:paraId="7740A4D0"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(224) </w:t>
      </w:r>
      <w:r w:rsidRPr="00912FFE">
        <w:rPr>
          <w:noProof/>
          <w:szCs w:val="24"/>
        </w:rPr>
        <w:tab/>
        <w:t xml:space="preserve">Ulmschneider, J. P.; Ulmschneider, M. B. Molecular Dynamics Simulations Are Redefining Our View of Peptides Interacting with Biological Membranes. </w:t>
      </w:r>
      <w:r w:rsidRPr="00912FFE">
        <w:rPr>
          <w:i/>
          <w:iCs/>
          <w:noProof/>
          <w:szCs w:val="24"/>
        </w:rPr>
        <w:t>Acc. Chem. Res.</w:t>
      </w:r>
      <w:r w:rsidRPr="00912FFE">
        <w:rPr>
          <w:noProof/>
          <w:szCs w:val="24"/>
        </w:rPr>
        <w:t xml:space="preserve"> </w:t>
      </w:r>
      <w:r w:rsidRPr="00912FFE">
        <w:rPr>
          <w:b/>
          <w:bCs/>
          <w:noProof/>
          <w:szCs w:val="24"/>
        </w:rPr>
        <w:t>2018</w:t>
      </w:r>
      <w:r w:rsidRPr="00912FFE">
        <w:rPr>
          <w:noProof/>
          <w:szCs w:val="24"/>
        </w:rPr>
        <w:t xml:space="preserve">, </w:t>
      </w:r>
      <w:r w:rsidRPr="00912FFE">
        <w:rPr>
          <w:i/>
          <w:iCs/>
          <w:noProof/>
          <w:szCs w:val="24"/>
        </w:rPr>
        <w:t>51</w:t>
      </w:r>
      <w:r w:rsidRPr="00912FFE">
        <w:rPr>
          <w:noProof/>
          <w:szCs w:val="24"/>
        </w:rPr>
        <w:t xml:space="preserve"> (5), 1106–1116. https://doi.org/10.1021/acs.accounts.7b00613.</w:t>
      </w:r>
    </w:p>
    <w:p w14:paraId="05FFC4F0"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(225) </w:t>
      </w:r>
      <w:r w:rsidRPr="00912FFE">
        <w:rPr>
          <w:noProof/>
          <w:szCs w:val="24"/>
        </w:rPr>
        <w:tab/>
        <w:t xml:space="preserve">Sengupta, D.; Leontiadou, H.; Mark, A. E.; Marrink, S. J. Toroidal Pores Formed by Antimicrobial Peptides Show Significant Disorder. </w:t>
      </w:r>
      <w:r w:rsidRPr="00912FFE">
        <w:rPr>
          <w:i/>
          <w:iCs/>
          <w:noProof/>
          <w:szCs w:val="24"/>
        </w:rPr>
        <w:t>Biochim. Biophys. Acta - Biomembr.</w:t>
      </w:r>
      <w:r w:rsidRPr="00912FFE">
        <w:rPr>
          <w:noProof/>
          <w:szCs w:val="24"/>
        </w:rPr>
        <w:t xml:space="preserve"> </w:t>
      </w:r>
      <w:r w:rsidRPr="00912FFE">
        <w:rPr>
          <w:b/>
          <w:bCs/>
          <w:noProof/>
          <w:szCs w:val="24"/>
        </w:rPr>
        <w:t>2008</w:t>
      </w:r>
      <w:r w:rsidRPr="00912FFE">
        <w:rPr>
          <w:noProof/>
          <w:szCs w:val="24"/>
        </w:rPr>
        <w:t xml:space="preserve">, </w:t>
      </w:r>
      <w:r w:rsidRPr="00912FFE">
        <w:rPr>
          <w:i/>
          <w:iCs/>
          <w:noProof/>
          <w:szCs w:val="24"/>
        </w:rPr>
        <w:t>1778</w:t>
      </w:r>
      <w:r w:rsidRPr="00912FFE">
        <w:rPr>
          <w:noProof/>
          <w:szCs w:val="24"/>
        </w:rPr>
        <w:t xml:space="preserve"> (10), 2308–2317. https://doi.org/10.1016/j.bbamem.2008.06.007.</w:t>
      </w:r>
    </w:p>
    <w:p w14:paraId="4032EAF4"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(226) </w:t>
      </w:r>
      <w:r w:rsidRPr="00912FFE">
        <w:rPr>
          <w:noProof/>
          <w:szCs w:val="24"/>
        </w:rPr>
        <w:tab/>
        <w:t xml:space="preserve">Liao, C.; Esai Selvan, M.; Zhao, J.; Slimovitch, J. L.; Schneebeli, S. T.; Shelley, M.; Shelley, J. C.; Li, J. Melittin Aggregation in Aqueous Solutions: Insight from Molecular Dynamics Simulations. </w:t>
      </w:r>
      <w:r w:rsidRPr="00912FFE">
        <w:rPr>
          <w:i/>
          <w:iCs/>
          <w:noProof/>
          <w:szCs w:val="24"/>
        </w:rPr>
        <w:t>J. Phys. Chem. B</w:t>
      </w:r>
      <w:r w:rsidRPr="00912FFE">
        <w:rPr>
          <w:noProof/>
          <w:szCs w:val="24"/>
        </w:rPr>
        <w:t xml:space="preserve"> </w:t>
      </w:r>
      <w:r w:rsidRPr="00912FFE">
        <w:rPr>
          <w:b/>
          <w:bCs/>
          <w:noProof/>
          <w:szCs w:val="24"/>
        </w:rPr>
        <w:t>2015</w:t>
      </w:r>
      <w:r w:rsidRPr="00912FFE">
        <w:rPr>
          <w:noProof/>
          <w:szCs w:val="24"/>
        </w:rPr>
        <w:t xml:space="preserve">, </w:t>
      </w:r>
      <w:r w:rsidRPr="00912FFE">
        <w:rPr>
          <w:i/>
          <w:iCs/>
          <w:noProof/>
          <w:szCs w:val="24"/>
        </w:rPr>
        <w:t>119</w:t>
      </w:r>
      <w:r w:rsidRPr="00912FFE">
        <w:rPr>
          <w:noProof/>
          <w:szCs w:val="24"/>
        </w:rPr>
        <w:t xml:space="preserve"> (33), 10390–10398. https://doi.org/10.1021/acs.jpcb.5b03254.</w:t>
      </w:r>
    </w:p>
    <w:p w14:paraId="7C6C5C38"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(227) </w:t>
      </w:r>
      <w:r w:rsidRPr="00912FFE">
        <w:rPr>
          <w:noProof/>
          <w:szCs w:val="24"/>
        </w:rPr>
        <w:tab/>
        <w:t xml:space="preserve">Iscen, A.; Brue, C. R.; Roberts, K. F.; Kim, J.; Schatz, G. C.; Meade, T. J. Inhibition of Amyloid-β Aggregation by Cobalt(III) Schiff Base Complexes: A Computational and Experimental Approach. </w:t>
      </w:r>
      <w:r w:rsidRPr="00912FFE">
        <w:rPr>
          <w:i/>
          <w:iCs/>
          <w:noProof/>
          <w:szCs w:val="24"/>
        </w:rPr>
        <w:t>J. Am. Chem. Soc.</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141</w:t>
      </w:r>
      <w:r w:rsidRPr="00912FFE">
        <w:rPr>
          <w:noProof/>
          <w:szCs w:val="24"/>
        </w:rPr>
        <w:t xml:space="preserve"> (42), 16685–16695. https://doi.org/10.1021/jacs.9b06388.</w:t>
      </w:r>
    </w:p>
    <w:p w14:paraId="641AB86B"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(228) </w:t>
      </w:r>
      <w:r w:rsidRPr="00912FFE">
        <w:rPr>
          <w:noProof/>
          <w:szCs w:val="24"/>
        </w:rPr>
        <w:tab/>
        <w:t xml:space="preserve">Han, E.; Lee, H. Synergistic Effects of Magainin 2 and PGLa on Their Heterodimer Formation, Aggregation, and Insertion into the Bilayer. </w:t>
      </w:r>
      <w:r w:rsidRPr="00912FFE">
        <w:rPr>
          <w:i/>
          <w:iCs/>
          <w:noProof/>
          <w:szCs w:val="24"/>
        </w:rPr>
        <w:t>RSC Adv.</w:t>
      </w:r>
      <w:r w:rsidRPr="00912FFE">
        <w:rPr>
          <w:noProof/>
          <w:szCs w:val="24"/>
        </w:rPr>
        <w:t xml:space="preserve"> </w:t>
      </w:r>
      <w:r w:rsidRPr="00912FFE">
        <w:rPr>
          <w:b/>
          <w:bCs/>
          <w:noProof/>
          <w:szCs w:val="24"/>
        </w:rPr>
        <w:t>2015</w:t>
      </w:r>
      <w:r w:rsidRPr="00912FFE">
        <w:rPr>
          <w:noProof/>
          <w:szCs w:val="24"/>
        </w:rPr>
        <w:t xml:space="preserve">, </w:t>
      </w:r>
      <w:r w:rsidRPr="00912FFE">
        <w:rPr>
          <w:i/>
          <w:iCs/>
          <w:noProof/>
          <w:szCs w:val="24"/>
        </w:rPr>
        <w:t>5</w:t>
      </w:r>
      <w:r w:rsidRPr="00912FFE">
        <w:rPr>
          <w:noProof/>
          <w:szCs w:val="24"/>
        </w:rPr>
        <w:t xml:space="preserve"> (3), 2047–2055. </w:t>
      </w:r>
      <w:r w:rsidRPr="00912FFE">
        <w:rPr>
          <w:noProof/>
          <w:szCs w:val="24"/>
        </w:rPr>
        <w:lastRenderedPageBreak/>
        <w:t>https://doi.org/10.1039/c4ra08480b.</w:t>
      </w:r>
    </w:p>
    <w:p w14:paraId="7021C63F"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(229) </w:t>
      </w:r>
      <w:r w:rsidRPr="00912FFE">
        <w:rPr>
          <w:noProof/>
          <w:szCs w:val="24"/>
        </w:rPr>
        <w:tab/>
        <w:t xml:space="preserve">Marinova, R.; Petkov, P.; Ilieva, N.; Lilkova, E.; Litov, L. Molecular Dynamics Study of the Solution Behaviour of Antimicrobial Peptide Indolicidin. In </w:t>
      </w:r>
      <w:r w:rsidRPr="00912FFE">
        <w:rPr>
          <w:i/>
          <w:iCs/>
          <w:noProof/>
          <w:szCs w:val="24"/>
        </w:rPr>
        <w:t>Studies in Computational Intelligence</w:t>
      </w:r>
      <w:r w:rsidRPr="00912FFE">
        <w:rPr>
          <w:noProof/>
          <w:szCs w:val="24"/>
        </w:rPr>
        <w:t>; Springer Verlag, 2019; Vol. 793, pp 257–265. https://doi.org/10.1007/978-3-319-97277-0_21.</w:t>
      </w:r>
    </w:p>
    <w:p w14:paraId="5ABF55DF"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(230) </w:t>
      </w:r>
      <w:r w:rsidRPr="00912FFE">
        <w:rPr>
          <w:noProof/>
          <w:szCs w:val="24"/>
        </w:rPr>
        <w:tab/>
        <w:t xml:space="preserve">Bernardi, R. C.; Melo, M. C. R.; Schulten, K. Enhanced Sampling Techniques in Molecular Dynamics Simulations of Biological Systems. </w:t>
      </w:r>
      <w:r w:rsidRPr="00912FFE">
        <w:rPr>
          <w:i/>
          <w:iCs/>
          <w:noProof/>
          <w:szCs w:val="24"/>
        </w:rPr>
        <w:t>Biochim. Biophys. Acta - Gen. Subj.</w:t>
      </w:r>
      <w:r w:rsidRPr="00912FFE">
        <w:rPr>
          <w:noProof/>
          <w:szCs w:val="24"/>
        </w:rPr>
        <w:t xml:space="preserve"> </w:t>
      </w:r>
      <w:r w:rsidRPr="00912FFE">
        <w:rPr>
          <w:b/>
          <w:bCs/>
          <w:noProof/>
          <w:szCs w:val="24"/>
        </w:rPr>
        <w:t>2015</w:t>
      </w:r>
      <w:r w:rsidRPr="00912FFE">
        <w:rPr>
          <w:noProof/>
          <w:szCs w:val="24"/>
        </w:rPr>
        <w:t xml:space="preserve">, </w:t>
      </w:r>
      <w:r w:rsidRPr="00912FFE">
        <w:rPr>
          <w:i/>
          <w:iCs/>
          <w:noProof/>
          <w:szCs w:val="24"/>
        </w:rPr>
        <w:t>1850</w:t>
      </w:r>
      <w:r w:rsidRPr="00912FFE">
        <w:rPr>
          <w:noProof/>
          <w:szCs w:val="24"/>
        </w:rPr>
        <w:t xml:space="preserve"> (5), 872–877. https://doi.org/10.1016/j.bbagen.2014.10.019.</w:t>
      </w:r>
    </w:p>
    <w:p w14:paraId="794E36EE"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(231) </w:t>
      </w:r>
      <w:r w:rsidRPr="00912FFE">
        <w:rPr>
          <w:noProof/>
          <w:szCs w:val="24"/>
        </w:rPr>
        <w:tab/>
        <w:t xml:space="preserve">Laio, A.; Gervasio, F. L. Metadynamics: A Method to Simulate Rare Events and Reconstruct the Free Energy in Biophysics, Chemistry and Material Science. </w:t>
      </w:r>
      <w:r w:rsidRPr="00912FFE">
        <w:rPr>
          <w:i/>
          <w:iCs/>
          <w:noProof/>
          <w:szCs w:val="24"/>
        </w:rPr>
        <w:t>Reports Prog. Phys.</w:t>
      </w:r>
      <w:r w:rsidRPr="00912FFE">
        <w:rPr>
          <w:noProof/>
          <w:szCs w:val="24"/>
        </w:rPr>
        <w:t xml:space="preserve"> </w:t>
      </w:r>
      <w:r w:rsidRPr="00912FFE">
        <w:rPr>
          <w:b/>
          <w:bCs/>
          <w:noProof/>
          <w:szCs w:val="24"/>
        </w:rPr>
        <w:t>2008</w:t>
      </w:r>
      <w:r w:rsidRPr="00912FFE">
        <w:rPr>
          <w:noProof/>
          <w:szCs w:val="24"/>
        </w:rPr>
        <w:t xml:space="preserve">, </w:t>
      </w:r>
      <w:r w:rsidRPr="00912FFE">
        <w:rPr>
          <w:i/>
          <w:iCs/>
          <w:noProof/>
          <w:szCs w:val="24"/>
        </w:rPr>
        <w:t>71</w:t>
      </w:r>
      <w:r w:rsidRPr="00912FFE">
        <w:rPr>
          <w:noProof/>
          <w:szCs w:val="24"/>
        </w:rPr>
        <w:t xml:space="preserve"> (12), 126601. https://doi.org/10.1088/0034-4885/71/12/126601.</w:t>
      </w:r>
    </w:p>
    <w:p w14:paraId="489E5061"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(232) </w:t>
      </w:r>
      <w:r w:rsidRPr="00912FFE">
        <w:rPr>
          <w:noProof/>
          <w:szCs w:val="24"/>
        </w:rPr>
        <w:tab/>
        <w:t xml:space="preserve">Kästner, J. Umbrella Sampling. </w:t>
      </w:r>
      <w:r w:rsidRPr="00912FFE">
        <w:rPr>
          <w:i/>
          <w:iCs/>
          <w:noProof/>
          <w:szCs w:val="24"/>
        </w:rPr>
        <w:t>Wiley Interdiscip. Rev. Comput. Mol. Sci.</w:t>
      </w:r>
      <w:r w:rsidRPr="00912FFE">
        <w:rPr>
          <w:noProof/>
          <w:szCs w:val="24"/>
        </w:rPr>
        <w:t xml:space="preserve"> </w:t>
      </w:r>
      <w:r w:rsidRPr="00912FFE">
        <w:rPr>
          <w:b/>
          <w:bCs/>
          <w:noProof/>
          <w:szCs w:val="24"/>
        </w:rPr>
        <w:t>2011</w:t>
      </w:r>
      <w:r w:rsidRPr="00912FFE">
        <w:rPr>
          <w:noProof/>
          <w:szCs w:val="24"/>
        </w:rPr>
        <w:t xml:space="preserve">, </w:t>
      </w:r>
      <w:r w:rsidRPr="00912FFE">
        <w:rPr>
          <w:i/>
          <w:iCs/>
          <w:noProof/>
          <w:szCs w:val="24"/>
        </w:rPr>
        <w:t>1</w:t>
      </w:r>
      <w:r w:rsidRPr="00912FFE">
        <w:rPr>
          <w:noProof/>
          <w:szCs w:val="24"/>
        </w:rPr>
        <w:t xml:space="preserve"> (6), 932–942. https://doi.org/10.1002/wcms.66.</w:t>
      </w:r>
    </w:p>
    <w:p w14:paraId="7C7E8641"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(233) </w:t>
      </w:r>
      <w:r w:rsidRPr="00912FFE">
        <w:rPr>
          <w:noProof/>
          <w:szCs w:val="24"/>
        </w:rPr>
        <w:tab/>
        <w:t xml:space="preserve">Lipkin, R.; Pino-Angeles, A.; Lazaridis, T. Transmembrane Pore Structures of β-Hairpin Antimicrobial Peptides by All-Atom Simulations. </w:t>
      </w:r>
      <w:r w:rsidRPr="00912FFE">
        <w:rPr>
          <w:i/>
          <w:iCs/>
          <w:noProof/>
          <w:szCs w:val="24"/>
        </w:rPr>
        <w:t>J. Phys. Chem. B</w:t>
      </w:r>
      <w:r w:rsidRPr="00912FFE">
        <w:rPr>
          <w:noProof/>
          <w:szCs w:val="24"/>
        </w:rPr>
        <w:t xml:space="preserve"> </w:t>
      </w:r>
      <w:r w:rsidRPr="00912FFE">
        <w:rPr>
          <w:b/>
          <w:bCs/>
          <w:noProof/>
          <w:szCs w:val="24"/>
        </w:rPr>
        <w:t>2017</w:t>
      </w:r>
      <w:r w:rsidRPr="00912FFE">
        <w:rPr>
          <w:noProof/>
          <w:szCs w:val="24"/>
        </w:rPr>
        <w:t xml:space="preserve">, </w:t>
      </w:r>
      <w:r w:rsidRPr="00912FFE">
        <w:rPr>
          <w:i/>
          <w:iCs/>
          <w:noProof/>
          <w:szCs w:val="24"/>
        </w:rPr>
        <w:t>121</w:t>
      </w:r>
      <w:r w:rsidRPr="00912FFE">
        <w:rPr>
          <w:noProof/>
          <w:szCs w:val="24"/>
        </w:rPr>
        <w:t xml:space="preserve"> (39), 9126–9140. https://doi.org/10.1021/acs.jpcb.7b06591.</w:t>
      </w:r>
    </w:p>
    <w:p w14:paraId="1CF176D5"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(234) </w:t>
      </w:r>
      <w:r w:rsidRPr="00912FFE">
        <w:rPr>
          <w:noProof/>
          <w:szCs w:val="24"/>
        </w:rPr>
        <w:tab/>
        <w:t xml:space="preserve">Liu, B.; Karttunen, M. Lipopeptide Daptomycin: Interactions with Bacterial and Phospholipid Membranes, Stability of Membrane Aggregates and Micellation in Solution. </w:t>
      </w:r>
      <w:r w:rsidRPr="00912FFE">
        <w:rPr>
          <w:i/>
          <w:iCs/>
          <w:noProof/>
          <w:szCs w:val="24"/>
        </w:rPr>
        <w:t>Biochim. Biophys. Acta - Biomembr.</w:t>
      </w:r>
      <w:r w:rsidRPr="00912FFE">
        <w:rPr>
          <w:noProof/>
          <w:szCs w:val="24"/>
        </w:rPr>
        <w:t xml:space="preserve"> </w:t>
      </w:r>
      <w:r w:rsidRPr="00912FFE">
        <w:rPr>
          <w:b/>
          <w:bCs/>
          <w:noProof/>
          <w:szCs w:val="24"/>
        </w:rPr>
        <w:t>2018</w:t>
      </w:r>
      <w:r w:rsidRPr="00912FFE">
        <w:rPr>
          <w:noProof/>
          <w:szCs w:val="24"/>
        </w:rPr>
        <w:t xml:space="preserve">, </w:t>
      </w:r>
      <w:r w:rsidRPr="00912FFE">
        <w:rPr>
          <w:i/>
          <w:iCs/>
          <w:noProof/>
          <w:szCs w:val="24"/>
        </w:rPr>
        <w:t>1860</w:t>
      </w:r>
      <w:r w:rsidRPr="00912FFE">
        <w:rPr>
          <w:noProof/>
          <w:szCs w:val="24"/>
        </w:rPr>
        <w:t xml:space="preserve"> (9), 1949–1954. https://doi.org/10.1016/j.bbamem.2018.03.028.</w:t>
      </w:r>
    </w:p>
    <w:p w14:paraId="76688FBC"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(235) </w:t>
      </w:r>
      <w:r w:rsidRPr="00912FFE">
        <w:rPr>
          <w:noProof/>
          <w:szCs w:val="24"/>
        </w:rPr>
        <w:tab/>
        <w:t xml:space="preserve">Deng, Z. X.; Li, J. L.; Yuan, B.; Yang, K. Residue-Specialized Membrane Poration Kinetics of Melittin and Its Variants: Insight from Mechanistic Landscapes. </w:t>
      </w:r>
      <w:r w:rsidRPr="00912FFE">
        <w:rPr>
          <w:i/>
          <w:iCs/>
          <w:noProof/>
          <w:szCs w:val="24"/>
        </w:rPr>
        <w:t>Commun. Theor. Phys.</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71</w:t>
      </w:r>
      <w:r w:rsidRPr="00912FFE">
        <w:rPr>
          <w:noProof/>
          <w:szCs w:val="24"/>
        </w:rPr>
        <w:t xml:space="preserve"> (7), 887–902. https://doi.org/10.1088/0253-6102/71/7/887.</w:t>
      </w:r>
    </w:p>
    <w:p w14:paraId="245F0EA4"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(236) </w:t>
      </w:r>
      <w:r w:rsidRPr="00912FFE">
        <w:rPr>
          <w:noProof/>
          <w:szCs w:val="24"/>
        </w:rPr>
        <w:tab/>
        <w:t xml:space="preserve">Shi, Y.; Wan, M.; Fu, L.; Zhang, S.; Wang, S.; Gao, L.; Fang, W. Peptide-Lipid Interaction Sites Affect Vesicles’ Responses to Antimicrobial Peptides. </w:t>
      </w:r>
      <w:r w:rsidRPr="00912FFE">
        <w:rPr>
          <w:i/>
          <w:iCs/>
          <w:noProof/>
          <w:szCs w:val="24"/>
        </w:rPr>
        <w:t>Biophys. J.</w:t>
      </w:r>
      <w:r w:rsidRPr="00912FFE">
        <w:rPr>
          <w:noProof/>
          <w:szCs w:val="24"/>
        </w:rPr>
        <w:t xml:space="preserve"> </w:t>
      </w:r>
      <w:r w:rsidRPr="00912FFE">
        <w:rPr>
          <w:b/>
          <w:bCs/>
          <w:noProof/>
          <w:szCs w:val="24"/>
        </w:rPr>
        <w:t>2018</w:t>
      </w:r>
      <w:r w:rsidRPr="00912FFE">
        <w:rPr>
          <w:noProof/>
          <w:szCs w:val="24"/>
        </w:rPr>
        <w:t xml:space="preserve">, </w:t>
      </w:r>
      <w:r w:rsidRPr="00912FFE">
        <w:rPr>
          <w:i/>
          <w:iCs/>
          <w:noProof/>
          <w:szCs w:val="24"/>
        </w:rPr>
        <w:t>115</w:t>
      </w:r>
      <w:r w:rsidRPr="00912FFE">
        <w:rPr>
          <w:noProof/>
          <w:szCs w:val="24"/>
        </w:rPr>
        <w:t xml:space="preserve"> (8), 1518–1529. https://doi.org/10.1016/j.bpj.2018.08.040.</w:t>
      </w:r>
    </w:p>
    <w:p w14:paraId="6DC1806B"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(237) </w:t>
      </w:r>
      <w:r w:rsidRPr="00912FFE">
        <w:rPr>
          <w:noProof/>
          <w:szCs w:val="24"/>
        </w:rPr>
        <w:tab/>
        <w:t xml:space="preserve">Yeasmin, R.; Buck, M.; Weinberg, A.; Zhang, L. Translocation of Human β Defensin Type 3 through a Neutrally Charged Lipid Membrane: A Free Energy Study. </w:t>
      </w:r>
      <w:r w:rsidRPr="00912FFE">
        <w:rPr>
          <w:i/>
          <w:iCs/>
          <w:noProof/>
          <w:szCs w:val="24"/>
        </w:rPr>
        <w:t>J. Phys. Chem. B</w:t>
      </w:r>
      <w:r w:rsidRPr="00912FFE">
        <w:rPr>
          <w:noProof/>
          <w:szCs w:val="24"/>
        </w:rPr>
        <w:t xml:space="preserve"> </w:t>
      </w:r>
      <w:r w:rsidRPr="00912FFE">
        <w:rPr>
          <w:b/>
          <w:bCs/>
          <w:noProof/>
          <w:szCs w:val="24"/>
        </w:rPr>
        <w:t>2018</w:t>
      </w:r>
      <w:r w:rsidRPr="00912FFE">
        <w:rPr>
          <w:noProof/>
          <w:szCs w:val="24"/>
        </w:rPr>
        <w:t xml:space="preserve">, </w:t>
      </w:r>
      <w:r w:rsidRPr="00912FFE">
        <w:rPr>
          <w:i/>
          <w:iCs/>
          <w:noProof/>
          <w:szCs w:val="24"/>
        </w:rPr>
        <w:t>122</w:t>
      </w:r>
      <w:r w:rsidRPr="00912FFE">
        <w:rPr>
          <w:noProof/>
          <w:szCs w:val="24"/>
        </w:rPr>
        <w:t xml:space="preserve"> (50), 11883–11894. https://doi.org/10.1021/acs.jpcb.8b08285.</w:t>
      </w:r>
    </w:p>
    <w:p w14:paraId="336876B8"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(238) </w:t>
      </w:r>
      <w:r w:rsidRPr="00912FFE">
        <w:rPr>
          <w:noProof/>
          <w:szCs w:val="24"/>
        </w:rPr>
        <w:tab/>
        <w:t xml:space="preserve">Bennett, W. F. D.; Hong, C. K.; Wang, Y.; Tieleman, D. P. Antimicrobial Peptide Simulations and the Influence of Force Field on the Free Energy for Pore Formation in Lipid Bilayers. </w:t>
      </w:r>
      <w:r w:rsidRPr="00912FFE">
        <w:rPr>
          <w:i/>
          <w:iCs/>
          <w:noProof/>
          <w:szCs w:val="24"/>
        </w:rPr>
        <w:t>J. Chem. Theory Comput.</w:t>
      </w:r>
      <w:r w:rsidRPr="00912FFE">
        <w:rPr>
          <w:noProof/>
          <w:szCs w:val="24"/>
        </w:rPr>
        <w:t xml:space="preserve"> </w:t>
      </w:r>
      <w:r w:rsidRPr="00912FFE">
        <w:rPr>
          <w:b/>
          <w:bCs/>
          <w:noProof/>
          <w:szCs w:val="24"/>
        </w:rPr>
        <w:t>2016</w:t>
      </w:r>
      <w:r w:rsidRPr="00912FFE">
        <w:rPr>
          <w:noProof/>
          <w:szCs w:val="24"/>
        </w:rPr>
        <w:t xml:space="preserve">, </w:t>
      </w:r>
      <w:r w:rsidRPr="00912FFE">
        <w:rPr>
          <w:i/>
          <w:iCs/>
          <w:noProof/>
          <w:szCs w:val="24"/>
        </w:rPr>
        <w:t>12</w:t>
      </w:r>
      <w:r w:rsidRPr="00912FFE">
        <w:rPr>
          <w:noProof/>
          <w:szCs w:val="24"/>
        </w:rPr>
        <w:t xml:space="preserve"> (9), 4524–4533. https://doi.org/10.1021/acs.jctc.6b00265.</w:t>
      </w:r>
    </w:p>
    <w:p w14:paraId="499F2F69"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(239) </w:t>
      </w:r>
      <w:r w:rsidRPr="00912FFE">
        <w:rPr>
          <w:noProof/>
          <w:szCs w:val="24"/>
        </w:rPr>
        <w:tab/>
        <w:t xml:space="preserve">Liu, J.; Xiao, S.; Li, J.; Yuan, B.; Yang, K.; Ma, Y. Molecular Details on the Intermediate States of Melittin Action on a Cell Membrane. </w:t>
      </w:r>
      <w:r w:rsidRPr="00912FFE">
        <w:rPr>
          <w:i/>
          <w:iCs/>
          <w:noProof/>
          <w:szCs w:val="24"/>
        </w:rPr>
        <w:t>Biochim. Biophys. Acta - Biomembr.</w:t>
      </w:r>
      <w:r w:rsidRPr="00912FFE">
        <w:rPr>
          <w:noProof/>
          <w:szCs w:val="24"/>
        </w:rPr>
        <w:t xml:space="preserve"> </w:t>
      </w:r>
      <w:r w:rsidRPr="00912FFE">
        <w:rPr>
          <w:b/>
          <w:bCs/>
          <w:noProof/>
          <w:szCs w:val="24"/>
        </w:rPr>
        <w:t>2018</w:t>
      </w:r>
      <w:r w:rsidRPr="00912FFE">
        <w:rPr>
          <w:noProof/>
          <w:szCs w:val="24"/>
        </w:rPr>
        <w:t xml:space="preserve">, </w:t>
      </w:r>
      <w:r w:rsidRPr="00912FFE">
        <w:rPr>
          <w:i/>
          <w:iCs/>
          <w:noProof/>
          <w:szCs w:val="24"/>
        </w:rPr>
        <w:t>1860</w:t>
      </w:r>
      <w:r w:rsidRPr="00912FFE">
        <w:rPr>
          <w:noProof/>
          <w:szCs w:val="24"/>
        </w:rPr>
        <w:t xml:space="preserve"> (11), 2234–2241. https://doi.org/10.1016/j.bbamem.2018.09.007.</w:t>
      </w:r>
    </w:p>
    <w:p w14:paraId="7AEA9C51"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(240) </w:t>
      </w:r>
      <w:r w:rsidRPr="00912FFE">
        <w:rPr>
          <w:noProof/>
          <w:szCs w:val="24"/>
        </w:rPr>
        <w:tab/>
        <w:t xml:space="preserve">Wang, Y.; Chen, C. H.; Hu, D.; Ulmschneider, M. B.; Ulmschneider, J. P. Spontaneous Formation of Structurally Diverse Membrane Channel Architectures from a Single Antimicrobial Peptide. </w:t>
      </w:r>
      <w:r w:rsidRPr="00912FFE">
        <w:rPr>
          <w:i/>
          <w:iCs/>
          <w:noProof/>
          <w:szCs w:val="24"/>
        </w:rPr>
        <w:t>Nat. Commun.</w:t>
      </w:r>
      <w:r w:rsidRPr="00912FFE">
        <w:rPr>
          <w:noProof/>
          <w:szCs w:val="24"/>
        </w:rPr>
        <w:t xml:space="preserve"> </w:t>
      </w:r>
      <w:r w:rsidRPr="00912FFE">
        <w:rPr>
          <w:b/>
          <w:bCs/>
          <w:noProof/>
          <w:szCs w:val="24"/>
        </w:rPr>
        <w:t>2016</w:t>
      </w:r>
      <w:r w:rsidRPr="00912FFE">
        <w:rPr>
          <w:noProof/>
          <w:szCs w:val="24"/>
        </w:rPr>
        <w:t xml:space="preserve">, </w:t>
      </w:r>
      <w:r w:rsidRPr="00912FFE">
        <w:rPr>
          <w:i/>
          <w:iCs/>
          <w:noProof/>
          <w:szCs w:val="24"/>
        </w:rPr>
        <w:t>7</w:t>
      </w:r>
      <w:r w:rsidRPr="00912FFE">
        <w:rPr>
          <w:noProof/>
          <w:szCs w:val="24"/>
        </w:rPr>
        <w:t xml:space="preserve"> (1), 1–9. https://doi.org/10.1038/ncomms13535.</w:t>
      </w:r>
    </w:p>
    <w:p w14:paraId="157BD314"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(241) </w:t>
      </w:r>
      <w:r w:rsidRPr="00912FFE">
        <w:rPr>
          <w:noProof/>
          <w:szCs w:val="24"/>
        </w:rPr>
        <w:tab/>
        <w:t xml:space="preserve">Lai, P. K.; Kaznessis, Y. N. Insights into Membrane Translocation of Protegrin Antimicrobial Peptides by Multistep Molecular Dynamics Simulations. </w:t>
      </w:r>
      <w:r w:rsidRPr="00912FFE">
        <w:rPr>
          <w:i/>
          <w:iCs/>
          <w:noProof/>
          <w:szCs w:val="24"/>
        </w:rPr>
        <w:t>ACS Omega</w:t>
      </w:r>
      <w:r w:rsidRPr="00912FFE">
        <w:rPr>
          <w:noProof/>
          <w:szCs w:val="24"/>
        </w:rPr>
        <w:t xml:space="preserve"> </w:t>
      </w:r>
      <w:r w:rsidRPr="00912FFE">
        <w:rPr>
          <w:b/>
          <w:bCs/>
          <w:noProof/>
          <w:szCs w:val="24"/>
        </w:rPr>
        <w:t>2018</w:t>
      </w:r>
      <w:r w:rsidRPr="00912FFE">
        <w:rPr>
          <w:noProof/>
          <w:szCs w:val="24"/>
        </w:rPr>
        <w:t xml:space="preserve">, </w:t>
      </w:r>
      <w:r w:rsidRPr="00912FFE">
        <w:rPr>
          <w:i/>
          <w:iCs/>
          <w:noProof/>
          <w:szCs w:val="24"/>
        </w:rPr>
        <w:t>3</w:t>
      </w:r>
      <w:r w:rsidRPr="00912FFE">
        <w:rPr>
          <w:noProof/>
          <w:szCs w:val="24"/>
        </w:rPr>
        <w:t xml:space="preserve"> (6), 6056–6065. https://doi.org/10.1021/acsomega.8b00483.</w:t>
      </w:r>
    </w:p>
    <w:p w14:paraId="4A5D5F49"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(242) </w:t>
      </w:r>
      <w:r w:rsidRPr="00912FFE">
        <w:rPr>
          <w:noProof/>
          <w:szCs w:val="24"/>
        </w:rPr>
        <w:tab/>
        <w:t xml:space="preserve">Piggot, T. J.; Holdbrook, D. A.; Khalid, S. Electroporation of the E. Coli and S. Aureus Membranes: Molecular Dynamics Simulations of Complex Bacterial Membranes. </w:t>
      </w:r>
      <w:r w:rsidRPr="00912FFE">
        <w:rPr>
          <w:i/>
          <w:iCs/>
          <w:noProof/>
          <w:szCs w:val="24"/>
        </w:rPr>
        <w:t>J. Phys. Chem. B</w:t>
      </w:r>
      <w:r w:rsidRPr="00912FFE">
        <w:rPr>
          <w:noProof/>
          <w:szCs w:val="24"/>
        </w:rPr>
        <w:t xml:space="preserve"> </w:t>
      </w:r>
      <w:r w:rsidRPr="00912FFE">
        <w:rPr>
          <w:b/>
          <w:bCs/>
          <w:noProof/>
          <w:szCs w:val="24"/>
        </w:rPr>
        <w:t>2011</w:t>
      </w:r>
      <w:r w:rsidRPr="00912FFE">
        <w:rPr>
          <w:noProof/>
          <w:szCs w:val="24"/>
        </w:rPr>
        <w:t xml:space="preserve">, </w:t>
      </w:r>
      <w:r w:rsidRPr="00912FFE">
        <w:rPr>
          <w:i/>
          <w:iCs/>
          <w:noProof/>
          <w:szCs w:val="24"/>
        </w:rPr>
        <w:t>115</w:t>
      </w:r>
      <w:r w:rsidRPr="00912FFE">
        <w:rPr>
          <w:noProof/>
          <w:szCs w:val="24"/>
        </w:rPr>
        <w:t xml:space="preserve"> (45), 13381–13388. https://doi.org/10.1021/jp207013v.</w:t>
      </w:r>
    </w:p>
    <w:p w14:paraId="7B1D561F"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(243) </w:t>
      </w:r>
      <w:r w:rsidRPr="00912FFE">
        <w:rPr>
          <w:noProof/>
          <w:szCs w:val="24"/>
        </w:rPr>
        <w:tab/>
        <w:t xml:space="preserve">Appadu, A.; Jelokhani-Niaraki, M.; DeBruin, L. Conformational Changes and Association of Membrane-Interacting Peptides in Myelin Membrane Models: A Case of the C-Terminal Peptide of Proteolipid Protein and the Antimicrobial Peptide Melittin. </w:t>
      </w:r>
      <w:r w:rsidRPr="00912FFE">
        <w:rPr>
          <w:i/>
          <w:iCs/>
          <w:noProof/>
          <w:szCs w:val="24"/>
        </w:rPr>
        <w:t>J. Phys. Chem. B</w:t>
      </w:r>
      <w:r w:rsidRPr="00912FFE">
        <w:rPr>
          <w:noProof/>
          <w:szCs w:val="24"/>
        </w:rPr>
        <w:t xml:space="preserve"> </w:t>
      </w:r>
      <w:r w:rsidRPr="00912FFE">
        <w:rPr>
          <w:b/>
          <w:bCs/>
          <w:noProof/>
          <w:szCs w:val="24"/>
        </w:rPr>
        <w:t>2015</w:t>
      </w:r>
      <w:r w:rsidRPr="00912FFE">
        <w:rPr>
          <w:noProof/>
          <w:szCs w:val="24"/>
        </w:rPr>
        <w:t xml:space="preserve">, </w:t>
      </w:r>
      <w:r w:rsidRPr="00912FFE">
        <w:rPr>
          <w:i/>
          <w:iCs/>
          <w:noProof/>
          <w:szCs w:val="24"/>
        </w:rPr>
        <w:t>119</w:t>
      </w:r>
      <w:r w:rsidRPr="00912FFE">
        <w:rPr>
          <w:noProof/>
          <w:szCs w:val="24"/>
        </w:rPr>
        <w:t xml:space="preserve"> (47), 14821–14830. https://doi.org/10.1021/acs.jpcb.5b07375.</w:t>
      </w:r>
    </w:p>
    <w:p w14:paraId="2F7DE4F7"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(244) </w:t>
      </w:r>
      <w:r w:rsidRPr="00912FFE">
        <w:rPr>
          <w:noProof/>
          <w:szCs w:val="24"/>
        </w:rPr>
        <w:tab/>
        <w:t xml:space="preserve">Lay, F. T.; Ryan, G. F.; Caria, S.; Phan, T. K.; Veneer, P. K.; White, J. A.; Kvansakul, M.; </w:t>
      </w:r>
      <w:r w:rsidRPr="00912FFE">
        <w:rPr>
          <w:noProof/>
          <w:szCs w:val="24"/>
        </w:rPr>
        <w:lastRenderedPageBreak/>
        <w:t xml:space="preserve">Hulett, M. D. Structural and Functional Characterization of the Membrane-Permeabilizing Activity of Nicotiana Occidentalis Defensin NoD173 and Protein Engineering to Enhance Oncolysis. </w:t>
      </w:r>
      <w:r w:rsidRPr="00912FFE">
        <w:rPr>
          <w:i/>
          <w:iCs/>
          <w:noProof/>
          <w:szCs w:val="24"/>
        </w:rPr>
        <w:t>FASEB J.</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33</w:t>
      </w:r>
      <w:r w:rsidRPr="00912FFE">
        <w:rPr>
          <w:noProof/>
          <w:szCs w:val="24"/>
        </w:rPr>
        <w:t xml:space="preserve"> (5), 6470–6482. https://doi.org/10.1096/fj.201802540R.</w:t>
      </w:r>
    </w:p>
    <w:p w14:paraId="0BC59B65"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(245) </w:t>
      </w:r>
      <w:r w:rsidRPr="00912FFE">
        <w:rPr>
          <w:noProof/>
          <w:szCs w:val="24"/>
        </w:rPr>
        <w:tab/>
        <w:t xml:space="preserve">Hayouka, Z.; Mortenson, D. E.; Kreitler, D. F.; Weisblum, B.; Forest, K. T.; Gellman, S. H. Evidence for Phenylalanine Zipper-Mediated Dimerization in the X-Ray Crystal Structure of a Magainin 2 Analogue. </w:t>
      </w:r>
      <w:r w:rsidRPr="00912FFE">
        <w:rPr>
          <w:i/>
          <w:iCs/>
          <w:noProof/>
          <w:szCs w:val="24"/>
        </w:rPr>
        <w:t>J. Am. Chem. Soc.</w:t>
      </w:r>
      <w:r w:rsidRPr="00912FFE">
        <w:rPr>
          <w:noProof/>
          <w:szCs w:val="24"/>
        </w:rPr>
        <w:t xml:space="preserve"> </w:t>
      </w:r>
      <w:r w:rsidRPr="00912FFE">
        <w:rPr>
          <w:b/>
          <w:bCs/>
          <w:noProof/>
          <w:szCs w:val="24"/>
        </w:rPr>
        <w:t>2013</w:t>
      </w:r>
      <w:r w:rsidRPr="00912FFE">
        <w:rPr>
          <w:noProof/>
          <w:szCs w:val="24"/>
        </w:rPr>
        <w:t xml:space="preserve">, </w:t>
      </w:r>
      <w:r w:rsidRPr="00912FFE">
        <w:rPr>
          <w:i/>
          <w:iCs/>
          <w:noProof/>
          <w:szCs w:val="24"/>
        </w:rPr>
        <w:t>135</w:t>
      </w:r>
      <w:r w:rsidRPr="00912FFE">
        <w:rPr>
          <w:noProof/>
          <w:szCs w:val="24"/>
        </w:rPr>
        <w:t xml:space="preserve"> (42), 15738–15741. https://doi.org/10.1021/ja409082w.</w:t>
      </w:r>
    </w:p>
    <w:p w14:paraId="36E725FE"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(246) </w:t>
      </w:r>
      <w:r w:rsidRPr="00912FFE">
        <w:rPr>
          <w:noProof/>
          <w:szCs w:val="24"/>
        </w:rPr>
        <w:tab/>
        <w:t xml:space="preserve">Warschawski, D. E.; Arnold, A. A.; Beaugrand, M.; Gravel, A.; Chartrand, É.; Marcotte, I. Choosing Membrane Mimetics for NMR Structural Studies of Transmembrane Proteins. </w:t>
      </w:r>
      <w:r w:rsidRPr="00912FFE">
        <w:rPr>
          <w:i/>
          <w:iCs/>
          <w:noProof/>
          <w:szCs w:val="24"/>
        </w:rPr>
        <w:t>Biochim. Biophys. Acta - Biomembr.</w:t>
      </w:r>
      <w:r w:rsidRPr="00912FFE">
        <w:rPr>
          <w:noProof/>
          <w:szCs w:val="24"/>
        </w:rPr>
        <w:t xml:space="preserve"> </w:t>
      </w:r>
      <w:r w:rsidRPr="00912FFE">
        <w:rPr>
          <w:b/>
          <w:bCs/>
          <w:noProof/>
          <w:szCs w:val="24"/>
        </w:rPr>
        <w:t>2011</w:t>
      </w:r>
      <w:r w:rsidRPr="00912FFE">
        <w:rPr>
          <w:noProof/>
          <w:szCs w:val="24"/>
        </w:rPr>
        <w:t xml:space="preserve">, </w:t>
      </w:r>
      <w:r w:rsidRPr="00912FFE">
        <w:rPr>
          <w:i/>
          <w:iCs/>
          <w:noProof/>
          <w:szCs w:val="24"/>
        </w:rPr>
        <w:t>1808</w:t>
      </w:r>
      <w:r w:rsidRPr="00912FFE">
        <w:rPr>
          <w:noProof/>
          <w:szCs w:val="24"/>
        </w:rPr>
        <w:t xml:space="preserve"> (8), 1957–1974. https://doi.org/10.1016/j.bbamem.2011.03.016.</w:t>
      </w:r>
    </w:p>
    <w:p w14:paraId="5CA952DE"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(247) </w:t>
      </w:r>
      <w:r w:rsidRPr="00912FFE">
        <w:rPr>
          <w:noProof/>
          <w:szCs w:val="24"/>
        </w:rPr>
        <w:tab/>
        <w:t xml:space="preserve">Harmouche, N.; Aisenbrey, C.; Porcelli, F.; Xia, Y.; Nelson, S. E. D.; Chen, X.; Raya, J.; Vermeer, L.; Aparicio, C.; Veglia, G.; Gorr, S. U.; Bechinger, B. Solution and Solid-State Nuclear Magnetic Resonance Structural Investigations of the Antimicrobial Designer Peptide GL13K in Membranes. </w:t>
      </w:r>
      <w:r w:rsidRPr="00912FFE">
        <w:rPr>
          <w:i/>
          <w:iCs/>
          <w:noProof/>
          <w:szCs w:val="24"/>
        </w:rPr>
        <w:t>Biochemistry</w:t>
      </w:r>
      <w:r w:rsidRPr="00912FFE">
        <w:rPr>
          <w:noProof/>
          <w:szCs w:val="24"/>
        </w:rPr>
        <w:t xml:space="preserve"> </w:t>
      </w:r>
      <w:r w:rsidRPr="00912FFE">
        <w:rPr>
          <w:b/>
          <w:bCs/>
          <w:noProof/>
          <w:szCs w:val="24"/>
        </w:rPr>
        <w:t>2017</w:t>
      </w:r>
      <w:r w:rsidRPr="00912FFE">
        <w:rPr>
          <w:noProof/>
          <w:szCs w:val="24"/>
        </w:rPr>
        <w:t xml:space="preserve">, </w:t>
      </w:r>
      <w:r w:rsidRPr="00912FFE">
        <w:rPr>
          <w:i/>
          <w:iCs/>
          <w:noProof/>
          <w:szCs w:val="24"/>
        </w:rPr>
        <w:t>56</w:t>
      </w:r>
      <w:r w:rsidRPr="00912FFE">
        <w:rPr>
          <w:noProof/>
          <w:szCs w:val="24"/>
        </w:rPr>
        <w:t xml:space="preserve"> (32), 4269–4278. https://doi.org/10.1021/acs.biochem.7b00526.</w:t>
      </w:r>
    </w:p>
    <w:p w14:paraId="66DD076E"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(248) </w:t>
      </w:r>
      <w:r w:rsidRPr="00912FFE">
        <w:rPr>
          <w:noProof/>
          <w:szCs w:val="24"/>
        </w:rPr>
        <w:tab/>
        <w:t xml:space="preserve">Woody, R. W. Circular Dichroism of Peptides. In </w:t>
      </w:r>
      <w:r w:rsidRPr="00912FFE">
        <w:rPr>
          <w:i/>
          <w:iCs/>
          <w:noProof/>
          <w:szCs w:val="24"/>
        </w:rPr>
        <w:t>Conformation in Biology and Drug Design</w:t>
      </w:r>
      <w:r w:rsidRPr="00912FFE">
        <w:rPr>
          <w:noProof/>
          <w:szCs w:val="24"/>
        </w:rPr>
        <w:t>; Elsevier, 1985; pp 15–114. https://doi.org/10.1016/b978-0-12-304207-1.50008-4.</w:t>
      </w:r>
    </w:p>
    <w:p w14:paraId="4872FFAC"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(249) </w:t>
      </w:r>
      <w:r w:rsidRPr="00912FFE">
        <w:rPr>
          <w:noProof/>
          <w:szCs w:val="24"/>
        </w:rPr>
        <w:tab/>
        <w:t xml:space="preserve">Bürck, J.; Wadhwani, P.; Fanghänel, S.; Ulrich, A. S. Oriented Circular Dichroism: A Method to Characterize Membrane-Active Peptides in Oriented Lipid Bilayers. </w:t>
      </w:r>
      <w:r w:rsidRPr="00912FFE">
        <w:rPr>
          <w:i/>
          <w:iCs/>
          <w:noProof/>
          <w:szCs w:val="24"/>
        </w:rPr>
        <w:t>Acc. Chem. Res.</w:t>
      </w:r>
      <w:r w:rsidRPr="00912FFE">
        <w:rPr>
          <w:noProof/>
          <w:szCs w:val="24"/>
        </w:rPr>
        <w:t xml:space="preserve"> </w:t>
      </w:r>
      <w:r w:rsidRPr="00912FFE">
        <w:rPr>
          <w:b/>
          <w:bCs/>
          <w:noProof/>
          <w:szCs w:val="24"/>
        </w:rPr>
        <w:t>2016</w:t>
      </w:r>
      <w:r w:rsidRPr="00912FFE">
        <w:rPr>
          <w:noProof/>
          <w:szCs w:val="24"/>
        </w:rPr>
        <w:t xml:space="preserve">, </w:t>
      </w:r>
      <w:r w:rsidRPr="00912FFE">
        <w:rPr>
          <w:i/>
          <w:iCs/>
          <w:noProof/>
          <w:szCs w:val="24"/>
        </w:rPr>
        <w:t>49</w:t>
      </w:r>
      <w:r w:rsidRPr="00912FFE">
        <w:rPr>
          <w:noProof/>
          <w:szCs w:val="24"/>
        </w:rPr>
        <w:t xml:space="preserve"> (2), 184–192. https://doi.org/10.1021/acs.accounts.5b00346.</w:t>
      </w:r>
    </w:p>
    <w:p w14:paraId="7EC734DC"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(250) </w:t>
      </w:r>
      <w:r w:rsidRPr="00912FFE">
        <w:rPr>
          <w:noProof/>
          <w:szCs w:val="24"/>
        </w:rPr>
        <w:tab/>
        <w:t xml:space="preserve">Avci, F. G.; Akbulut, B. S.; Ozkirimli, E. Membrane Active Peptides and Their Biophysical Characterization. </w:t>
      </w:r>
      <w:r w:rsidRPr="00912FFE">
        <w:rPr>
          <w:i/>
          <w:iCs/>
          <w:noProof/>
          <w:szCs w:val="24"/>
        </w:rPr>
        <w:t>Biomolecules</w:t>
      </w:r>
      <w:r w:rsidRPr="00912FFE">
        <w:rPr>
          <w:noProof/>
          <w:szCs w:val="24"/>
        </w:rPr>
        <w:t xml:space="preserve"> </w:t>
      </w:r>
      <w:r w:rsidRPr="00912FFE">
        <w:rPr>
          <w:b/>
          <w:bCs/>
          <w:noProof/>
          <w:szCs w:val="24"/>
        </w:rPr>
        <w:t>2018</w:t>
      </w:r>
      <w:r w:rsidRPr="00912FFE">
        <w:rPr>
          <w:noProof/>
          <w:szCs w:val="24"/>
        </w:rPr>
        <w:t xml:space="preserve">, </w:t>
      </w:r>
      <w:r w:rsidRPr="00912FFE">
        <w:rPr>
          <w:i/>
          <w:iCs/>
          <w:noProof/>
          <w:szCs w:val="24"/>
        </w:rPr>
        <w:t>8</w:t>
      </w:r>
      <w:r w:rsidRPr="00912FFE">
        <w:rPr>
          <w:noProof/>
          <w:szCs w:val="24"/>
        </w:rPr>
        <w:t xml:space="preserve"> (3), 77. https://doi.org/10.3390/biom8030077.</w:t>
      </w:r>
    </w:p>
    <w:p w14:paraId="3B43D1C9"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(251) </w:t>
      </w:r>
      <w:r w:rsidRPr="00912FFE">
        <w:rPr>
          <w:noProof/>
          <w:szCs w:val="24"/>
        </w:rPr>
        <w:tab/>
        <w:t xml:space="preserve">Ramachandran, G. N.; Ramakrishnan, C.; Sasisekharan, V. Stereochemistry of Polypeptide Chain Configurations. </w:t>
      </w:r>
      <w:r w:rsidRPr="00912FFE">
        <w:rPr>
          <w:i/>
          <w:iCs/>
          <w:noProof/>
          <w:szCs w:val="24"/>
        </w:rPr>
        <w:t>J. Mol. Biol.</w:t>
      </w:r>
      <w:r w:rsidRPr="00912FFE">
        <w:rPr>
          <w:noProof/>
          <w:szCs w:val="24"/>
        </w:rPr>
        <w:t xml:space="preserve"> </w:t>
      </w:r>
      <w:r w:rsidRPr="00912FFE">
        <w:rPr>
          <w:b/>
          <w:bCs/>
          <w:noProof/>
          <w:szCs w:val="24"/>
        </w:rPr>
        <w:t>1963</w:t>
      </w:r>
      <w:r w:rsidRPr="00912FFE">
        <w:rPr>
          <w:noProof/>
          <w:szCs w:val="24"/>
        </w:rPr>
        <w:t xml:space="preserve">, </w:t>
      </w:r>
      <w:r w:rsidRPr="00912FFE">
        <w:rPr>
          <w:i/>
          <w:iCs/>
          <w:noProof/>
          <w:szCs w:val="24"/>
        </w:rPr>
        <w:t>7</w:t>
      </w:r>
      <w:r w:rsidRPr="00912FFE">
        <w:rPr>
          <w:noProof/>
          <w:szCs w:val="24"/>
        </w:rPr>
        <w:t xml:space="preserve"> (1), 95–99. https://doi.org/10.1016/S0022-2836(63)80023-6.</w:t>
      </w:r>
    </w:p>
    <w:p w14:paraId="33D3DB38"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(252) </w:t>
      </w:r>
      <w:r w:rsidRPr="00912FFE">
        <w:rPr>
          <w:noProof/>
          <w:szCs w:val="24"/>
        </w:rPr>
        <w:tab/>
        <w:t xml:space="preserve">Vymětal, J.; Vondrášek, J. Gyration- and Inertia-Tensor-Based Collective Coordinates for Metadynamics. Application on the Conformational Behavior of Polyalanine Peptides and Trp-Cage Folding. </w:t>
      </w:r>
      <w:r w:rsidRPr="00912FFE">
        <w:rPr>
          <w:i/>
          <w:iCs/>
          <w:noProof/>
          <w:szCs w:val="24"/>
        </w:rPr>
        <w:t>J. Phys. Chem. A</w:t>
      </w:r>
      <w:r w:rsidRPr="00912FFE">
        <w:rPr>
          <w:noProof/>
          <w:szCs w:val="24"/>
        </w:rPr>
        <w:t xml:space="preserve"> </w:t>
      </w:r>
      <w:r w:rsidRPr="00912FFE">
        <w:rPr>
          <w:b/>
          <w:bCs/>
          <w:noProof/>
          <w:szCs w:val="24"/>
        </w:rPr>
        <w:t>2011</w:t>
      </w:r>
      <w:r w:rsidRPr="00912FFE">
        <w:rPr>
          <w:noProof/>
          <w:szCs w:val="24"/>
        </w:rPr>
        <w:t xml:space="preserve">, </w:t>
      </w:r>
      <w:r w:rsidRPr="00912FFE">
        <w:rPr>
          <w:i/>
          <w:iCs/>
          <w:noProof/>
          <w:szCs w:val="24"/>
        </w:rPr>
        <w:t>115</w:t>
      </w:r>
      <w:r w:rsidRPr="00912FFE">
        <w:rPr>
          <w:noProof/>
          <w:szCs w:val="24"/>
        </w:rPr>
        <w:t xml:space="preserve"> (41), 11455–11465. https://doi.org/10.1021/jp2065612.</w:t>
      </w:r>
    </w:p>
    <w:p w14:paraId="618DCCF5"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(253) </w:t>
      </w:r>
      <w:r w:rsidRPr="00912FFE">
        <w:rPr>
          <w:noProof/>
          <w:szCs w:val="24"/>
        </w:rPr>
        <w:tab/>
        <w:t>Kabsch, W.; Sander, C. Dictionary of Protein Secondary Structure: Pattern Recognition of Hydrogen</w:t>
      </w:r>
      <w:r w:rsidRPr="00912FFE">
        <w:rPr>
          <w:rFonts w:ascii="Cambria Math" w:hAnsi="Cambria Math" w:cs="Cambria Math"/>
          <w:noProof/>
          <w:szCs w:val="24"/>
        </w:rPr>
        <w:t>‐</w:t>
      </w:r>
      <w:r w:rsidRPr="00912FFE">
        <w:rPr>
          <w:noProof/>
          <w:szCs w:val="24"/>
        </w:rPr>
        <w:t xml:space="preserve">bonded and Geometrical Features. </w:t>
      </w:r>
      <w:r w:rsidRPr="00912FFE">
        <w:rPr>
          <w:i/>
          <w:iCs/>
          <w:noProof/>
          <w:szCs w:val="24"/>
        </w:rPr>
        <w:t>Biopolymers</w:t>
      </w:r>
      <w:r w:rsidRPr="00912FFE">
        <w:rPr>
          <w:noProof/>
          <w:szCs w:val="24"/>
        </w:rPr>
        <w:t xml:space="preserve"> </w:t>
      </w:r>
      <w:r w:rsidRPr="00912FFE">
        <w:rPr>
          <w:b/>
          <w:bCs/>
          <w:noProof/>
          <w:szCs w:val="24"/>
        </w:rPr>
        <w:t>1983</w:t>
      </w:r>
      <w:r w:rsidRPr="00912FFE">
        <w:rPr>
          <w:noProof/>
          <w:szCs w:val="24"/>
        </w:rPr>
        <w:t xml:space="preserve">, </w:t>
      </w:r>
      <w:r w:rsidRPr="00912FFE">
        <w:rPr>
          <w:i/>
          <w:iCs/>
          <w:noProof/>
          <w:szCs w:val="24"/>
        </w:rPr>
        <w:t>22</w:t>
      </w:r>
      <w:r w:rsidRPr="00912FFE">
        <w:rPr>
          <w:noProof/>
          <w:szCs w:val="24"/>
        </w:rPr>
        <w:t xml:space="preserve"> (12), 2577–2637. https://doi.org/10.1002/bip.360221211.</w:t>
      </w:r>
    </w:p>
    <w:p w14:paraId="17FCB623"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(254) </w:t>
      </w:r>
      <w:r w:rsidRPr="00912FFE">
        <w:rPr>
          <w:noProof/>
          <w:szCs w:val="24"/>
        </w:rPr>
        <w:tab/>
        <w:t xml:space="preserve">Shao, J.; Tanner, S. W.; Thompson, N.; Cheatham, T. E. Clustering Molecular Dynamics Trajectories: 1. Characterizing the Performance of Different Clustering Algorithms. </w:t>
      </w:r>
      <w:r w:rsidRPr="00912FFE">
        <w:rPr>
          <w:i/>
          <w:iCs/>
          <w:noProof/>
          <w:szCs w:val="24"/>
        </w:rPr>
        <w:t>J. Chem. Theory Comput.</w:t>
      </w:r>
      <w:r w:rsidRPr="00912FFE">
        <w:rPr>
          <w:noProof/>
          <w:szCs w:val="24"/>
        </w:rPr>
        <w:t xml:space="preserve"> </w:t>
      </w:r>
      <w:r w:rsidRPr="00912FFE">
        <w:rPr>
          <w:b/>
          <w:bCs/>
          <w:noProof/>
          <w:szCs w:val="24"/>
        </w:rPr>
        <w:t>2007</w:t>
      </w:r>
      <w:r w:rsidRPr="00912FFE">
        <w:rPr>
          <w:noProof/>
          <w:szCs w:val="24"/>
        </w:rPr>
        <w:t xml:space="preserve">, </w:t>
      </w:r>
      <w:r w:rsidRPr="00912FFE">
        <w:rPr>
          <w:i/>
          <w:iCs/>
          <w:noProof/>
          <w:szCs w:val="24"/>
        </w:rPr>
        <w:t>3</w:t>
      </w:r>
      <w:r w:rsidRPr="00912FFE">
        <w:rPr>
          <w:noProof/>
          <w:szCs w:val="24"/>
        </w:rPr>
        <w:t xml:space="preserve"> (6), 2312–2334. https://doi.org/10.1021/ct700119m.</w:t>
      </w:r>
    </w:p>
    <w:p w14:paraId="54E41C1A"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(255) </w:t>
      </w:r>
      <w:r w:rsidRPr="00912FFE">
        <w:rPr>
          <w:noProof/>
          <w:szCs w:val="24"/>
        </w:rPr>
        <w:tab/>
        <w:t xml:space="preserve">Aguzzi, A.; O’Connor, T. Protein Aggregation Diseases: Pathogenicity and Therapeutic Perspectives. </w:t>
      </w:r>
      <w:r w:rsidRPr="00912FFE">
        <w:rPr>
          <w:i/>
          <w:iCs/>
          <w:noProof/>
          <w:szCs w:val="24"/>
        </w:rPr>
        <w:t>Nat. Rev. Drug Discov.</w:t>
      </w:r>
      <w:r w:rsidRPr="00912FFE">
        <w:rPr>
          <w:noProof/>
          <w:szCs w:val="24"/>
        </w:rPr>
        <w:t xml:space="preserve"> </w:t>
      </w:r>
      <w:r w:rsidRPr="00912FFE">
        <w:rPr>
          <w:b/>
          <w:bCs/>
          <w:noProof/>
          <w:szCs w:val="24"/>
        </w:rPr>
        <w:t>2010</w:t>
      </w:r>
      <w:r w:rsidRPr="00912FFE">
        <w:rPr>
          <w:noProof/>
          <w:szCs w:val="24"/>
        </w:rPr>
        <w:t xml:space="preserve">, </w:t>
      </w:r>
      <w:r w:rsidRPr="00912FFE">
        <w:rPr>
          <w:i/>
          <w:iCs/>
          <w:noProof/>
          <w:szCs w:val="24"/>
        </w:rPr>
        <w:t>9</w:t>
      </w:r>
      <w:r w:rsidRPr="00912FFE">
        <w:rPr>
          <w:noProof/>
          <w:szCs w:val="24"/>
        </w:rPr>
        <w:t xml:space="preserve"> (3), 237–248. https://doi.org/10.1038/nrd3050.</w:t>
      </w:r>
    </w:p>
    <w:p w14:paraId="4E1704E9"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(256) </w:t>
      </w:r>
      <w:r w:rsidRPr="00912FFE">
        <w:rPr>
          <w:noProof/>
          <w:szCs w:val="24"/>
        </w:rPr>
        <w:tab/>
        <w:t xml:space="preserve">Meli, M.; Morra, G.; Colombo, G. Investigating the Mechanism of Peptide Aggregation: Insights from Mixed Monte Carlo-Molecular Dynamics Simulations. </w:t>
      </w:r>
      <w:r w:rsidRPr="00912FFE">
        <w:rPr>
          <w:i/>
          <w:iCs/>
          <w:noProof/>
          <w:szCs w:val="24"/>
        </w:rPr>
        <w:t>Biophys. J.</w:t>
      </w:r>
      <w:r w:rsidRPr="00912FFE">
        <w:rPr>
          <w:noProof/>
          <w:szCs w:val="24"/>
        </w:rPr>
        <w:t xml:space="preserve"> </w:t>
      </w:r>
      <w:r w:rsidRPr="00912FFE">
        <w:rPr>
          <w:b/>
          <w:bCs/>
          <w:noProof/>
          <w:szCs w:val="24"/>
        </w:rPr>
        <w:t>2008</w:t>
      </w:r>
      <w:r w:rsidRPr="00912FFE">
        <w:rPr>
          <w:noProof/>
          <w:szCs w:val="24"/>
        </w:rPr>
        <w:t xml:space="preserve">, </w:t>
      </w:r>
      <w:r w:rsidRPr="00912FFE">
        <w:rPr>
          <w:i/>
          <w:iCs/>
          <w:noProof/>
          <w:szCs w:val="24"/>
        </w:rPr>
        <w:t>94</w:t>
      </w:r>
      <w:r w:rsidRPr="00912FFE">
        <w:rPr>
          <w:noProof/>
          <w:szCs w:val="24"/>
        </w:rPr>
        <w:t xml:space="preserve"> (11), 4414–4426. https://doi.org/10.1529/biophysj.107.121061.</w:t>
      </w:r>
    </w:p>
    <w:p w14:paraId="642434F6"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(257) </w:t>
      </w:r>
      <w:r w:rsidRPr="00912FFE">
        <w:rPr>
          <w:noProof/>
          <w:szCs w:val="24"/>
        </w:rPr>
        <w:tab/>
        <w:t xml:space="preserve">Cantor, R. S. Size Distribution of Barrel-Stave Aggregates of Membrane Peptides: Influence of the Bilayer Lateral Pressure Profile. </w:t>
      </w:r>
      <w:r w:rsidRPr="00912FFE">
        <w:rPr>
          <w:i/>
          <w:iCs/>
          <w:noProof/>
          <w:szCs w:val="24"/>
        </w:rPr>
        <w:t>Biophys. J.</w:t>
      </w:r>
      <w:r w:rsidRPr="00912FFE">
        <w:rPr>
          <w:noProof/>
          <w:szCs w:val="24"/>
        </w:rPr>
        <w:t xml:space="preserve"> </w:t>
      </w:r>
      <w:r w:rsidRPr="00912FFE">
        <w:rPr>
          <w:b/>
          <w:bCs/>
          <w:noProof/>
          <w:szCs w:val="24"/>
        </w:rPr>
        <w:t>2002</w:t>
      </w:r>
      <w:r w:rsidRPr="00912FFE">
        <w:rPr>
          <w:noProof/>
          <w:szCs w:val="24"/>
        </w:rPr>
        <w:t xml:space="preserve">, </w:t>
      </w:r>
      <w:r w:rsidRPr="00912FFE">
        <w:rPr>
          <w:i/>
          <w:iCs/>
          <w:noProof/>
          <w:szCs w:val="24"/>
        </w:rPr>
        <w:t>82</w:t>
      </w:r>
      <w:r w:rsidRPr="00912FFE">
        <w:rPr>
          <w:noProof/>
          <w:szCs w:val="24"/>
        </w:rPr>
        <w:t xml:space="preserve"> (5), 2520–2525. https://doi.org/10.1016/S0006-3495(02)75595-1.</w:t>
      </w:r>
    </w:p>
    <w:p w14:paraId="5C10A4CC"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(258) </w:t>
      </w:r>
      <w:r w:rsidRPr="00912FFE">
        <w:rPr>
          <w:noProof/>
          <w:szCs w:val="24"/>
        </w:rPr>
        <w:tab/>
        <w:t xml:space="preserve">Buffy, J. J.; Waring, A. J.; Lehrer, R. I.; Hong, M. Immobilization and Aggregation of the Antimicrobial Peptide Protegrin-1 in Lipid Bilayers Investigated by Solid-State NMR. </w:t>
      </w:r>
      <w:r w:rsidRPr="00912FFE">
        <w:rPr>
          <w:i/>
          <w:iCs/>
          <w:noProof/>
          <w:szCs w:val="24"/>
        </w:rPr>
        <w:t>Biochemistry</w:t>
      </w:r>
      <w:r w:rsidRPr="00912FFE">
        <w:rPr>
          <w:noProof/>
          <w:szCs w:val="24"/>
        </w:rPr>
        <w:t xml:space="preserve"> </w:t>
      </w:r>
      <w:r w:rsidRPr="00912FFE">
        <w:rPr>
          <w:b/>
          <w:bCs/>
          <w:noProof/>
          <w:szCs w:val="24"/>
        </w:rPr>
        <w:t>2003</w:t>
      </w:r>
      <w:r w:rsidRPr="00912FFE">
        <w:rPr>
          <w:noProof/>
          <w:szCs w:val="24"/>
        </w:rPr>
        <w:t xml:space="preserve">, </w:t>
      </w:r>
      <w:r w:rsidRPr="00912FFE">
        <w:rPr>
          <w:i/>
          <w:iCs/>
          <w:noProof/>
          <w:szCs w:val="24"/>
        </w:rPr>
        <w:t>42</w:t>
      </w:r>
      <w:r w:rsidRPr="00912FFE">
        <w:rPr>
          <w:noProof/>
          <w:szCs w:val="24"/>
        </w:rPr>
        <w:t xml:space="preserve"> (46), 13725–13734. https://doi.org/10.1021/bi035187w.</w:t>
      </w:r>
    </w:p>
    <w:p w14:paraId="058F0160"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(259) </w:t>
      </w:r>
      <w:r w:rsidRPr="00912FFE">
        <w:rPr>
          <w:noProof/>
          <w:szCs w:val="24"/>
        </w:rPr>
        <w:tab/>
        <w:t xml:space="preserve">Acosta, S.; Ye, Z.; Aparicio, C.; Alonso, M.; Rodríguez-Cabello, J. C. Dual Self-Assembled Nanostructures from Intrinsically Disordered Protein Polymers with LCST Behavior and Antimicrobial Peptides. </w:t>
      </w:r>
      <w:r w:rsidRPr="00912FFE">
        <w:rPr>
          <w:i/>
          <w:iCs/>
          <w:noProof/>
          <w:szCs w:val="24"/>
        </w:rPr>
        <w:t>Biomacromolecules</w:t>
      </w:r>
      <w:r w:rsidRPr="00912FFE">
        <w:rPr>
          <w:noProof/>
          <w:szCs w:val="24"/>
        </w:rPr>
        <w:t xml:space="preserve"> </w:t>
      </w:r>
      <w:r w:rsidRPr="00912FFE">
        <w:rPr>
          <w:b/>
          <w:bCs/>
          <w:noProof/>
          <w:szCs w:val="24"/>
        </w:rPr>
        <w:t>2020</w:t>
      </w:r>
      <w:r w:rsidRPr="00912FFE">
        <w:rPr>
          <w:noProof/>
          <w:szCs w:val="24"/>
        </w:rPr>
        <w:t xml:space="preserve">, </w:t>
      </w:r>
      <w:r w:rsidRPr="00912FFE">
        <w:rPr>
          <w:i/>
          <w:iCs/>
          <w:noProof/>
          <w:szCs w:val="24"/>
        </w:rPr>
        <w:t>21</w:t>
      </w:r>
      <w:r w:rsidRPr="00912FFE">
        <w:rPr>
          <w:noProof/>
          <w:szCs w:val="24"/>
        </w:rPr>
        <w:t xml:space="preserve"> (10), 4043–4052. </w:t>
      </w:r>
      <w:r w:rsidRPr="00912FFE">
        <w:rPr>
          <w:noProof/>
          <w:szCs w:val="24"/>
        </w:rPr>
        <w:lastRenderedPageBreak/>
        <w:t>https://doi.org/10.1021/acs.biomac.0c00865.</w:t>
      </w:r>
    </w:p>
    <w:p w14:paraId="5A347C7E"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(260) </w:t>
      </w:r>
      <w:r w:rsidRPr="00912FFE">
        <w:rPr>
          <w:noProof/>
          <w:szCs w:val="24"/>
        </w:rPr>
        <w:tab/>
        <w:t xml:space="preserve">Nielsen, J. E.; Bjørnestad, V. A.; Lund, R. Resolving the Structural Interactions between Antimicrobial Peptides and Lipid Membranes Using Small-Angle Scattering Methods: The Case of Indolicidin. </w:t>
      </w:r>
      <w:r w:rsidRPr="00912FFE">
        <w:rPr>
          <w:i/>
          <w:iCs/>
          <w:noProof/>
          <w:szCs w:val="24"/>
        </w:rPr>
        <w:t>Soft Matter</w:t>
      </w:r>
      <w:r w:rsidRPr="00912FFE">
        <w:rPr>
          <w:noProof/>
          <w:szCs w:val="24"/>
        </w:rPr>
        <w:t xml:space="preserve"> </w:t>
      </w:r>
      <w:r w:rsidRPr="00912FFE">
        <w:rPr>
          <w:b/>
          <w:bCs/>
          <w:noProof/>
          <w:szCs w:val="24"/>
        </w:rPr>
        <w:t>2018</w:t>
      </w:r>
      <w:r w:rsidRPr="00912FFE">
        <w:rPr>
          <w:noProof/>
          <w:szCs w:val="24"/>
        </w:rPr>
        <w:t xml:space="preserve">, </w:t>
      </w:r>
      <w:r w:rsidRPr="00912FFE">
        <w:rPr>
          <w:i/>
          <w:iCs/>
          <w:noProof/>
          <w:szCs w:val="24"/>
        </w:rPr>
        <w:t>14</w:t>
      </w:r>
      <w:r w:rsidRPr="00912FFE">
        <w:rPr>
          <w:noProof/>
          <w:szCs w:val="24"/>
        </w:rPr>
        <w:t xml:space="preserve"> (43), 8750–8763. https://doi.org/10.1039/c8sm01888j.</w:t>
      </w:r>
    </w:p>
    <w:p w14:paraId="2A98C597"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(261) </w:t>
      </w:r>
      <w:r w:rsidRPr="00912FFE">
        <w:rPr>
          <w:noProof/>
          <w:szCs w:val="24"/>
        </w:rPr>
        <w:tab/>
        <w:t xml:space="preserve">Domingues, M. M.; Santiago, P. S.; Castanho, M. A. R. B.; Santos, N. C. What Can Light Scattering Spectroscopy Do for Membrane-Active Peptide Studies? </w:t>
      </w:r>
      <w:r w:rsidRPr="00912FFE">
        <w:rPr>
          <w:i/>
          <w:iCs/>
          <w:noProof/>
          <w:szCs w:val="24"/>
        </w:rPr>
        <w:t>J. Pept. Sci.</w:t>
      </w:r>
      <w:r w:rsidRPr="00912FFE">
        <w:rPr>
          <w:noProof/>
          <w:szCs w:val="24"/>
        </w:rPr>
        <w:t xml:space="preserve"> </w:t>
      </w:r>
      <w:r w:rsidRPr="00912FFE">
        <w:rPr>
          <w:b/>
          <w:bCs/>
          <w:noProof/>
          <w:szCs w:val="24"/>
        </w:rPr>
        <w:t>2008</w:t>
      </w:r>
      <w:r w:rsidRPr="00912FFE">
        <w:rPr>
          <w:noProof/>
          <w:szCs w:val="24"/>
        </w:rPr>
        <w:t xml:space="preserve">, </w:t>
      </w:r>
      <w:r w:rsidRPr="00912FFE">
        <w:rPr>
          <w:i/>
          <w:iCs/>
          <w:noProof/>
          <w:szCs w:val="24"/>
        </w:rPr>
        <w:t>14</w:t>
      </w:r>
      <w:r w:rsidRPr="00912FFE">
        <w:rPr>
          <w:noProof/>
          <w:szCs w:val="24"/>
        </w:rPr>
        <w:t xml:space="preserve"> (4), 394–400. https://doi.org/10.1002/psc.1007.</w:t>
      </w:r>
    </w:p>
    <w:p w14:paraId="41E10733"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(262) </w:t>
      </w:r>
      <w:r w:rsidRPr="00912FFE">
        <w:rPr>
          <w:noProof/>
          <w:szCs w:val="24"/>
        </w:rPr>
        <w:tab/>
        <w:t xml:space="preserve">Remington, J. M.; Liao, C.; Sharafi, M.; Emma, E. J.; Ferrell, J. B.; Hondal, R. J.; Wargo, M. J.; Schneebeli, S. T.; Li, J. Aggregation State of Synergistic Antimicrobial Peptides. </w:t>
      </w:r>
      <w:r w:rsidRPr="00912FFE">
        <w:rPr>
          <w:i/>
          <w:iCs/>
          <w:noProof/>
          <w:szCs w:val="24"/>
        </w:rPr>
        <w:t>J. Phys. Chem. Lett.</w:t>
      </w:r>
      <w:r w:rsidRPr="00912FFE">
        <w:rPr>
          <w:noProof/>
          <w:szCs w:val="24"/>
        </w:rPr>
        <w:t xml:space="preserve"> </w:t>
      </w:r>
      <w:r w:rsidRPr="00912FFE">
        <w:rPr>
          <w:b/>
          <w:bCs/>
          <w:noProof/>
          <w:szCs w:val="24"/>
        </w:rPr>
        <w:t>2020</w:t>
      </w:r>
      <w:r w:rsidRPr="00912FFE">
        <w:rPr>
          <w:noProof/>
          <w:szCs w:val="24"/>
        </w:rPr>
        <w:t xml:space="preserve">, </w:t>
      </w:r>
      <w:r w:rsidRPr="00912FFE">
        <w:rPr>
          <w:i/>
          <w:iCs/>
          <w:noProof/>
          <w:szCs w:val="24"/>
        </w:rPr>
        <w:t>11</w:t>
      </w:r>
      <w:r w:rsidRPr="00912FFE">
        <w:rPr>
          <w:noProof/>
          <w:szCs w:val="24"/>
        </w:rPr>
        <w:t>, 9501–9506. https://doi.org/10.1021/acs.jpclett.0c02094.</w:t>
      </w:r>
    </w:p>
    <w:p w14:paraId="70DE0518"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(263) </w:t>
      </w:r>
      <w:r w:rsidRPr="00912FFE">
        <w:rPr>
          <w:noProof/>
          <w:szCs w:val="24"/>
        </w:rPr>
        <w:tab/>
        <w:t xml:space="preserve">Naito, A.; Nagao, T.; Norisada, K.; Mizuno, T.; Tuzi, S.; Saitô, H. Conformation and Dynamics of Melittin Bound to Magnetically Oriented Lipid Bilayers by Solid-State 31P and 13C NMR Spectroscopy. </w:t>
      </w:r>
      <w:r w:rsidRPr="00912FFE">
        <w:rPr>
          <w:i/>
          <w:iCs/>
          <w:noProof/>
          <w:szCs w:val="24"/>
        </w:rPr>
        <w:t>Biophys. J.</w:t>
      </w:r>
      <w:r w:rsidRPr="00912FFE">
        <w:rPr>
          <w:noProof/>
          <w:szCs w:val="24"/>
        </w:rPr>
        <w:t xml:space="preserve"> </w:t>
      </w:r>
      <w:r w:rsidRPr="00912FFE">
        <w:rPr>
          <w:b/>
          <w:bCs/>
          <w:noProof/>
          <w:szCs w:val="24"/>
        </w:rPr>
        <w:t>2000</w:t>
      </w:r>
      <w:r w:rsidRPr="00912FFE">
        <w:rPr>
          <w:noProof/>
          <w:szCs w:val="24"/>
        </w:rPr>
        <w:t xml:space="preserve">, </w:t>
      </w:r>
      <w:r w:rsidRPr="00912FFE">
        <w:rPr>
          <w:i/>
          <w:iCs/>
          <w:noProof/>
          <w:szCs w:val="24"/>
        </w:rPr>
        <w:t>78</w:t>
      </w:r>
      <w:r w:rsidRPr="00912FFE">
        <w:rPr>
          <w:noProof/>
          <w:szCs w:val="24"/>
        </w:rPr>
        <w:t xml:space="preserve"> (5), 2405–2417. https://doi.org/10.1016/S0006-3495(00)76784-1.</w:t>
      </w:r>
    </w:p>
    <w:p w14:paraId="10765432"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(264) </w:t>
      </w:r>
      <w:r w:rsidRPr="00912FFE">
        <w:rPr>
          <w:noProof/>
          <w:szCs w:val="24"/>
        </w:rPr>
        <w:tab/>
        <w:t xml:space="preserve">Woo, S. Y.; Lee, H. Aggregation and Insertion of Melittin and Its Analogue MelP5 into Lipid Bilayers at Different Concentrations: Effects on Pore Size, Bilayer Thickness and Dynamics. </w:t>
      </w:r>
      <w:r w:rsidRPr="00912FFE">
        <w:rPr>
          <w:i/>
          <w:iCs/>
          <w:noProof/>
          <w:szCs w:val="24"/>
        </w:rPr>
        <w:t>Phys. Chem. Chem. Phys.</w:t>
      </w:r>
      <w:r w:rsidRPr="00912FFE">
        <w:rPr>
          <w:noProof/>
          <w:szCs w:val="24"/>
        </w:rPr>
        <w:t xml:space="preserve"> </w:t>
      </w:r>
      <w:r w:rsidRPr="00912FFE">
        <w:rPr>
          <w:b/>
          <w:bCs/>
          <w:noProof/>
          <w:szCs w:val="24"/>
        </w:rPr>
        <w:t>2017</w:t>
      </w:r>
      <w:r w:rsidRPr="00912FFE">
        <w:rPr>
          <w:noProof/>
          <w:szCs w:val="24"/>
        </w:rPr>
        <w:t xml:space="preserve">, </w:t>
      </w:r>
      <w:r w:rsidRPr="00912FFE">
        <w:rPr>
          <w:i/>
          <w:iCs/>
          <w:noProof/>
          <w:szCs w:val="24"/>
        </w:rPr>
        <w:t>19</w:t>
      </w:r>
      <w:r w:rsidRPr="00912FFE">
        <w:rPr>
          <w:noProof/>
          <w:szCs w:val="24"/>
        </w:rPr>
        <w:t xml:space="preserve"> (10), 7195–7203. https://doi.org/10.1039/c6cp06834k.</w:t>
      </w:r>
    </w:p>
    <w:p w14:paraId="2688B9FD"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(265) </w:t>
      </w:r>
      <w:r w:rsidRPr="00912FFE">
        <w:rPr>
          <w:noProof/>
          <w:szCs w:val="24"/>
        </w:rPr>
        <w:tab/>
        <w:t xml:space="preserve">Strömstedt, A. A. A.; Ringstad, L.; Schmidtchen, A.; Malmsten, M. Interaction between Amphiphilic Peptides and Phospholipid Membranes. </w:t>
      </w:r>
      <w:r w:rsidRPr="00912FFE">
        <w:rPr>
          <w:i/>
          <w:iCs/>
          <w:noProof/>
          <w:szCs w:val="24"/>
        </w:rPr>
        <w:t>Curr. Opin. Colloid Interface Sci.</w:t>
      </w:r>
      <w:r w:rsidRPr="00912FFE">
        <w:rPr>
          <w:noProof/>
          <w:szCs w:val="24"/>
        </w:rPr>
        <w:t xml:space="preserve"> </w:t>
      </w:r>
      <w:r w:rsidRPr="00912FFE">
        <w:rPr>
          <w:b/>
          <w:bCs/>
          <w:noProof/>
          <w:szCs w:val="24"/>
        </w:rPr>
        <w:t>2010</w:t>
      </w:r>
      <w:r w:rsidRPr="00912FFE">
        <w:rPr>
          <w:noProof/>
          <w:szCs w:val="24"/>
        </w:rPr>
        <w:t xml:space="preserve">, </w:t>
      </w:r>
      <w:r w:rsidRPr="00912FFE">
        <w:rPr>
          <w:i/>
          <w:iCs/>
          <w:noProof/>
          <w:szCs w:val="24"/>
        </w:rPr>
        <w:t>15</w:t>
      </w:r>
      <w:r w:rsidRPr="00912FFE">
        <w:rPr>
          <w:noProof/>
          <w:szCs w:val="24"/>
        </w:rPr>
        <w:t xml:space="preserve"> (6), 467–478. https://doi.org/10.1016/j.cocis.2010.05.006.</w:t>
      </w:r>
    </w:p>
    <w:p w14:paraId="6653DEBF"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(266) </w:t>
      </w:r>
      <w:r w:rsidRPr="00912FFE">
        <w:rPr>
          <w:noProof/>
          <w:szCs w:val="24"/>
        </w:rPr>
        <w:tab/>
        <w:t xml:space="preserve">Datta, A.; Kundu, P.; Bhunia, A. Designing Potent Antimicrobial Peptides by Disulphide Linked Dimerization and N-Terminal Lipidation to Increase Antimicrobial Activity and Membrane Perturbation: Structural Insights into Lipopolysaccharide Binding. </w:t>
      </w:r>
      <w:r w:rsidRPr="00912FFE">
        <w:rPr>
          <w:i/>
          <w:iCs/>
          <w:noProof/>
          <w:szCs w:val="24"/>
        </w:rPr>
        <w:t>J. Colloid Interface Sci.</w:t>
      </w:r>
      <w:r w:rsidRPr="00912FFE">
        <w:rPr>
          <w:noProof/>
          <w:szCs w:val="24"/>
        </w:rPr>
        <w:t xml:space="preserve"> </w:t>
      </w:r>
      <w:r w:rsidRPr="00912FFE">
        <w:rPr>
          <w:b/>
          <w:bCs/>
          <w:noProof/>
          <w:szCs w:val="24"/>
        </w:rPr>
        <w:t>2016</w:t>
      </w:r>
      <w:r w:rsidRPr="00912FFE">
        <w:rPr>
          <w:noProof/>
          <w:szCs w:val="24"/>
        </w:rPr>
        <w:t xml:space="preserve">, </w:t>
      </w:r>
      <w:r w:rsidRPr="00912FFE">
        <w:rPr>
          <w:i/>
          <w:iCs/>
          <w:noProof/>
          <w:szCs w:val="24"/>
        </w:rPr>
        <w:t>461</w:t>
      </w:r>
      <w:r w:rsidRPr="00912FFE">
        <w:rPr>
          <w:noProof/>
          <w:szCs w:val="24"/>
        </w:rPr>
        <w:t>, 335–345. https://doi.org/10.1016/j.jcis.2015.09.036.</w:t>
      </w:r>
    </w:p>
    <w:p w14:paraId="3A953C4C"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(267) </w:t>
      </w:r>
      <w:r w:rsidRPr="00912FFE">
        <w:rPr>
          <w:noProof/>
          <w:szCs w:val="24"/>
        </w:rPr>
        <w:tab/>
        <w:t xml:space="preserve">Kornmueller, K.; Lehofer, B.; Leitinger, G.; Amenitsch, H.; Prassl, R. Peptide Self-Assembly into Lamellar Phases and the Formation of Lipid-Peptide Nanostructures. </w:t>
      </w:r>
      <w:r w:rsidRPr="00912FFE">
        <w:rPr>
          <w:i/>
          <w:iCs/>
          <w:noProof/>
          <w:szCs w:val="24"/>
        </w:rPr>
        <w:t>Nano Res.</w:t>
      </w:r>
      <w:r w:rsidRPr="00912FFE">
        <w:rPr>
          <w:noProof/>
          <w:szCs w:val="24"/>
        </w:rPr>
        <w:t xml:space="preserve"> </w:t>
      </w:r>
      <w:r w:rsidRPr="00912FFE">
        <w:rPr>
          <w:b/>
          <w:bCs/>
          <w:noProof/>
          <w:szCs w:val="24"/>
        </w:rPr>
        <w:t>2018</w:t>
      </w:r>
      <w:r w:rsidRPr="00912FFE">
        <w:rPr>
          <w:noProof/>
          <w:szCs w:val="24"/>
        </w:rPr>
        <w:t xml:space="preserve">, </w:t>
      </w:r>
      <w:r w:rsidRPr="00912FFE">
        <w:rPr>
          <w:i/>
          <w:iCs/>
          <w:noProof/>
          <w:szCs w:val="24"/>
        </w:rPr>
        <w:t>11</w:t>
      </w:r>
      <w:r w:rsidRPr="00912FFE">
        <w:rPr>
          <w:noProof/>
          <w:szCs w:val="24"/>
        </w:rPr>
        <w:t xml:space="preserve"> (2), 913–928. https://doi.org/10.1007/s12274-017-1702-4.</w:t>
      </w:r>
    </w:p>
    <w:p w14:paraId="0A371391"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(268) </w:t>
      </w:r>
      <w:r w:rsidRPr="00912FFE">
        <w:rPr>
          <w:noProof/>
          <w:szCs w:val="24"/>
        </w:rPr>
        <w:tab/>
        <w:t xml:space="preserve">Xu, D.; Ran, Q.; Xiang, Y.; Jiang, L.; Smith, B. M.; Bou-Abdallah, F.; Lund, R.; Li, Z.; Dong, H. Toward Hemocompatible Self-Assembling Antimicrobial Nanofibers: Understanding the Synergistic Effect of Supramolecular Structure and PEGylation on Hemocompatibility. </w:t>
      </w:r>
      <w:r w:rsidRPr="00912FFE">
        <w:rPr>
          <w:i/>
          <w:iCs/>
          <w:noProof/>
          <w:szCs w:val="24"/>
        </w:rPr>
        <w:t>RSC Adv.</w:t>
      </w:r>
      <w:r w:rsidRPr="00912FFE">
        <w:rPr>
          <w:noProof/>
          <w:szCs w:val="24"/>
        </w:rPr>
        <w:t xml:space="preserve"> </w:t>
      </w:r>
      <w:r w:rsidRPr="00912FFE">
        <w:rPr>
          <w:b/>
          <w:bCs/>
          <w:noProof/>
          <w:szCs w:val="24"/>
        </w:rPr>
        <w:t>2016</w:t>
      </w:r>
      <w:r w:rsidRPr="00912FFE">
        <w:rPr>
          <w:noProof/>
          <w:szCs w:val="24"/>
        </w:rPr>
        <w:t xml:space="preserve">, </w:t>
      </w:r>
      <w:r w:rsidRPr="00912FFE">
        <w:rPr>
          <w:i/>
          <w:iCs/>
          <w:noProof/>
          <w:szCs w:val="24"/>
        </w:rPr>
        <w:t>6</w:t>
      </w:r>
      <w:r w:rsidRPr="00912FFE">
        <w:rPr>
          <w:noProof/>
          <w:szCs w:val="24"/>
        </w:rPr>
        <w:t xml:space="preserve"> (19), 15911–15919. https://doi.org/10.1039/c5ra24553b.</w:t>
      </w:r>
    </w:p>
    <w:p w14:paraId="7DF660FD"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(269) </w:t>
      </w:r>
      <w:r w:rsidRPr="00912FFE">
        <w:rPr>
          <w:noProof/>
          <w:szCs w:val="24"/>
        </w:rPr>
        <w:tab/>
        <w:t xml:space="preserve">Bourgade, K.; Dupuis, G.; Frost, E. H.; Fülöp, T. Anti-Viral Properties of Amyloid-β Peptides. </w:t>
      </w:r>
      <w:r w:rsidRPr="00912FFE">
        <w:rPr>
          <w:i/>
          <w:iCs/>
          <w:noProof/>
          <w:szCs w:val="24"/>
        </w:rPr>
        <w:t>J. Alzheimer’s Dis.</w:t>
      </w:r>
      <w:r w:rsidRPr="00912FFE">
        <w:rPr>
          <w:noProof/>
          <w:szCs w:val="24"/>
        </w:rPr>
        <w:t xml:space="preserve"> </w:t>
      </w:r>
      <w:r w:rsidRPr="00912FFE">
        <w:rPr>
          <w:b/>
          <w:bCs/>
          <w:noProof/>
          <w:szCs w:val="24"/>
        </w:rPr>
        <w:t>2016</w:t>
      </w:r>
      <w:r w:rsidRPr="00912FFE">
        <w:rPr>
          <w:noProof/>
          <w:szCs w:val="24"/>
        </w:rPr>
        <w:t xml:space="preserve">, </w:t>
      </w:r>
      <w:r w:rsidRPr="00912FFE">
        <w:rPr>
          <w:i/>
          <w:iCs/>
          <w:noProof/>
          <w:szCs w:val="24"/>
        </w:rPr>
        <w:t>54</w:t>
      </w:r>
      <w:r w:rsidRPr="00912FFE">
        <w:rPr>
          <w:noProof/>
          <w:szCs w:val="24"/>
        </w:rPr>
        <w:t xml:space="preserve"> (3), 859–878. https://doi.org/10.3233/JAD-160517.</w:t>
      </w:r>
    </w:p>
    <w:p w14:paraId="6FF3B667"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(270) </w:t>
      </w:r>
      <w:r w:rsidRPr="00912FFE">
        <w:rPr>
          <w:noProof/>
          <w:szCs w:val="24"/>
        </w:rPr>
        <w:tab/>
        <w:t xml:space="preserve">Schmidtchen, A.; Malmsten, M. Peptide Interactions with Bacterial Lipopolysaccharides. </w:t>
      </w:r>
      <w:r w:rsidRPr="00912FFE">
        <w:rPr>
          <w:i/>
          <w:iCs/>
          <w:noProof/>
          <w:szCs w:val="24"/>
        </w:rPr>
        <w:t>Curr. Opin. Colloid Interface Sci.</w:t>
      </w:r>
      <w:r w:rsidRPr="00912FFE">
        <w:rPr>
          <w:noProof/>
          <w:szCs w:val="24"/>
        </w:rPr>
        <w:t xml:space="preserve"> </w:t>
      </w:r>
      <w:r w:rsidRPr="00912FFE">
        <w:rPr>
          <w:b/>
          <w:bCs/>
          <w:noProof/>
          <w:szCs w:val="24"/>
        </w:rPr>
        <w:t>2013</w:t>
      </w:r>
      <w:r w:rsidRPr="00912FFE">
        <w:rPr>
          <w:noProof/>
          <w:szCs w:val="24"/>
        </w:rPr>
        <w:t xml:space="preserve">, </w:t>
      </w:r>
      <w:r w:rsidRPr="00912FFE">
        <w:rPr>
          <w:i/>
          <w:iCs/>
          <w:noProof/>
          <w:szCs w:val="24"/>
        </w:rPr>
        <w:t>18</w:t>
      </w:r>
      <w:r w:rsidRPr="00912FFE">
        <w:rPr>
          <w:noProof/>
          <w:szCs w:val="24"/>
        </w:rPr>
        <w:t xml:space="preserve"> (5), 381–392. https://doi.org/10.1016/j.cocis.2013.06.003.</w:t>
      </w:r>
    </w:p>
    <w:p w14:paraId="73A98E38"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(271) </w:t>
      </w:r>
      <w:r w:rsidRPr="00912FFE">
        <w:rPr>
          <w:noProof/>
          <w:szCs w:val="24"/>
        </w:rPr>
        <w:tab/>
        <w:t xml:space="preserve">Neale, C.; Hsu, J. C. Y.; Yip, C. M.; Pomès, R. Indolicidin Binding Induces Thinning of a Lipid Bilayer. </w:t>
      </w:r>
      <w:r w:rsidRPr="00912FFE">
        <w:rPr>
          <w:i/>
          <w:iCs/>
          <w:noProof/>
          <w:szCs w:val="24"/>
        </w:rPr>
        <w:t>Biophys. J.</w:t>
      </w:r>
      <w:r w:rsidRPr="00912FFE">
        <w:rPr>
          <w:noProof/>
          <w:szCs w:val="24"/>
        </w:rPr>
        <w:t xml:space="preserve"> </w:t>
      </w:r>
      <w:r w:rsidRPr="00912FFE">
        <w:rPr>
          <w:b/>
          <w:bCs/>
          <w:noProof/>
          <w:szCs w:val="24"/>
        </w:rPr>
        <w:t>2014</w:t>
      </w:r>
      <w:r w:rsidRPr="00912FFE">
        <w:rPr>
          <w:noProof/>
          <w:szCs w:val="24"/>
        </w:rPr>
        <w:t xml:space="preserve">, </w:t>
      </w:r>
      <w:r w:rsidRPr="00912FFE">
        <w:rPr>
          <w:i/>
          <w:iCs/>
          <w:noProof/>
          <w:szCs w:val="24"/>
        </w:rPr>
        <w:t>106</w:t>
      </w:r>
      <w:r w:rsidRPr="00912FFE">
        <w:rPr>
          <w:noProof/>
          <w:szCs w:val="24"/>
        </w:rPr>
        <w:t xml:space="preserve"> (8), L29-31. https://doi.org/10.1016/j.bpj.2014.02.031.</w:t>
      </w:r>
    </w:p>
    <w:p w14:paraId="4AC1DD79"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(272) </w:t>
      </w:r>
      <w:r w:rsidRPr="00912FFE">
        <w:rPr>
          <w:noProof/>
          <w:szCs w:val="24"/>
        </w:rPr>
        <w:tab/>
        <w:t xml:space="preserve">Schwarz, G.; Stankowski, S.; Rizzo, V. Thermodynamic Analysis of Incorporation and Aggregation in a Membrane: Application to the Pore-Forming Peptide Alamethicin. </w:t>
      </w:r>
      <w:r w:rsidRPr="00912FFE">
        <w:rPr>
          <w:i/>
          <w:iCs/>
          <w:noProof/>
          <w:szCs w:val="24"/>
        </w:rPr>
        <w:t>BBA - Biomembr.</w:t>
      </w:r>
      <w:r w:rsidRPr="00912FFE">
        <w:rPr>
          <w:noProof/>
          <w:szCs w:val="24"/>
        </w:rPr>
        <w:t xml:space="preserve"> </w:t>
      </w:r>
      <w:r w:rsidRPr="00912FFE">
        <w:rPr>
          <w:b/>
          <w:bCs/>
          <w:noProof/>
          <w:szCs w:val="24"/>
        </w:rPr>
        <w:t>1986</w:t>
      </w:r>
      <w:r w:rsidRPr="00912FFE">
        <w:rPr>
          <w:noProof/>
          <w:szCs w:val="24"/>
        </w:rPr>
        <w:t xml:space="preserve">, </w:t>
      </w:r>
      <w:r w:rsidRPr="00912FFE">
        <w:rPr>
          <w:i/>
          <w:iCs/>
          <w:noProof/>
          <w:szCs w:val="24"/>
        </w:rPr>
        <w:t>861</w:t>
      </w:r>
      <w:r w:rsidRPr="00912FFE">
        <w:rPr>
          <w:noProof/>
          <w:szCs w:val="24"/>
        </w:rPr>
        <w:t xml:space="preserve"> (C), 141–151. https://doi.org/10.1016/0005-2736(86)90412-8.</w:t>
      </w:r>
    </w:p>
    <w:p w14:paraId="0A5A50CA"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(273) </w:t>
      </w:r>
      <w:r w:rsidRPr="00912FFE">
        <w:rPr>
          <w:noProof/>
          <w:szCs w:val="24"/>
        </w:rPr>
        <w:tab/>
        <w:t xml:space="preserve">Jang, H.; Arce, F. T.; Mustata, M.; Ramachandran, S.; Capone, R.; Nussinov, R.; Lal, R. Antimicrobial Protegrin-1 Forms Amyloid-like Fibrils with Rapid Kinetics Suggesting a Functional Link. </w:t>
      </w:r>
      <w:r w:rsidRPr="00912FFE">
        <w:rPr>
          <w:i/>
          <w:iCs/>
          <w:noProof/>
          <w:szCs w:val="24"/>
        </w:rPr>
        <w:t>Biophys. J.</w:t>
      </w:r>
      <w:r w:rsidRPr="00912FFE">
        <w:rPr>
          <w:noProof/>
          <w:szCs w:val="24"/>
        </w:rPr>
        <w:t xml:space="preserve"> </w:t>
      </w:r>
      <w:r w:rsidRPr="00912FFE">
        <w:rPr>
          <w:b/>
          <w:bCs/>
          <w:noProof/>
          <w:szCs w:val="24"/>
        </w:rPr>
        <w:t>2011</w:t>
      </w:r>
      <w:r w:rsidRPr="00912FFE">
        <w:rPr>
          <w:noProof/>
          <w:szCs w:val="24"/>
        </w:rPr>
        <w:t xml:space="preserve">, </w:t>
      </w:r>
      <w:r w:rsidRPr="00912FFE">
        <w:rPr>
          <w:i/>
          <w:iCs/>
          <w:noProof/>
          <w:szCs w:val="24"/>
        </w:rPr>
        <w:t>100</w:t>
      </w:r>
      <w:r w:rsidRPr="00912FFE">
        <w:rPr>
          <w:noProof/>
          <w:szCs w:val="24"/>
        </w:rPr>
        <w:t xml:space="preserve"> (7), 1775–1783. https://doi.org/10.1016/j.bpj.2011.01.072.</w:t>
      </w:r>
    </w:p>
    <w:p w14:paraId="45DA0317"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(274) </w:t>
      </w:r>
      <w:r w:rsidRPr="00912FFE">
        <w:rPr>
          <w:noProof/>
          <w:szCs w:val="24"/>
        </w:rPr>
        <w:tab/>
        <w:t xml:space="preserve">Roumestand, C.; Louis, V.; Aumelas, A.; Grassy, G.; Calas, B.; Chavanieu, A. Oligomerization of Protegrin-1 in the Presence of DPC Micelles. A Proton High-Resolution NMR Study. </w:t>
      </w:r>
      <w:r w:rsidRPr="00912FFE">
        <w:rPr>
          <w:i/>
          <w:iCs/>
          <w:noProof/>
          <w:szCs w:val="24"/>
        </w:rPr>
        <w:t>FEBS Lett.</w:t>
      </w:r>
      <w:r w:rsidRPr="00912FFE">
        <w:rPr>
          <w:noProof/>
          <w:szCs w:val="24"/>
        </w:rPr>
        <w:t xml:space="preserve"> </w:t>
      </w:r>
      <w:r w:rsidRPr="00912FFE">
        <w:rPr>
          <w:b/>
          <w:bCs/>
          <w:noProof/>
          <w:szCs w:val="24"/>
        </w:rPr>
        <w:t>1998</w:t>
      </w:r>
      <w:r w:rsidRPr="00912FFE">
        <w:rPr>
          <w:noProof/>
          <w:szCs w:val="24"/>
        </w:rPr>
        <w:t xml:space="preserve">, </w:t>
      </w:r>
      <w:r w:rsidRPr="00912FFE">
        <w:rPr>
          <w:i/>
          <w:iCs/>
          <w:noProof/>
          <w:szCs w:val="24"/>
        </w:rPr>
        <w:t>421</w:t>
      </w:r>
      <w:r w:rsidRPr="00912FFE">
        <w:rPr>
          <w:noProof/>
          <w:szCs w:val="24"/>
        </w:rPr>
        <w:t xml:space="preserve"> (3), 263–267. </w:t>
      </w:r>
      <w:r w:rsidRPr="00912FFE">
        <w:rPr>
          <w:noProof/>
          <w:szCs w:val="24"/>
        </w:rPr>
        <w:lastRenderedPageBreak/>
        <w:t>https://doi.org/10.1016/S0014-5793(97)01579-2.</w:t>
      </w:r>
    </w:p>
    <w:p w14:paraId="57B55B8D"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(275) </w:t>
      </w:r>
      <w:r w:rsidRPr="00912FFE">
        <w:rPr>
          <w:noProof/>
          <w:szCs w:val="24"/>
        </w:rPr>
        <w:tab/>
        <w:t xml:space="preserve">Lipkin, R.; Lazaridis, T. Computational Prediction of the Optimal Oligomeric State for Membrane-Inserted β-Barrels of Protegrin-1 and Related Mutants. </w:t>
      </w:r>
      <w:r w:rsidRPr="00912FFE">
        <w:rPr>
          <w:i/>
          <w:iCs/>
          <w:noProof/>
          <w:szCs w:val="24"/>
        </w:rPr>
        <w:t>J. Pept. Sci.</w:t>
      </w:r>
      <w:r w:rsidRPr="00912FFE">
        <w:rPr>
          <w:noProof/>
          <w:szCs w:val="24"/>
        </w:rPr>
        <w:t xml:space="preserve"> </w:t>
      </w:r>
      <w:r w:rsidRPr="00912FFE">
        <w:rPr>
          <w:b/>
          <w:bCs/>
          <w:noProof/>
          <w:szCs w:val="24"/>
        </w:rPr>
        <w:t>2017</w:t>
      </w:r>
      <w:r w:rsidRPr="00912FFE">
        <w:rPr>
          <w:noProof/>
          <w:szCs w:val="24"/>
        </w:rPr>
        <w:t xml:space="preserve">, </w:t>
      </w:r>
      <w:r w:rsidRPr="00912FFE">
        <w:rPr>
          <w:i/>
          <w:iCs/>
          <w:noProof/>
          <w:szCs w:val="24"/>
        </w:rPr>
        <w:t>23</w:t>
      </w:r>
      <w:r w:rsidRPr="00912FFE">
        <w:rPr>
          <w:noProof/>
          <w:szCs w:val="24"/>
        </w:rPr>
        <w:t xml:space="preserve"> (4), 334–345. https://doi.org/10.1002/psc.2992.</w:t>
      </w:r>
    </w:p>
    <w:p w14:paraId="63861406"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(276) </w:t>
      </w:r>
      <w:r w:rsidRPr="00912FFE">
        <w:rPr>
          <w:noProof/>
          <w:szCs w:val="24"/>
        </w:rPr>
        <w:tab/>
        <w:t xml:space="preserve">Miller, C. A.; Gellman, S. H.; Abbott, N. L.; De Pablo, J. J. Association of Helical β-Peptides and Their Aggregation Behavior from the Potential of Mean Force in Explicit Solvent. </w:t>
      </w:r>
      <w:r w:rsidRPr="00912FFE">
        <w:rPr>
          <w:i/>
          <w:iCs/>
          <w:noProof/>
          <w:szCs w:val="24"/>
        </w:rPr>
        <w:t>Biophys. J.</w:t>
      </w:r>
      <w:r w:rsidRPr="00912FFE">
        <w:rPr>
          <w:noProof/>
          <w:szCs w:val="24"/>
        </w:rPr>
        <w:t xml:space="preserve"> </w:t>
      </w:r>
      <w:r w:rsidRPr="00912FFE">
        <w:rPr>
          <w:b/>
          <w:bCs/>
          <w:noProof/>
          <w:szCs w:val="24"/>
        </w:rPr>
        <w:t>2009</w:t>
      </w:r>
      <w:r w:rsidRPr="00912FFE">
        <w:rPr>
          <w:noProof/>
          <w:szCs w:val="24"/>
        </w:rPr>
        <w:t xml:space="preserve">, </w:t>
      </w:r>
      <w:r w:rsidRPr="00912FFE">
        <w:rPr>
          <w:i/>
          <w:iCs/>
          <w:noProof/>
          <w:szCs w:val="24"/>
        </w:rPr>
        <w:t>96</w:t>
      </w:r>
      <w:r w:rsidRPr="00912FFE">
        <w:rPr>
          <w:noProof/>
          <w:szCs w:val="24"/>
        </w:rPr>
        <w:t xml:space="preserve"> (11), 4349–4362. https://doi.org/10.1016/j.bpj.2008.11.076.</w:t>
      </w:r>
    </w:p>
    <w:p w14:paraId="29BB2849"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(277) </w:t>
      </w:r>
      <w:r w:rsidRPr="00912FFE">
        <w:rPr>
          <w:noProof/>
          <w:szCs w:val="24"/>
        </w:rPr>
        <w:tab/>
        <w:t xml:space="preserve">Wu, C.; Lei, H.; Duan, Y. Elongation of Ordered Peptide Aggregate of an Amyloidogenic Hexapeptide NFGAIL Observed in Molecular Dynamics Simulations with Explicit Solvent. </w:t>
      </w:r>
      <w:r w:rsidRPr="00912FFE">
        <w:rPr>
          <w:i/>
          <w:iCs/>
          <w:noProof/>
          <w:szCs w:val="24"/>
        </w:rPr>
        <w:t>J. Am. Chem. Soc.</w:t>
      </w:r>
      <w:r w:rsidRPr="00912FFE">
        <w:rPr>
          <w:noProof/>
          <w:szCs w:val="24"/>
        </w:rPr>
        <w:t xml:space="preserve"> </w:t>
      </w:r>
      <w:r w:rsidRPr="00912FFE">
        <w:rPr>
          <w:b/>
          <w:bCs/>
          <w:noProof/>
          <w:szCs w:val="24"/>
        </w:rPr>
        <w:t>2005</w:t>
      </w:r>
      <w:r w:rsidRPr="00912FFE">
        <w:rPr>
          <w:noProof/>
          <w:szCs w:val="24"/>
        </w:rPr>
        <w:t xml:space="preserve">, </w:t>
      </w:r>
      <w:r w:rsidRPr="00912FFE">
        <w:rPr>
          <w:i/>
          <w:iCs/>
          <w:noProof/>
          <w:szCs w:val="24"/>
        </w:rPr>
        <w:t>127</w:t>
      </w:r>
      <w:r w:rsidRPr="00912FFE">
        <w:rPr>
          <w:noProof/>
          <w:szCs w:val="24"/>
        </w:rPr>
        <w:t xml:space="preserve"> (39), 13530–13537. https://doi.org/10.1021/ja050767x.</w:t>
      </w:r>
    </w:p>
    <w:p w14:paraId="0C0546E6"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(278) </w:t>
      </w:r>
      <w:r w:rsidRPr="00912FFE">
        <w:rPr>
          <w:noProof/>
          <w:szCs w:val="24"/>
        </w:rPr>
        <w:tab/>
        <w:t xml:space="preserve">Cheung, G. Y. C.; Kretschmer, D.; Queck, S. Y.; Joo, H. S.; Wang, R.; Duong, A. C.; Nguyen, T. H.; Bach, T. H. L.; Porter, A. R.; DeLeo, F. R.; Peschel, A.; Otto, M. Insight into Structure-Function Relationship in Phenol-Soluble Modulins Using an Alanine Screen of the Phenol-Soluble Modulin (PSM) Α3 Peptide. </w:t>
      </w:r>
      <w:r w:rsidRPr="00912FFE">
        <w:rPr>
          <w:i/>
          <w:iCs/>
          <w:noProof/>
          <w:szCs w:val="24"/>
        </w:rPr>
        <w:t>FASEB J.</w:t>
      </w:r>
      <w:r w:rsidRPr="00912FFE">
        <w:rPr>
          <w:noProof/>
          <w:szCs w:val="24"/>
        </w:rPr>
        <w:t xml:space="preserve"> </w:t>
      </w:r>
      <w:r w:rsidRPr="00912FFE">
        <w:rPr>
          <w:b/>
          <w:bCs/>
          <w:noProof/>
          <w:szCs w:val="24"/>
        </w:rPr>
        <w:t>2014</w:t>
      </w:r>
      <w:r w:rsidRPr="00912FFE">
        <w:rPr>
          <w:noProof/>
          <w:szCs w:val="24"/>
        </w:rPr>
        <w:t xml:space="preserve">, </w:t>
      </w:r>
      <w:r w:rsidRPr="00912FFE">
        <w:rPr>
          <w:i/>
          <w:iCs/>
          <w:noProof/>
          <w:szCs w:val="24"/>
        </w:rPr>
        <w:t>28</w:t>
      </w:r>
      <w:r w:rsidRPr="00912FFE">
        <w:rPr>
          <w:noProof/>
          <w:szCs w:val="24"/>
        </w:rPr>
        <w:t xml:space="preserve"> (1), 153–161. https://doi.org/10.1096/fj.13-232041.</w:t>
      </w:r>
    </w:p>
    <w:p w14:paraId="417D98E1"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(279) </w:t>
      </w:r>
      <w:r w:rsidRPr="00912FFE">
        <w:rPr>
          <w:noProof/>
          <w:szCs w:val="24"/>
        </w:rPr>
        <w:tab/>
        <w:t xml:space="preserve">Mangoni, M. L.; Carotenuto, A.; Auriemma, L.; Saviello, M. R.; Campiglia, P.; Gomez-Monterrey, I.; Malfi, S.; Marcellini, L.; Barra, D.; Novellino, E.; Grieco, P. Structure-Activity Relationship, Conformational and Biological Studies of Temporin l Analogues. </w:t>
      </w:r>
      <w:r w:rsidRPr="00912FFE">
        <w:rPr>
          <w:i/>
          <w:iCs/>
          <w:noProof/>
          <w:szCs w:val="24"/>
        </w:rPr>
        <w:t>J. Med. Chem.</w:t>
      </w:r>
      <w:r w:rsidRPr="00912FFE">
        <w:rPr>
          <w:noProof/>
          <w:szCs w:val="24"/>
        </w:rPr>
        <w:t xml:space="preserve"> </w:t>
      </w:r>
      <w:r w:rsidRPr="00912FFE">
        <w:rPr>
          <w:b/>
          <w:bCs/>
          <w:noProof/>
          <w:szCs w:val="24"/>
        </w:rPr>
        <w:t>2011</w:t>
      </w:r>
      <w:r w:rsidRPr="00912FFE">
        <w:rPr>
          <w:noProof/>
          <w:szCs w:val="24"/>
        </w:rPr>
        <w:t xml:space="preserve">, </w:t>
      </w:r>
      <w:r w:rsidRPr="00912FFE">
        <w:rPr>
          <w:i/>
          <w:iCs/>
          <w:noProof/>
          <w:szCs w:val="24"/>
        </w:rPr>
        <w:t>54</w:t>
      </w:r>
      <w:r w:rsidRPr="00912FFE">
        <w:rPr>
          <w:noProof/>
          <w:szCs w:val="24"/>
        </w:rPr>
        <w:t xml:space="preserve"> (5), 1298–1307. https://doi.org/10.1021/jm1012853.</w:t>
      </w:r>
    </w:p>
    <w:p w14:paraId="0A5ED9D7"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(280) </w:t>
      </w:r>
      <w:r w:rsidRPr="00912FFE">
        <w:rPr>
          <w:noProof/>
          <w:szCs w:val="24"/>
        </w:rPr>
        <w:tab/>
        <w:t xml:space="preserve">Flöck, D.; Rossetti, G.; Daidone, I.; Amadei, A.; Nola, A. Di. Aggregation of Small Peptides Studied by Molecular Dynamics Simulations. </w:t>
      </w:r>
      <w:r w:rsidRPr="00912FFE">
        <w:rPr>
          <w:i/>
          <w:iCs/>
          <w:noProof/>
          <w:szCs w:val="24"/>
        </w:rPr>
        <w:t>Proteins Struct. Funct. Bioinforma.</w:t>
      </w:r>
      <w:r w:rsidRPr="00912FFE">
        <w:rPr>
          <w:noProof/>
          <w:szCs w:val="24"/>
        </w:rPr>
        <w:t xml:space="preserve"> </w:t>
      </w:r>
      <w:r w:rsidRPr="00912FFE">
        <w:rPr>
          <w:b/>
          <w:bCs/>
          <w:noProof/>
          <w:szCs w:val="24"/>
        </w:rPr>
        <w:t>2006</w:t>
      </w:r>
      <w:r w:rsidRPr="00912FFE">
        <w:rPr>
          <w:noProof/>
          <w:szCs w:val="24"/>
        </w:rPr>
        <w:t xml:space="preserve">, </w:t>
      </w:r>
      <w:r w:rsidRPr="00912FFE">
        <w:rPr>
          <w:i/>
          <w:iCs/>
          <w:noProof/>
          <w:szCs w:val="24"/>
        </w:rPr>
        <w:t>65</w:t>
      </w:r>
      <w:r w:rsidRPr="00912FFE">
        <w:rPr>
          <w:noProof/>
          <w:szCs w:val="24"/>
        </w:rPr>
        <w:t xml:space="preserve"> (4), 914–921. https://doi.org/10.1002/prot.21168.</w:t>
      </w:r>
    </w:p>
    <w:p w14:paraId="73D7C85F"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(281) </w:t>
      </w:r>
      <w:r w:rsidRPr="00912FFE">
        <w:rPr>
          <w:noProof/>
          <w:szCs w:val="24"/>
        </w:rPr>
        <w:tab/>
        <w:t xml:space="preserve">Bellesia, G.; Shea, J. E. What Determines the Structure and Stability of KFFE Monomers, Dimers, and Protofibrils? </w:t>
      </w:r>
      <w:r w:rsidRPr="00912FFE">
        <w:rPr>
          <w:i/>
          <w:iCs/>
          <w:noProof/>
          <w:szCs w:val="24"/>
        </w:rPr>
        <w:t>Biophys. J.</w:t>
      </w:r>
      <w:r w:rsidRPr="00912FFE">
        <w:rPr>
          <w:noProof/>
          <w:szCs w:val="24"/>
        </w:rPr>
        <w:t xml:space="preserve"> </w:t>
      </w:r>
      <w:r w:rsidRPr="00912FFE">
        <w:rPr>
          <w:b/>
          <w:bCs/>
          <w:noProof/>
          <w:szCs w:val="24"/>
        </w:rPr>
        <w:t>2009</w:t>
      </w:r>
      <w:r w:rsidRPr="00912FFE">
        <w:rPr>
          <w:noProof/>
          <w:szCs w:val="24"/>
        </w:rPr>
        <w:t xml:space="preserve">, </w:t>
      </w:r>
      <w:r w:rsidRPr="00912FFE">
        <w:rPr>
          <w:i/>
          <w:iCs/>
          <w:noProof/>
          <w:szCs w:val="24"/>
        </w:rPr>
        <w:t>96</w:t>
      </w:r>
      <w:r w:rsidRPr="00912FFE">
        <w:rPr>
          <w:noProof/>
          <w:szCs w:val="24"/>
        </w:rPr>
        <w:t xml:space="preserve"> (3), 875–886. https://doi.org/10.1016/j.bpj.2008.10.040.</w:t>
      </w:r>
    </w:p>
    <w:p w14:paraId="382ED85A"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(282) </w:t>
      </w:r>
      <w:r w:rsidRPr="00912FFE">
        <w:rPr>
          <w:noProof/>
          <w:szCs w:val="24"/>
        </w:rPr>
        <w:tab/>
        <w:t xml:space="preserve">Morriss-Andrews, A.; Shea, J. E. Computational Studies of Protein Aggregation: Methods and Applications. </w:t>
      </w:r>
      <w:r w:rsidRPr="00912FFE">
        <w:rPr>
          <w:i/>
          <w:iCs/>
          <w:noProof/>
          <w:szCs w:val="24"/>
        </w:rPr>
        <w:t>Annu. Rev. Phys. Chem.</w:t>
      </w:r>
      <w:r w:rsidRPr="00912FFE">
        <w:rPr>
          <w:noProof/>
          <w:szCs w:val="24"/>
        </w:rPr>
        <w:t xml:space="preserve"> </w:t>
      </w:r>
      <w:r w:rsidRPr="00912FFE">
        <w:rPr>
          <w:b/>
          <w:bCs/>
          <w:noProof/>
          <w:szCs w:val="24"/>
        </w:rPr>
        <w:t>2015</w:t>
      </w:r>
      <w:r w:rsidRPr="00912FFE">
        <w:rPr>
          <w:noProof/>
          <w:szCs w:val="24"/>
        </w:rPr>
        <w:t xml:space="preserve">, </w:t>
      </w:r>
      <w:r w:rsidRPr="00912FFE">
        <w:rPr>
          <w:i/>
          <w:iCs/>
          <w:noProof/>
          <w:szCs w:val="24"/>
        </w:rPr>
        <w:t>66</w:t>
      </w:r>
      <w:r w:rsidRPr="00912FFE">
        <w:rPr>
          <w:noProof/>
          <w:szCs w:val="24"/>
        </w:rPr>
        <w:t>, 643–666. https://doi.org/10.1146/annurev-physchem-040513-103738.</w:t>
      </w:r>
    </w:p>
    <w:p w14:paraId="782EC7A3"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(283) </w:t>
      </w:r>
      <w:r w:rsidRPr="00912FFE">
        <w:rPr>
          <w:noProof/>
          <w:szCs w:val="24"/>
        </w:rPr>
        <w:tab/>
        <w:t xml:space="preserve">Ma, B.; Nussinov, R. Simulations as Analytical Tools to Understand Protein Aggregation and Predict Amyloid Conformation. </w:t>
      </w:r>
      <w:r w:rsidRPr="00912FFE">
        <w:rPr>
          <w:i/>
          <w:iCs/>
          <w:noProof/>
          <w:szCs w:val="24"/>
        </w:rPr>
        <w:t>Curr. Opin. Chem. Biol.</w:t>
      </w:r>
      <w:r w:rsidRPr="00912FFE">
        <w:rPr>
          <w:noProof/>
          <w:szCs w:val="24"/>
        </w:rPr>
        <w:t xml:space="preserve"> </w:t>
      </w:r>
      <w:r w:rsidRPr="00912FFE">
        <w:rPr>
          <w:b/>
          <w:bCs/>
          <w:noProof/>
          <w:szCs w:val="24"/>
        </w:rPr>
        <w:t>2006</w:t>
      </w:r>
      <w:r w:rsidRPr="00912FFE">
        <w:rPr>
          <w:noProof/>
          <w:szCs w:val="24"/>
        </w:rPr>
        <w:t xml:space="preserve">, </w:t>
      </w:r>
      <w:r w:rsidRPr="00912FFE">
        <w:rPr>
          <w:i/>
          <w:iCs/>
          <w:noProof/>
          <w:szCs w:val="24"/>
        </w:rPr>
        <w:t>10</w:t>
      </w:r>
      <w:r w:rsidRPr="00912FFE">
        <w:rPr>
          <w:noProof/>
          <w:szCs w:val="24"/>
        </w:rPr>
        <w:t xml:space="preserve"> (5), 445–452. https://doi.org/10.1016/j.cbpa.2006.08.018.</w:t>
      </w:r>
    </w:p>
    <w:p w14:paraId="35ADBB57"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(284) </w:t>
      </w:r>
      <w:r w:rsidRPr="00912FFE">
        <w:rPr>
          <w:noProof/>
          <w:szCs w:val="24"/>
        </w:rPr>
        <w:tab/>
        <w:t xml:space="preserve">Press-Sandler, O.; Miller, Y. Molecular Mechanisms of Membrane-Associated Amyloid Aggregation: Computational Perspective and Challenges. </w:t>
      </w:r>
      <w:r w:rsidRPr="00912FFE">
        <w:rPr>
          <w:i/>
          <w:iCs/>
          <w:noProof/>
          <w:szCs w:val="24"/>
        </w:rPr>
        <w:t>Biochim. Biophys. Acta - Biomembr.</w:t>
      </w:r>
      <w:r w:rsidRPr="00912FFE">
        <w:rPr>
          <w:noProof/>
          <w:szCs w:val="24"/>
        </w:rPr>
        <w:t xml:space="preserve"> </w:t>
      </w:r>
      <w:r w:rsidRPr="00912FFE">
        <w:rPr>
          <w:b/>
          <w:bCs/>
          <w:noProof/>
          <w:szCs w:val="24"/>
        </w:rPr>
        <w:t>2018</w:t>
      </w:r>
      <w:r w:rsidRPr="00912FFE">
        <w:rPr>
          <w:noProof/>
          <w:szCs w:val="24"/>
        </w:rPr>
        <w:t xml:space="preserve">, </w:t>
      </w:r>
      <w:r w:rsidRPr="00912FFE">
        <w:rPr>
          <w:i/>
          <w:iCs/>
          <w:noProof/>
          <w:szCs w:val="24"/>
        </w:rPr>
        <w:t>1860</w:t>
      </w:r>
      <w:r w:rsidRPr="00912FFE">
        <w:rPr>
          <w:noProof/>
          <w:szCs w:val="24"/>
        </w:rPr>
        <w:t xml:space="preserve"> (9), 1889–1905. https://doi.org/10.1016/j.bbamem.2018.03.014.</w:t>
      </w:r>
    </w:p>
    <w:p w14:paraId="64F8CDA6"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(285) </w:t>
      </w:r>
      <w:r w:rsidRPr="00912FFE">
        <w:rPr>
          <w:noProof/>
          <w:szCs w:val="24"/>
        </w:rPr>
        <w:tab/>
        <w:t xml:space="preserve">Best, R. B. Atomistic Force Fields for Proteins. In </w:t>
      </w:r>
      <w:r w:rsidRPr="00912FFE">
        <w:rPr>
          <w:i/>
          <w:iCs/>
          <w:noProof/>
          <w:szCs w:val="24"/>
        </w:rPr>
        <w:t>Methods in Molecular Biology</w:t>
      </w:r>
      <w:r w:rsidRPr="00912FFE">
        <w:rPr>
          <w:noProof/>
          <w:szCs w:val="24"/>
        </w:rPr>
        <w:t>; Humana Press Inc., 2019; Vol. 2022, pp 3–19. https://doi.org/10.1007/978-1-4939-9608-7_1.</w:t>
      </w:r>
    </w:p>
    <w:p w14:paraId="37F6395D"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(286) </w:t>
      </w:r>
      <w:r w:rsidRPr="00912FFE">
        <w:rPr>
          <w:noProof/>
          <w:szCs w:val="24"/>
        </w:rPr>
        <w:tab/>
        <w:t xml:space="preserve">Bednarska, N. G.; van Eldere, J.; Gallardo, R.; Ganesan, A.; Ramakers, M.; Vogel, I.; Baatsen, P.; Staes, A.; Goethals, M.; Hammarström, P.; Nilsson, K. P. R.; Gevaert, K.; Schymkowitz, J.; Rousseau, F. Protein Aggregation as an Antibiotic Design Strategy. </w:t>
      </w:r>
      <w:r w:rsidRPr="00912FFE">
        <w:rPr>
          <w:i/>
          <w:iCs/>
          <w:noProof/>
          <w:szCs w:val="24"/>
        </w:rPr>
        <w:t>Mol. Microbiol.</w:t>
      </w:r>
      <w:r w:rsidRPr="00912FFE">
        <w:rPr>
          <w:noProof/>
          <w:szCs w:val="24"/>
        </w:rPr>
        <w:t xml:space="preserve"> </w:t>
      </w:r>
      <w:r w:rsidRPr="00912FFE">
        <w:rPr>
          <w:b/>
          <w:bCs/>
          <w:noProof/>
          <w:szCs w:val="24"/>
        </w:rPr>
        <w:t>2016</w:t>
      </w:r>
      <w:r w:rsidRPr="00912FFE">
        <w:rPr>
          <w:noProof/>
          <w:szCs w:val="24"/>
        </w:rPr>
        <w:t xml:space="preserve">, </w:t>
      </w:r>
      <w:r w:rsidRPr="00912FFE">
        <w:rPr>
          <w:i/>
          <w:iCs/>
          <w:noProof/>
          <w:szCs w:val="24"/>
        </w:rPr>
        <w:t>99</w:t>
      </w:r>
      <w:r w:rsidRPr="00912FFE">
        <w:rPr>
          <w:noProof/>
          <w:szCs w:val="24"/>
        </w:rPr>
        <w:t xml:space="preserve"> (5), 849–865. https://doi.org/10.1111/mmi.13269.</w:t>
      </w:r>
    </w:p>
    <w:p w14:paraId="7C037960"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(287) </w:t>
      </w:r>
      <w:r w:rsidRPr="00912FFE">
        <w:rPr>
          <w:noProof/>
          <w:szCs w:val="24"/>
        </w:rPr>
        <w:tab/>
        <w:t xml:space="preserve">Collins, L. T.; Otoupal, P. B.; Campos, J. K.; Courtney, C. M.; Chatterjee, A. Design of a de Novo Aggregating Antimicrobial Peptide and a Bacterial Conjugation-Based Delivery System. </w:t>
      </w:r>
      <w:r w:rsidRPr="00912FFE">
        <w:rPr>
          <w:i/>
          <w:iCs/>
          <w:noProof/>
          <w:szCs w:val="24"/>
        </w:rPr>
        <w:t>Biochemistry</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58</w:t>
      </w:r>
      <w:r w:rsidRPr="00912FFE">
        <w:rPr>
          <w:noProof/>
          <w:szCs w:val="24"/>
        </w:rPr>
        <w:t xml:space="preserve"> (11), 1521–1526. https://doi.org/10.1021/acs.biochem.8b00888.</w:t>
      </w:r>
    </w:p>
    <w:p w14:paraId="2C545ADA"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(288) </w:t>
      </w:r>
      <w:r w:rsidRPr="00912FFE">
        <w:rPr>
          <w:noProof/>
          <w:szCs w:val="24"/>
        </w:rPr>
        <w:tab/>
        <w:t xml:space="preserve">Chrom, C. L.; Renn, L. M.; Caputo, G. A. Characterization and Antimicrobial Activity of Amphiphilic Peptide Ap3 and Derivative Sequences. </w:t>
      </w:r>
      <w:r w:rsidRPr="00912FFE">
        <w:rPr>
          <w:i/>
          <w:iCs/>
          <w:noProof/>
          <w:szCs w:val="24"/>
        </w:rPr>
        <w:t>Antibiotics</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8</w:t>
      </w:r>
      <w:r w:rsidRPr="00912FFE">
        <w:rPr>
          <w:noProof/>
          <w:szCs w:val="24"/>
        </w:rPr>
        <w:t xml:space="preserve"> (1), 20. https://doi.org/10.3390/antibiotics8010020.</w:t>
      </w:r>
    </w:p>
    <w:p w14:paraId="3B2E2427"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(289) </w:t>
      </w:r>
      <w:r w:rsidRPr="00912FFE">
        <w:rPr>
          <w:noProof/>
          <w:szCs w:val="24"/>
        </w:rPr>
        <w:tab/>
        <w:t xml:space="preserve">Piggot, T. J.; Piñeiro, Á.; Khalid, S. Molecular Dynamics Simulations of Phosphatidylcholine Membranes: A Comparative Force Field Study. </w:t>
      </w:r>
      <w:r w:rsidRPr="00912FFE">
        <w:rPr>
          <w:i/>
          <w:iCs/>
          <w:noProof/>
          <w:szCs w:val="24"/>
        </w:rPr>
        <w:t>J. Chem. Theory Comput.</w:t>
      </w:r>
      <w:r w:rsidRPr="00912FFE">
        <w:rPr>
          <w:noProof/>
          <w:szCs w:val="24"/>
        </w:rPr>
        <w:t xml:space="preserve"> </w:t>
      </w:r>
      <w:r w:rsidRPr="00912FFE">
        <w:rPr>
          <w:b/>
          <w:bCs/>
          <w:noProof/>
          <w:szCs w:val="24"/>
        </w:rPr>
        <w:t>2012</w:t>
      </w:r>
      <w:r w:rsidRPr="00912FFE">
        <w:rPr>
          <w:noProof/>
          <w:szCs w:val="24"/>
        </w:rPr>
        <w:t xml:space="preserve">, </w:t>
      </w:r>
      <w:r w:rsidRPr="00912FFE">
        <w:rPr>
          <w:i/>
          <w:iCs/>
          <w:noProof/>
          <w:szCs w:val="24"/>
        </w:rPr>
        <w:t>8</w:t>
      </w:r>
      <w:r w:rsidRPr="00912FFE">
        <w:rPr>
          <w:noProof/>
          <w:szCs w:val="24"/>
        </w:rPr>
        <w:t xml:space="preserve"> (11), 4593–4609. https://doi.org/10.1021/ct3003157.</w:t>
      </w:r>
    </w:p>
    <w:p w14:paraId="742DC687"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(290) </w:t>
      </w:r>
      <w:r w:rsidRPr="00912FFE">
        <w:rPr>
          <w:noProof/>
          <w:szCs w:val="24"/>
        </w:rPr>
        <w:tab/>
        <w:t xml:space="preserve">Pluhackova, K.; Kirsch, S. A.; Han, J.; Sun, L.; Jiang, Z.; Unruh, T.; Böckmann, R. A. A </w:t>
      </w:r>
      <w:r w:rsidRPr="00912FFE">
        <w:rPr>
          <w:noProof/>
          <w:szCs w:val="24"/>
        </w:rPr>
        <w:lastRenderedPageBreak/>
        <w:t xml:space="preserve">Critical Comparison of Biomembrane Force Fields: Structure and Dynamics of Model DMPC, POPC, and POPE Bilayers. </w:t>
      </w:r>
      <w:r w:rsidRPr="00912FFE">
        <w:rPr>
          <w:i/>
          <w:iCs/>
          <w:noProof/>
          <w:szCs w:val="24"/>
        </w:rPr>
        <w:t>J. Phys. Chem. B</w:t>
      </w:r>
      <w:r w:rsidRPr="00912FFE">
        <w:rPr>
          <w:noProof/>
          <w:szCs w:val="24"/>
        </w:rPr>
        <w:t xml:space="preserve"> </w:t>
      </w:r>
      <w:r w:rsidRPr="00912FFE">
        <w:rPr>
          <w:b/>
          <w:bCs/>
          <w:noProof/>
          <w:szCs w:val="24"/>
        </w:rPr>
        <w:t>2016</w:t>
      </w:r>
      <w:r w:rsidRPr="00912FFE">
        <w:rPr>
          <w:noProof/>
          <w:szCs w:val="24"/>
        </w:rPr>
        <w:t xml:space="preserve">, </w:t>
      </w:r>
      <w:r w:rsidRPr="00912FFE">
        <w:rPr>
          <w:i/>
          <w:iCs/>
          <w:noProof/>
          <w:szCs w:val="24"/>
        </w:rPr>
        <w:t>120</w:t>
      </w:r>
      <w:r w:rsidRPr="00912FFE">
        <w:rPr>
          <w:noProof/>
          <w:szCs w:val="24"/>
        </w:rPr>
        <w:t xml:space="preserve"> (16), 3888–3903. https://doi.org/10.1021/acs.jpcb.6b01870.</w:t>
      </w:r>
    </w:p>
    <w:p w14:paraId="1B262B7F"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(291) </w:t>
      </w:r>
      <w:r w:rsidRPr="00912FFE">
        <w:rPr>
          <w:noProof/>
          <w:szCs w:val="24"/>
        </w:rPr>
        <w:tab/>
        <w:t xml:space="preserve">Buchoux, S. FATSLiM: A Fast and Robust Software to Analyze MD Simulations of Membranes. </w:t>
      </w:r>
      <w:r w:rsidRPr="00912FFE">
        <w:rPr>
          <w:i/>
          <w:iCs/>
          <w:noProof/>
          <w:szCs w:val="24"/>
        </w:rPr>
        <w:t>Bioinformatics</w:t>
      </w:r>
      <w:r w:rsidRPr="00912FFE">
        <w:rPr>
          <w:noProof/>
          <w:szCs w:val="24"/>
        </w:rPr>
        <w:t xml:space="preserve"> </w:t>
      </w:r>
      <w:r w:rsidRPr="00912FFE">
        <w:rPr>
          <w:b/>
          <w:bCs/>
          <w:noProof/>
          <w:szCs w:val="24"/>
        </w:rPr>
        <w:t>2017</w:t>
      </w:r>
      <w:r w:rsidRPr="00912FFE">
        <w:rPr>
          <w:noProof/>
          <w:szCs w:val="24"/>
        </w:rPr>
        <w:t xml:space="preserve">, </w:t>
      </w:r>
      <w:r w:rsidRPr="00912FFE">
        <w:rPr>
          <w:i/>
          <w:iCs/>
          <w:noProof/>
          <w:szCs w:val="24"/>
        </w:rPr>
        <w:t>33</w:t>
      </w:r>
      <w:r w:rsidRPr="00912FFE">
        <w:rPr>
          <w:noProof/>
          <w:szCs w:val="24"/>
        </w:rPr>
        <w:t xml:space="preserve"> (1), 133–134. https://doi.org/10.1093/bioinformatics/btw563.</w:t>
      </w:r>
    </w:p>
    <w:p w14:paraId="225F63C1"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(292) </w:t>
      </w:r>
      <w:r w:rsidRPr="00912FFE">
        <w:rPr>
          <w:noProof/>
          <w:szCs w:val="24"/>
        </w:rPr>
        <w:tab/>
        <w:t xml:space="preserve">Li, L.; Vorobyov, I.; Allen, T. W. The Different Interactions of Lysine and Arginine Side Chains with Lipid Membranes. </w:t>
      </w:r>
      <w:r w:rsidRPr="00912FFE">
        <w:rPr>
          <w:i/>
          <w:iCs/>
          <w:noProof/>
          <w:szCs w:val="24"/>
        </w:rPr>
        <w:t>J. Phys. Chem. B</w:t>
      </w:r>
      <w:r w:rsidRPr="00912FFE">
        <w:rPr>
          <w:noProof/>
          <w:szCs w:val="24"/>
        </w:rPr>
        <w:t xml:space="preserve"> </w:t>
      </w:r>
      <w:r w:rsidRPr="00912FFE">
        <w:rPr>
          <w:b/>
          <w:bCs/>
          <w:noProof/>
          <w:szCs w:val="24"/>
        </w:rPr>
        <w:t>2013</w:t>
      </w:r>
      <w:r w:rsidRPr="00912FFE">
        <w:rPr>
          <w:noProof/>
          <w:szCs w:val="24"/>
        </w:rPr>
        <w:t xml:space="preserve">, </w:t>
      </w:r>
      <w:r w:rsidRPr="00912FFE">
        <w:rPr>
          <w:i/>
          <w:iCs/>
          <w:noProof/>
          <w:szCs w:val="24"/>
        </w:rPr>
        <w:t>117</w:t>
      </w:r>
      <w:r w:rsidRPr="00912FFE">
        <w:rPr>
          <w:noProof/>
          <w:szCs w:val="24"/>
        </w:rPr>
        <w:t xml:space="preserve"> (40), 11906–11920. https://doi.org/10.1021/jp405418y.</w:t>
      </w:r>
    </w:p>
    <w:p w14:paraId="4082BAEE"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(293) </w:t>
      </w:r>
      <w:r w:rsidRPr="00912FFE">
        <w:rPr>
          <w:noProof/>
          <w:szCs w:val="24"/>
        </w:rPr>
        <w:tab/>
        <w:t xml:space="preserve">Yoo, J.; Cui, Q. Does Arginine Remain Protonated in the Lipid Membrane? Insights from Microscopic PKa Calculations. </w:t>
      </w:r>
      <w:r w:rsidRPr="00912FFE">
        <w:rPr>
          <w:i/>
          <w:iCs/>
          <w:noProof/>
          <w:szCs w:val="24"/>
        </w:rPr>
        <w:t>Biophys. J.</w:t>
      </w:r>
      <w:r w:rsidRPr="00912FFE">
        <w:rPr>
          <w:noProof/>
          <w:szCs w:val="24"/>
        </w:rPr>
        <w:t xml:space="preserve"> </w:t>
      </w:r>
      <w:r w:rsidRPr="00912FFE">
        <w:rPr>
          <w:b/>
          <w:bCs/>
          <w:noProof/>
          <w:szCs w:val="24"/>
        </w:rPr>
        <w:t>2008</w:t>
      </w:r>
      <w:r w:rsidRPr="00912FFE">
        <w:rPr>
          <w:noProof/>
          <w:szCs w:val="24"/>
        </w:rPr>
        <w:t xml:space="preserve">, </w:t>
      </w:r>
      <w:r w:rsidRPr="00912FFE">
        <w:rPr>
          <w:i/>
          <w:iCs/>
          <w:noProof/>
          <w:szCs w:val="24"/>
        </w:rPr>
        <w:t>94</w:t>
      </w:r>
      <w:r w:rsidRPr="00912FFE">
        <w:rPr>
          <w:noProof/>
          <w:szCs w:val="24"/>
        </w:rPr>
        <w:t xml:space="preserve"> (8), L61–L63. https://doi.org/10.1529/biophysj.107.122945.</w:t>
      </w:r>
    </w:p>
    <w:p w14:paraId="724A11CD"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(294) </w:t>
      </w:r>
      <w:r w:rsidRPr="00912FFE">
        <w:rPr>
          <w:noProof/>
          <w:szCs w:val="24"/>
        </w:rPr>
        <w:tab/>
        <w:t xml:space="preserve">Vila-Viçosa, D.; Silva, T. F. D.; Slaybaugh, G.; Reshetnyak, Y. K.; Andreev, O. A.; Machuqueiro, M. Membrane-Induced p Ka Shifts in Wt-PHLIP and Its L16H Variant. </w:t>
      </w:r>
      <w:r w:rsidRPr="00912FFE">
        <w:rPr>
          <w:i/>
          <w:iCs/>
          <w:noProof/>
          <w:szCs w:val="24"/>
        </w:rPr>
        <w:t>J. Chem. Theory Comput.</w:t>
      </w:r>
      <w:r w:rsidRPr="00912FFE">
        <w:rPr>
          <w:noProof/>
          <w:szCs w:val="24"/>
        </w:rPr>
        <w:t xml:space="preserve"> </w:t>
      </w:r>
      <w:r w:rsidRPr="00912FFE">
        <w:rPr>
          <w:b/>
          <w:bCs/>
          <w:noProof/>
          <w:szCs w:val="24"/>
        </w:rPr>
        <w:t>2018</w:t>
      </w:r>
      <w:r w:rsidRPr="00912FFE">
        <w:rPr>
          <w:noProof/>
          <w:szCs w:val="24"/>
        </w:rPr>
        <w:t xml:space="preserve">, </w:t>
      </w:r>
      <w:r w:rsidRPr="00912FFE">
        <w:rPr>
          <w:i/>
          <w:iCs/>
          <w:noProof/>
          <w:szCs w:val="24"/>
        </w:rPr>
        <w:t>14</w:t>
      </w:r>
      <w:r w:rsidRPr="00912FFE">
        <w:rPr>
          <w:noProof/>
          <w:szCs w:val="24"/>
        </w:rPr>
        <w:t xml:space="preserve"> (6), 3289–3297. https://doi.org/10.1021/acs.jctc.8b00102.</w:t>
      </w:r>
    </w:p>
    <w:p w14:paraId="1E99E168"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(295) </w:t>
      </w:r>
      <w:r w:rsidRPr="00912FFE">
        <w:rPr>
          <w:noProof/>
          <w:szCs w:val="24"/>
        </w:rPr>
        <w:tab/>
        <w:t xml:space="preserve">Lousa, D.; Pinto, A. R. T.; Campos, S. R. R.; Baptista, A. M.; Veiga, A. S.; Castanho, M. A. R. B.; Soares, C. M. Effect of PH on the Influenza Fusion Peptide Properties Unveiled by Constant-PH Molecular Dynamics Simulations Combined with Experiment. </w:t>
      </w:r>
      <w:r w:rsidRPr="00912FFE">
        <w:rPr>
          <w:i/>
          <w:iCs/>
          <w:noProof/>
          <w:szCs w:val="24"/>
        </w:rPr>
        <w:t>Sci. Rep.</w:t>
      </w:r>
      <w:r w:rsidRPr="00912FFE">
        <w:rPr>
          <w:noProof/>
          <w:szCs w:val="24"/>
        </w:rPr>
        <w:t xml:space="preserve"> </w:t>
      </w:r>
      <w:r w:rsidRPr="00912FFE">
        <w:rPr>
          <w:b/>
          <w:bCs/>
          <w:noProof/>
          <w:szCs w:val="24"/>
        </w:rPr>
        <w:t>2020</w:t>
      </w:r>
      <w:r w:rsidRPr="00912FFE">
        <w:rPr>
          <w:noProof/>
          <w:szCs w:val="24"/>
        </w:rPr>
        <w:t xml:space="preserve">, </w:t>
      </w:r>
      <w:r w:rsidRPr="00912FFE">
        <w:rPr>
          <w:i/>
          <w:iCs/>
          <w:noProof/>
          <w:szCs w:val="24"/>
        </w:rPr>
        <w:t>10</w:t>
      </w:r>
      <w:r w:rsidRPr="00912FFE">
        <w:rPr>
          <w:noProof/>
          <w:szCs w:val="24"/>
        </w:rPr>
        <w:t xml:space="preserve"> (1), 1–18. https://doi.org/10.1038/s41598-020-77040-y.</w:t>
      </w:r>
    </w:p>
    <w:p w14:paraId="1069170B"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(296) </w:t>
      </w:r>
      <w:r w:rsidRPr="00912FFE">
        <w:rPr>
          <w:noProof/>
          <w:szCs w:val="24"/>
        </w:rPr>
        <w:tab/>
        <w:t xml:space="preserve">Pohl, C.; Zalar, M.; Bialy, I. El; Indrakumar, S.; Peters, G. H. J.; Friess, W.; Golovanov, A. P.; Streicher, W. W.; Noergaard, A.; Harris, P.; Noergaard, A.; Harris, P. The Effect of Point Mutations on the Biophysical Properties of an Antimicrobial Peptide: Development of a Screening Protocol for Peptide Stability Screening. </w:t>
      </w:r>
      <w:r w:rsidRPr="00912FFE">
        <w:rPr>
          <w:i/>
          <w:iCs/>
          <w:noProof/>
          <w:szCs w:val="24"/>
        </w:rPr>
        <w:t>Mol. Pharm.</w:t>
      </w:r>
      <w:r w:rsidRPr="00912FFE">
        <w:rPr>
          <w:noProof/>
          <w:szCs w:val="24"/>
        </w:rPr>
        <w:t xml:space="preserve"> </w:t>
      </w:r>
      <w:r w:rsidRPr="00912FFE">
        <w:rPr>
          <w:b/>
          <w:bCs/>
          <w:noProof/>
          <w:szCs w:val="24"/>
        </w:rPr>
        <w:t>2020</w:t>
      </w:r>
      <w:r w:rsidRPr="00912FFE">
        <w:rPr>
          <w:noProof/>
          <w:szCs w:val="24"/>
        </w:rPr>
        <w:t xml:space="preserve">, </w:t>
      </w:r>
      <w:r w:rsidRPr="00912FFE">
        <w:rPr>
          <w:i/>
          <w:iCs/>
          <w:noProof/>
          <w:szCs w:val="24"/>
        </w:rPr>
        <w:t>17</w:t>
      </w:r>
      <w:r w:rsidRPr="00912FFE">
        <w:rPr>
          <w:noProof/>
          <w:szCs w:val="24"/>
        </w:rPr>
        <w:t xml:space="preserve"> (9), 3298–3313. https://doi.org/10.1021/acs.molpharmaceut.0c00406.</w:t>
      </w:r>
    </w:p>
    <w:p w14:paraId="2AA5C6AE"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(297) </w:t>
      </w:r>
      <w:r w:rsidRPr="00912FFE">
        <w:rPr>
          <w:noProof/>
          <w:szCs w:val="24"/>
        </w:rPr>
        <w:tab/>
        <w:t xml:space="preserve">Bruni, N.; Capucchio, M. T.; Biasibetti, E.; Pessione, E.; Cirrincione, S.; Giraudo, L.; Corona, A.; Dosio, F. Antimicrobial Activity of Lactoferrin-Related Peptides and Applications in Human and Veterinary Medicine. </w:t>
      </w:r>
      <w:r w:rsidRPr="00912FFE">
        <w:rPr>
          <w:i/>
          <w:iCs/>
          <w:noProof/>
          <w:szCs w:val="24"/>
        </w:rPr>
        <w:t>Molecules</w:t>
      </w:r>
      <w:r w:rsidRPr="00912FFE">
        <w:rPr>
          <w:noProof/>
          <w:szCs w:val="24"/>
        </w:rPr>
        <w:t xml:space="preserve"> </w:t>
      </w:r>
      <w:r w:rsidRPr="00912FFE">
        <w:rPr>
          <w:b/>
          <w:bCs/>
          <w:noProof/>
          <w:szCs w:val="24"/>
        </w:rPr>
        <w:t>2016</w:t>
      </w:r>
      <w:r w:rsidRPr="00912FFE">
        <w:rPr>
          <w:noProof/>
          <w:szCs w:val="24"/>
        </w:rPr>
        <w:t xml:space="preserve">, </w:t>
      </w:r>
      <w:r w:rsidRPr="00912FFE">
        <w:rPr>
          <w:i/>
          <w:iCs/>
          <w:noProof/>
          <w:szCs w:val="24"/>
        </w:rPr>
        <w:t>21</w:t>
      </w:r>
      <w:r w:rsidRPr="00912FFE">
        <w:rPr>
          <w:noProof/>
          <w:szCs w:val="24"/>
        </w:rPr>
        <w:t xml:space="preserve"> (6), 752. https://doi.org/10.3390/molecules21060752.</w:t>
      </w:r>
    </w:p>
    <w:p w14:paraId="34C3D834"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(298) </w:t>
      </w:r>
      <w:r w:rsidRPr="00912FFE">
        <w:rPr>
          <w:noProof/>
          <w:szCs w:val="24"/>
        </w:rPr>
        <w:tab/>
        <w:t xml:space="preserve">Nhan, C.; Small, D. M.; May, B. K.; Hung, A. PH-Induced Structural Changes of Apo-Lactoferrin and Implications for Its Function: A Molecular Dynamics Simulation Study. </w:t>
      </w:r>
      <w:r w:rsidRPr="00912FFE">
        <w:rPr>
          <w:i/>
          <w:iCs/>
          <w:noProof/>
          <w:szCs w:val="24"/>
        </w:rPr>
        <w:t>Mol. Simul.</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45</w:t>
      </w:r>
      <w:r w:rsidRPr="00912FFE">
        <w:rPr>
          <w:noProof/>
          <w:szCs w:val="24"/>
        </w:rPr>
        <w:t xml:space="preserve"> (2), 87–103. https://doi.org/10.1080/08927022.2018.1535178.</w:t>
      </w:r>
    </w:p>
    <w:p w14:paraId="584A184F"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(299) </w:t>
      </w:r>
      <w:r w:rsidRPr="00912FFE">
        <w:rPr>
          <w:noProof/>
          <w:szCs w:val="24"/>
        </w:rPr>
        <w:tab/>
        <w:t xml:space="preserve">Ermakova, E.; Kurbanov, R.; Zuev, Y. Coarse-Grained Molecular Dynamics of Membrane Semitoroidal Pore Formation in Model Lipid-Peptide Systems. </w:t>
      </w:r>
      <w:r w:rsidRPr="00912FFE">
        <w:rPr>
          <w:i/>
          <w:iCs/>
          <w:noProof/>
          <w:szCs w:val="24"/>
        </w:rPr>
        <w:t>J. Mol. Graph. Model.</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87</w:t>
      </w:r>
      <w:r w:rsidRPr="00912FFE">
        <w:rPr>
          <w:noProof/>
          <w:szCs w:val="24"/>
        </w:rPr>
        <w:t xml:space="preserve"> (3), 1–10. https://doi.org/10.1016/j.jmgm.2018.11.003.</w:t>
      </w:r>
    </w:p>
    <w:p w14:paraId="2D936B3D"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(300) </w:t>
      </w:r>
      <w:r w:rsidRPr="00912FFE">
        <w:rPr>
          <w:noProof/>
          <w:szCs w:val="24"/>
        </w:rPr>
        <w:tab/>
        <w:t xml:space="preserve">Cruz, V. L.; Ramos, J.; Melo, M. N.; Martinez-Salazar, J. Bacteriocin AS-48 Binding to Model Membranes and Pore Formation as Revealed by Coarse-Grained Simulations. </w:t>
      </w:r>
      <w:r w:rsidRPr="00912FFE">
        <w:rPr>
          <w:i/>
          <w:iCs/>
          <w:noProof/>
          <w:szCs w:val="24"/>
        </w:rPr>
        <w:t>Biochim. Biophys. Acta - Biomembr.</w:t>
      </w:r>
      <w:r w:rsidRPr="00912FFE">
        <w:rPr>
          <w:noProof/>
          <w:szCs w:val="24"/>
        </w:rPr>
        <w:t xml:space="preserve"> </w:t>
      </w:r>
      <w:r w:rsidRPr="00912FFE">
        <w:rPr>
          <w:b/>
          <w:bCs/>
          <w:noProof/>
          <w:szCs w:val="24"/>
        </w:rPr>
        <w:t>2013</w:t>
      </w:r>
      <w:r w:rsidRPr="00912FFE">
        <w:rPr>
          <w:noProof/>
          <w:szCs w:val="24"/>
        </w:rPr>
        <w:t xml:space="preserve">, </w:t>
      </w:r>
      <w:r w:rsidRPr="00912FFE">
        <w:rPr>
          <w:i/>
          <w:iCs/>
          <w:noProof/>
          <w:szCs w:val="24"/>
        </w:rPr>
        <w:t>1828</w:t>
      </w:r>
      <w:r w:rsidRPr="00912FFE">
        <w:rPr>
          <w:noProof/>
          <w:szCs w:val="24"/>
        </w:rPr>
        <w:t xml:space="preserve"> (11), 2524–2531. https://doi.org/10.1016/j.bbamem.2013.05.036.</w:t>
      </w:r>
    </w:p>
    <w:p w14:paraId="0B85C327"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(301) </w:t>
      </w:r>
      <w:r w:rsidRPr="00912FFE">
        <w:rPr>
          <w:noProof/>
          <w:szCs w:val="24"/>
        </w:rPr>
        <w:tab/>
        <w:t xml:space="preserve">Farrotti, A.; Bocchinfuso, G.; Palleschi, A.; Rosato, N.; Salnikov, E. S.; Voievoda, N.; Bechinger, B.; Stella, L. Molecular Dynamics Methods to Predict Peptide Locations in Membranes: LAH4 as a Stringent Test Case. </w:t>
      </w:r>
      <w:r w:rsidRPr="00912FFE">
        <w:rPr>
          <w:i/>
          <w:iCs/>
          <w:noProof/>
          <w:szCs w:val="24"/>
        </w:rPr>
        <w:t>Biochim. Biophys. Acta - Biomembr.</w:t>
      </w:r>
      <w:r w:rsidRPr="00912FFE">
        <w:rPr>
          <w:noProof/>
          <w:szCs w:val="24"/>
        </w:rPr>
        <w:t xml:space="preserve"> </w:t>
      </w:r>
      <w:r w:rsidRPr="00912FFE">
        <w:rPr>
          <w:b/>
          <w:bCs/>
          <w:noProof/>
          <w:szCs w:val="24"/>
        </w:rPr>
        <w:t>2015</w:t>
      </w:r>
      <w:r w:rsidRPr="00912FFE">
        <w:rPr>
          <w:noProof/>
          <w:szCs w:val="24"/>
        </w:rPr>
        <w:t xml:space="preserve">, </w:t>
      </w:r>
      <w:r w:rsidRPr="00912FFE">
        <w:rPr>
          <w:i/>
          <w:iCs/>
          <w:noProof/>
          <w:szCs w:val="24"/>
        </w:rPr>
        <w:t>1848</w:t>
      </w:r>
      <w:r w:rsidRPr="00912FFE">
        <w:rPr>
          <w:noProof/>
          <w:szCs w:val="24"/>
        </w:rPr>
        <w:t xml:space="preserve"> (2), 581–592. https://doi.org/10.1016/j.bbamem.2014.11.002.</w:t>
      </w:r>
    </w:p>
    <w:p w14:paraId="259C674B"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(302) </w:t>
      </w:r>
      <w:r w:rsidRPr="00912FFE">
        <w:rPr>
          <w:noProof/>
          <w:szCs w:val="24"/>
        </w:rPr>
        <w:tab/>
        <w:t xml:space="preserve">Lakshminarayanan, R.; Liu, S.; Li, J.; Nandhakumar, M.; Aung, T. T.; Goh, E.; Chang, J. Y. T.; Saraswathi, P.; Tang, C.; Safie, S. R. B.; Lin, L. Y.; Riezman, H.; Lei, Z.; Verma, C. S.; Beuerman, R. W. Synthetic Multivalent Antifungal Peptides Effective against Fungi. </w:t>
      </w:r>
      <w:r w:rsidRPr="00912FFE">
        <w:rPr>
          <w:i/>
          <w:iCs/>
          <w:noProof/>
          <w:szCs w:val="24"/>
        </w:rPr>
        <w:t>PLoS One</w:t>
      </w:r>
      <w:r w:rsidRPr="00912FFE">
        <w:rPr>
          <w:noProof/>
          <w:szCs w:val="24"/>
        </w:rPr>
        <w:t xml:space="preserve"> </w:t>
      </w:r>
      <w:r w:rsidRPr="00912FFE">
        <w:rPr>
          <w:b/>
          <w:bCs/>
          <w:noProof/>
          <w:szCs w:val="24"/>
        </w:rPr>
        <w:t>2014</w:t>
      </w:r>
      <w:r w:rsidRPr="00912FFE">
        <w:rPr>
          <w:noProof/>
          <w:szCs w:val="24"/>
        </w:rPr>
        <w:t xml:space="preserve">, </w:t>
      </w:r>
      <w:r w:rsidRPr="00912FFE">
        <w:rPr>
          <w:i/>
          <w:iCs/>
          <w:noProof/>
          <w:szCs w:val="24"/>
        </w:rPr>
        <w:t>9</w:t>
      </w:r>
      <w:r w:rsidRPr="00912FFE">
        <w:rPr>
          <w:noProof/>
          <w:szCs w:val="24"/>
        </w:rPr>
        <w:t xml:space="preserve"> (2), e87730. https://doi.org/10.1371/journal.pone.0087730.</w:t>
      </w:r>
    </w:p>
    <w:p w14:paraId="7C335D97"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(303) </w:t>
      </w:r>
      <w:r w:rsidRPr="00912FFE">
        <w:rPr>
          <w:noProof/>
          <w:szCs w:val="24"/>
        </w:rPr>
        <w:tab/>
        <w:t xml:space="preserve">Pontes, F. J. S.; Rusu, V. H.; Soares, T. A.; Lins, R. D. The Effect of Temperature, Cations, and Number of Acyl Chains on the Lamellar to Non-Lamellar Transition in Lipid-A Membranes: A Microscopic View. </w:t>
      </w:r>
      <w:r w:rsidRPr="00912FFE">
        <w:rPr>
          <w:i/>
          <w:iCs/>
          <w:noProof/>
          <w:szCs w:val="24"/>
        </w:rPr>
        <w:t>J. Chem. Theory Comput.</w:t>
      </w:r>
      <w:r w:rsidRPr="00912FFE">
        <w:rPr>
          <w:noProof/>
          <w:szCs w:val="24"/>
        </w:rPr>
        <w:t xml:space="preserve"> </w:t>
      </w:r>
      <w:r w:rsidRPr="00912FFE">
        <w:rPr>
          <w:b/>
          <w:bCs/>
          <w:noProof/>
          <w:szCs w:val="24"/>
        </w:rPr>
        <w:t>2012</w:t>
      </w:r>
      <w:r w:rsidRPr="00912FFE">
        <w:rPr>
          <w:noProof/>
          <w:szCs w:val="24"/>
        </w:rPr>
        <w:t xml:space="preserve">, </w:t>
      </w:r>
      <w:r w:rsidRPr="00912FFE">
        <w:rPr>
          <w:i/>
          <w:iCs/>
          <w:noProof/>
          <w:szCs w:val="24"/>
        </w:rPr>
        <w:t>8</w:t>
      </w:r>
      <w:r w:rsidRPr="00912FFE">
        <w:rPr>
          <w:noProof/>
          <w:szCs w:val="24"/>
        </w:rPr>
        <w:t xml:space="preserve"> (10), 3830–3838. https://doi.org/10.1021/ct300084v.</w:t>
      </w:r>
    </w:p>
    <w:p w14:paraId="599A76A5"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lastRenderedPageBreak/>
        <w:t xml:space="preserve">(304) </w:t>
      </w:r>
      <w:r w:rsidRPr="00912FFE">
        <w:rPr>
          <w:noProof/>
          <w:szCs w:val="24"/>
        </w:rPr>
        <w:tab/>
        <w:t xml:space="preserve">Li, P.; Poon, Y. F.; Li, W.; Zhu, H. Y.; Yeap, S. H.; Cao, Y.; Qi, X.; Zhou, C.; Lamrani, M.; Beuerman, R. W.; Kang, E. T.; Mu, Y.; Li, C. M.; Chang, M. W.; Jan Leong, S. S.; Chan-Park, M. B. A Polycationic Antimicrobial and Biocompatible Hydrogel with Microbe Membrane Suctioning Ability. </w:t>
      </w:r>
      <w:r w:rsidRPr="00912FFE">
        <w:rPr>
          <w:i/>
          <w:iCs/>
          <w:noProof/>
          <w:szCs w:val="24"/>
        </w:rPr>
        <w:t>Nat. Mater.</w:t>
      </w:r>
      <w:r w:rsidRPr="00912FFE">
        <w:rPr>
          <w:noProof/>
          <w:szCs w:val="24"/>
        </w:rPr>
        <w:t xml:space="preserve"> </w:t>
      </w:r>
      <w:r w:rsidRPr="00912FFE">
        <w:rPr>
          <w:b/>
          <w:bCs/>
          <w:noProof/>
          <w:szCs w:val="24"/>
        </w:rPr>
        <w:t>2011</w:t>
      </w:r>
      <w:r w:rsidRPr="00912FFE">
        <w:rPr>
          <w:noProof/>
          <w:szCs w:val="24"/>
        </w:rPr>
        <w:t xml:space="preserve">, </w:t>
      </w:r>
      <w:r w:rsidRPr="00912FFE">
        <w:rPr>
          <w:i/>
          <w:iCs/>
          <w:noProof/>
          <w:szCs w:val="24"/>
        </w:rPr>
        <w:t>10</w:t>
      </w:r>
      <w:r w:rsidRPr="00912FFE">
        <w:rPr>
          <w:noProof/>
          <w:szCs w:val="24"/>
        </w:rPr>
        <w:t xml:space="preserve"> (2), 149–156. https://doi.org/10.1038/nmat2915.</w:t>
      </w:r>
    </w:p>
    <w:p w14:paraId="15C67D79"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(305) </w:t>
      </w:r>
      <w:r w:rsidRPr="00912FFE">
        <w:rPr>
          <w:noProof/>
          <w:szCs w:val="24"/>
        </w:rPr>
        <w:tab/>
        <w:t xml:space="preserve">Jo, S.; Wu, E. L.; Stuhlsatz, D.; Klauda, J. B.; Mackerell, A. D.; Widmalm, G.; Im, W. Lipopolysaccharide Membrane Building and Simulation. </w:t>
      </w:r>
      <w:r w:rsidRPr="00912FFE">
        <w:rPr>
          <w:i/>
          <w:iCs/>
          <w:noProof/>
          <w:szCs w:val="24"/>
        </w:rPr>
        <w:t>Methods Mol. Biol.</w:t>
      </w:r>
      <w:r w:rsidRPr="00912FFE">
        <w:rPr>
          <w:noProof/>
          <w:szCs w:val="24"/>
        </w:rPr>
        <w:t xml:space="preserve"> </w:t>
      </w:r>
      <w:r w:rsidRPr="00912FFE">
        <w:rPr>
          <w:b/>
          <w:bCs/>
          <w:noProof/>
          <w:szCs w:val="24"/>
        </w:rPr>
        <w:t>2015</w:t>
      </w:r>
      <w:r w:rsidRPr="00912FFE">
        <w:rPr>
          <w:noProof/>
          <w:szCs w:val="24"/>
        </w:rPr>
        <w:t xml:space="preserve">, </w:t>
      </w:r>
      <w:r w:rsidRPr="00912FFE">
        <w:rPr>
          <w:i/>
          <w:iCs/>
          <w:noProof/>
          <w:szCs w:val="24"/>
        </w:rPr>
        <w:t>1273</w:t>
      </w:r>
      <w:r w:rsidRPr="00912FFE">
        <w:rPr>
          <w:noProof/>
          <w:szCs w:val="24"/>
        </w:rPr>
        <w:t>, 391–406. https://doi.org/10.1007/978-1-4939-2343-4_24.</w:t>
      </w:r>
    </w:p>
    <w:p w14:paraId="7AC84326"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(306) </w:t>
      </w:r>
      <w:r w:rsidRPr="00912FFE">
        <w:rPr>
          <w:noProof/>
          <w:szCs w:val="24"/>
        </w:rPr>
        <w:tab/>
        <w:t xml:space="preserve">Khalid, S.; Piggot, T. J.; Samsudin, F. Atomistic and Coarse Grain Simulations of the Cell Envelope of Gram-Negative Bacteria: What Have We Learned? </w:t>
      </w:r>
      <w:r w:rsidRPr="00912FFE">
        <w:rPr>
          <w:i/>
          <w:iCs/>
          <w:noProof/>
          <w:szCs w:val="24"/>
        </w:rPr>
        <w:t>Acc. Chem. Res.</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52</w:t>
      </w:r>
      <w:r w:rsidRPr="00912FFE">
        <w:rPr>
          <w:noProof/>
          <w:szCs w:val="24"/>
        </w:rPr>
        <w:t xml:space="preserve"> (1), 180–188. https://doi.org/10.1021/acs.accounts.8b00377.</w:t>
      </w:r>
    </w:p>
    <w:p w14:paraId="6FC511D9"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(307) </w:t>
      </w:r>
      <w:r w:rsidRPr="00912FFE">
        <w:rPr>
          <w:noProof/>
          <w:szCs w:val="24"/>
        </w:rPr>
        <w:tab/>
        <w:t xml:space="preserve">Jefferies, D.; Shearer, J.; Khalid, S. Role of O-Antigen in Response to Mechanical Stress of the E. Coli Outer Membrane: Insights from Coarse-Grained MD Simulations. </w:t>
      </w:r>
      <w:r w:rsidRPr="00912FFE">
        <w:rPr>
          <w:i/>
          <w:iCs/>
          <w:noProof/>
          <w:szCs w:val="24"/>
        </w:rPr>
        <w:t>J. Phys. Chem. B</w:t>
      </w:r>
      <w:r w:rsidRPr="00912FFE">
        <w:rPr>
          <w:noProof/>
          <w:szCs w:val="24"/>
        </w:rPr>
        <w:t xml:space="preserve"> </w:t>
      </w:r>
      <w:r w:rsidRPr="00912FFE">
        <w:rPr>
          <w:b/>
          <w:bCs/>
          <w:noProof/>
          <w:szCs w:val="24"/>
        </w:rPr>
        <w:t>2019</w:t>
      </w:r>
      <w:r w:rsidRPr="00912FFE">
        <w:rPr>
          <w:noProof/>
          <w:szCs w:val="24"/>
        </w:rPr>
        <w:t xml:space="preserve">, </w:t>
      </w:r>
      <w:r w:rsidRPr="00912FFE">
        <w:rPr>
          <w:i/>
          <w:iCs/>
          <w:noProof/>
          <w:szCs w:val="24"/>
        </w:rPr>
        <w:t>123</w:t>
      </w:r>
      <w:r w:rsidRPr="00912FFE">
        <w:rPr>
          <w:noProof/>
          <w:szCs w:val="24"/>
        </w:rPr>
        <w:t xml:space="preserve"> (17), 3567–3575. https://doi.org/10.1021/acs.jpcb.8b12168.</w:t>
      </w:r>
    </w:p>
    <w:p w14:paraId="764A9436"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(308) </w:t>
      </w:r>
      <w:r w:rsidRPr="00912FFE">
        <w:rPr>
          <w:noProof/>
          <w:szCs w:val="24"/>
        </w:rPr>
        <w:tab/>
        <w:t xml:space="preserve">Ma, H.; Irudayanathan, F. J.; Jiang, W.; Nangia, S. Simulating Gram-Negative Bacterial Outer Membrane: A Coarse Grain Model. </w:t>
      </w:r>
      <w:r w:rsidRPr="00912FFE">
        <w:rPr>
          <w:i/>
          <w:iCs/>
          <w:noProof/>
          <w:szCs w:val="24"/>
        </w:rPr>
        <w:t>J. Phys. Chem. B</w:t>
      </w:r>
      <w:r w:rsidRPr="00912FFE">
        <w:rPr>
          <w:noProof/>
          <w:szCs w:val="24"/>
        </w:rPr>
        <w:t xml:space="preserve"> </w:t>
      </w:r>
      <w:r w:rsidRPr="00912FFE">
        <w:rPr>
          <w:b/>
          <w:bCs/>
          <w:noProof/>
          <w:szCs w:val="24"/>
        </w:rPr>
        <w:t>2015</w:t>
      </w:r>
      <w:r w:rsidRPr="00912FFE">
        <w:rPr>
          <w:noProof/>
          <w:szCs w:val="24"/>
        </w:rPr>
        <w:t xml:space="preserve">, </w:t>
      </w:r>
      <w:r w:rsidRPr="00912FFE">
        <w:rPr>
          <w:i/>
          <w:iCs/>
          <w:noProof/>
          <w:szCs w:val="24"/>
        </w:rPr>
        <w:t>119</w:t>
      </w:r>
      <w:r w:rsidRPr="00912FFE">
        <w:rPr>
          <w:noProof/>
          <w:szCs w:val="24"/>
        </w:rPr>
        <w:t xml:space="preserve"> (46), 14668–14682. https://doi.org/10.1021/acs.jpcb.5b07122.</w:t>
      </w:r>
    </w:p>
    <w:p w14:paraId="2624C87D"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(309) </w:t>
      </w:r>
      <w:r w:rsidRPr="00912FFE">
        <w:rPr>
          <w:noProof/>
          <w:szCs w:val="24"/>
        </w:rPr>
        <w:tab/>
        <w:t xml:space="preserve">Van Oosten, B.; Harroun, T. A. A MARTINI Extension for Pseudomonas Aeruginosa PAO1 Lipopolysaccharide. </w:t>
      </w:r>
      <w:r w:rsidRPr="00912FFE">
        <w:rPr>
          <w:i/>
          <w:iCs/>
          <w:noProof/>
          <w:szCs w:val="24"/>
        </w:rPr>
        <w:t>J. Mol. Graph. Model.</w:t>
      </w:r>
      <w:r w:rsidRPr="00912FFE">
        <w:rPr>
          <w:noProof/>
          <w:szCs w:val="24"/>
        </w:rPr>
        <w:t xml:space="preserve"> </w:t>
      </w:r>
      <w:r w:rsidRPr="00912FFE">
        <w:rPr>
          <w:b/>
          <w:bCs/>
          <w:noProof/>
          <w:szCs w:val="24"/>
        </w:rPr>
        <w:t>2016</w:t>
      </w:r>
      <w:r w:rsidRPr="00912FFE">
        <w:rPr>
          <w:noProof/>
          <w:szCs w:val="24"/>
        </w:rPr>
        <w:t xml:space="preserve">, </w:t>
      </w:r>
      <w:r w:rsidRPr="00912FFE">
        <w:rPr>
          <w:i/>
          <w:iCs/>
          <w:noProof/>
          <w:szCs w:val="24"/>
        </w:rPr>
        <w:t>63</w:t>
      </w:r>
      <w:r w:rsidRPr="00912FFE">
        <w:rPr>
          <w:noProof/>
          <w:szCs w:val="24"/>
        </w:rPr>
        <w:t>, 125–133. https://doi.org/10.1016/j.jmgm.2015.12.002.</w:t>
      </w:r>
    </w:p>
    <w:p w14:paraId="6C2C3A66"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(310) </w:t>
      </w:r>
      <w:r w:rsidRPr="00912FFE">
        <w:rPr>
          <w:noProof/>
          <w:szCs w:val="24"/>
        </w:rPr>
        <w:tab/>
        <w:t xml:space="preserve">Lakshminarayanan, R.; Tan, W. X.; Aung, T. T.; Goh, E. T. L.; Muruganantham, N.; Li, J.; Chang, J. Y. T.; Dikshit, N.; Saraswathi, P.; Lim, R. R.; Kang, T. S.; Balamuralidhar, V.; Sukumaran, B.; Verma, C. S.; Sivaraman, J.; Chaurasia, S. S.; Liu, S.; Beuerman, R. W. Branched Peptide, B2088, Disrupts the Supramolecular Organization of Lipopolysaccharides and Sensitizes the Gram-Negative Bacteria. </w:t>
      </w:r>
      <w:r w:rsidRPr="00912FFE">
        <w:rPr>
          <w:i/>
          <w:iCs/>
          <w:noProof/>
          <w:szCs w:val="24"/>
        </w:rPr>
        <w:t>Sci. Rep.</w:t>
      </w:r>
      <w:r w:rsidRPr="00912FFE">
        <w:rPr>
          <w:noProof/>
          <w:szCs w:val="24"/>
        </w:rPr>
        <w:t xml:space="preserve"> </w:t>
      </w:r>
      <w:r w:rsidRPr="00912FFE">
        <w:rPr>
          <w:b/>
          <w:bCs/>
          <w:noProof/>
          <w:szCs w:val="24"/>
        </w:rPr>
        <w:t>2016</w:t>
      </w:r>
      <w:r w:rsidRPr="00912FFE">
        <w:rPr>
          <w:noProof/>
          <w:szCs w:val="24"/>
        </w:rPr>
        <w:t xml:space="preserve">, </w:t>
      </w:r>
      <w:r w:rsidRPr="00912FFE">
        <w:rPr>
          <w:i/>
          <w:iCs/>
          <w:noProof/>
          <w:szCs w:val="24"/>
        </w:rPr>
        <w:t>6</w:t>
      </w:r>
      <w:r w:rsidRPr="00912FFE">
        <w:rPr>
          <w:noProof/>
          <w:szCs w:val="24"/>
        </w:rPr>
        <w:t xml:space="preserve"> (1), 1–17. https://doi.org/10.1038/srep25905.</w:t>
      </w:r>
    </w:p>
    <w:p w14:paraId="77C956D5"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(311) </w:t>
      </w:r>
      <w:r w:rsidRPr="00912FFE">
        <w:rPr>
          <w:noProof/>
          <w:szCs w:val="24"/>
        </w:rPr>
        <w:tab/>
        <w:t xml:space="preserve">Santos, D. E. S.; Pol-Fachin, L.; Lins, R. D.; Soares, T. A. Polymyxin Binding to the Bacterial Outer Membrane Reveals Cation Displacement and Increasing Membrane Curvature in Susceptible but Not in Resistant Lipopolysaccharide Chemotypes. </w:t>
      </w:r>
      <w:r w:rsidRPr="00912FFE">
        <w:rPr>
          <w:i/>
          <w:iCs/>
          <w:noProof/>
          <w:szCs w:val="24"/>
        </w:rPr>
        <w:t>J. Chem. Inf. Model.</w:t>
      </w:r>
      <w:r w:rsidRPr="00912FFE">
        <w:rPr>
          <w:noProof/>
          <w:szCs w:val="24"/>
        </w:rPr>
        <w:t xml:space="preserve"> </w:t>
      </w:r>
      <w:r w:rsidRPr="00912FFE">
        <w:rPr>
          <w:b/>
          <w:bCs/>
          <w:noProof/>
          <w:szCs w:val="24"/>
        </w:rPr>
        <w:t>2017</w:t>
      </w:r>
      <w:r w:rsidRPr="00912FFE">
        <w:rPr>
          <w:noProof/>
          <w:szCs w:val="24"/>
        </w:rPr>
        <w:t xml:space="preserve">, </w:t>
      </w:r>
      <w:r w:rsidRPr="00912FFE">
        <w:rPr>
          <w:i/>
          <w:iCs/>
          <w:noProof/>
          <w:szCs w:val="24"/>
        </w:rPr>
        <w:t>57</w:t>
      </w:r>
      <w:r w:rsidRPr="00912FFE">
        <w:rPr>
          <w:noProof/>
          <w:szCs w:val="24"/>
        </w:rPr>
        <w:t xml:space="preserve"> (9), 2181–2193. https://doi.org/10.1021/acs.jcim.7b00271.</w:t>
      </w:r>
    </w:p>
    <w:p w14:paraId="02152C48"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(312) </w:t>
      </w:r>
      <w:r w:rsidRPr="00912FFE">
        <w:rPr>
          <w:noProof/>
          <w:szCs w:val="24"/>
        </w:rPr>
        <w:tab/>
        <w:t xml:space="preserve">Bond, P. J.; Holyoake, J.; Ivetac, A.; Khalid, S.; Sansom, M. S. P. Coarse-Grained Molecular Dynamics Simulations of Membrane Proteins and Peptides. </w:t>
      </w:r>
      <w:r w:rsidRPr="00912FFE">
        <w:rPr>
          <w:i/>
          <w:iCs/>
          <w:noProof/>
          <w:szCs w:val="24"/>
        </w:rPr>
        <w:t>J. Struct. Biol.</w:t>
      </w:r>
      <w:r w:rsidRPr="00912FFE">
        <w:rPr>
          <w:noProof/>
          <w:szCs w:val="24"/>
        </w:rPr>
        <w:t xml:space="preserve"> </w:t>
      </w:r>
      <w:r w:rsidRPr="00912FFE">
        <w:rPr>
          <w:b/>
          <w:bCs/>
          <w:noProof/>
          <w:szCs w:val="24"/>
        </w:rPr>
        <w:t>2007</w:t>
      </w:r>
      <w:r w:rsidRPr="00912FFE">
        <w:rPr>
          <w:noProof/>
          <w:szCs w:val="24"/>
        </w:rPr>
        <w:t xml:space="preserve">, </w:t>
      </w:r>
      <w:r w:rsidRPr="00912FFE">
        <w:rPr>
          <w:i/>
          <w:iCs/>
          <w:noProof/>
          <w:szCs w:val="24"/>
        </w:rPr>
        <w:t>157</w:t>
      </w:r>
      <w:r w:rsidRPr="00912FFE">
        <w:rPr>
          <w:noProof/>
          <w:szCs w:val="24"/>
        </w:rPr>
        <w:t xml:space="preserve"> (3), 593–605. https://doi.org/10.1016/j.jsb.2006.10.004.</w:t>
      </w:r>
    </w:p>
    <w:p w14:paraId="01508639" w14:textId="77777777" w:rsidR="00912FFE" w:rsidRPr="00912FFE" w:rsidRDefault="00912FFE" w:rsidP="00912FFE">
      <w:pPr>
        <w:widowControl w:val="0"/>
        <w:autoSpaceDE w:val="0"/>
        <w:autoSpaceDN w:val="0"/>
        <w:adjustRightInd w:val="0"/>
        <w:spacing w:line="240" w:lineRule="auto"/>
        <w:ind w:left="640" w:hanging="640"/>
        <w:rPr>
          <w:noProof/>
          <w:szCs w:val="24"/>
        </w:rPr>
      </w:pPr>
      <w:r w:rsidRPr="00912FFE">
        <w:rPr>
          <w:noProof/>
          <w:szCs w:val="24"/>
        </w:rPr>
        <w:t xml:space="preserve">(313) </w:t>
      </w:r>
      <w:r w:rsidRPr="00912FFE">
        <w:rPr>
          <w:noProof/>
          <w:szCs w:val="24"/>
        </w:rPr>
        <w:tab/>
        <w:t xml:space="preserve">Hsu, P. C.; Bruininks, B. M. H.; Jefferies, D.; Cesar Telles de Souza, P.; Lee, J.; Patel, D. S.; Marrink, S. J.; Qi, Y.; Khalid, S.; Im, W. CHARMM-GUI Martini Maker for Modeling and Simulation of Complex Bacterial Membranes with Lipopolysaccharides. </w:t>
      </w:r>
      <w:r w:rsidRPr="00912FFE">
        <w:rPr>
          <w:i/>
          <w:iCs/>
          <w:noProof/>
          <w:szCs w:val="24"/>
        </w:rPr>
        <w:t>J. Comput. Chem.</w:t>
      </w:r>
      <w:r w:rsidRPr="00912FFE">
        <w:rPr>
          <w:noProof/>
          <w:szCs w:val="24"/>
        </w:rPr>
        <w:t xml:space="preserve"> </w:t>
      </w:r>
      <w:r w:rsidRPr="00912FFE">
        <w:rPr>
          <w:b/>
          <w:bCs/>
          <w:noProof/>
          <w:szCs w:val="24"/>
        </w:rPr>
        <w:t>2017</w:t>
      </w:r>
      <w:r w:rsidRPr="00912FFE">
        <w:rPr>
          <w:noProof/>
          <w:szCs w:val="24"/>
        </w:rPr>
        <w:t xml:space="preserve">, </w:t>
      </w:r>
      <w:r w:rsidRPr="00912FFE">
        <w:rPr>
          <w:i/>
          <w:iCs/>
          <w:noProof/>
          <w:szCs w:val="24"/>
        </w:rPr>
        <w:t>38</w:t>
      </w:r>
      <w:r w:rsidRPr="00912FFE">
        <w:rPr>
          <w:noProof/>
          <w:szCs w:val="24"/>
        </w:rPr>
        <w:t xml:space="preserve"> (27), 2354–2363. https://doi.org/10.1002/jcc.24895.</w:t>
      </w:r>
    </w:p>
    <w:p w14:paraId="0939F7CD" w14:textId="77777777" w:rsidR="00912FFE" w:rsidRPr="00912FFE" w:rsidRDefault="00912FFE" w:rsidP="00912FFE">
      <w:pPr>
        <w:widowControl w:val="0"/>
        <w:autoSpaceDE w:val="0"/>
        <w:autoSpaceDN w:val="0"/>
        <w:adjustRightInd w:val="0"/>
        <w:spacing w:line="240" w:lineRule="auto"/>
        <w:ind w:left="640" w:hanging="640"/>
        <w:rPr>
          <w:noProof/>
        </w:rPr>
      </w:pPr>
      <w:r w:rsidRPr="00912FFE">
        <w:rPr>
          <w:noProof/>
          <w:szCs w:val="24"/>
        </w:rPr>
        <w:t xml:space="preserve">(314) </w:t>
      </w:r>
      <w:r w:rsidRPr="00912FFE">
        <w:rPr>
          <w:noProof/>
          <w:szCs w:val="24"/>
        </w:rPr>
        <w:tab/>
        <w:t xml:space="preserve">Poger, D.; Caron, B.; Mark, A. E. Validating Lipid Force Fields against Experimental Data: Progress, Challenges and Perspectives. </w:t>
      </w:r>
      <w:r w:rsidRPr="00912FFE">
        <w:rPr>
          <w:i/>
          <w:iCs/>
          <w:noProof/>
          <w:szCs w:val="24"/>
        </w:rPr>
        <w:t>Biochim. Biophys. Acta - Biomembr.</w:t>
      </w:r>
      <w:r w:rsidRPr="00912FFE">
        <w:rPr>
          <w:noProof/>
          <w:szCs w:val="24"/>
        </w:rPr>
        <w:t xml:space="preserve"> </w:t>
      </w:r>
      <w:r w:rsidRPr="00912FFE">
        <w:rPr>
          <w:b/>
          <w:bCs/>
          <w:noProof/>
          <w:szCs w:val="24"/>
        </w:rPr>
        <w:t>2016</w:t>
      </w:r>
      <w:r w:rsidRPr="00912FFE">
        <w:rPr>
          <w:noProof/>
          <w:szCs w:val="24"/>
        </w:rPr>
        <w:t xml:space="preserve">, </w:t>
      </w:r>
      <w:r w:rsidRPr="00912FFE">
        <w:rPr>
          <w:i/>
          <w:iCs/>
          <w:noProof/>
          <w:szCs w:val="24"/>
        </w:rPr>
        <w:t>1858</w:t>
      </w:r>
      <w:r w:rsidRPr="00912FFE">
        <w:rPr>
          <w:noProof/>
          <w:szCs w:val="24"/>
        </w:rPr>
        <w:t xml:space="preserve"> (7), 1556–1565. https://doi.org/10.1016/j.bbamem.2016.01.029.</w:t>
      </w:r>
    </w:p>
    <w:p w14:paraId="3CDE44F3" w14:textId="77777777" w:rsidR="001529CF" w:rsidRDefault="00492337" w:rsidP="00492337">
      <w:r>
        <w:fldChar w:fldCharType="end"/>
      </w:r>
    </w:p>
    <w:p w14:paraId="3607E66F" w14:textId="77777777" w:rsidR="001529CF" w:rsidRDefault="001529CF">
      <w:pPr>
        <w:sectPr w:rsidR="001529CF">
          <w:type w:val="continuous"/>
          <w:pgSz w:w="12240" w:h="15840"/>
          <w:pgMar w:top="1440" w:right="1440" w:bottom="1440" w:left="1440" w:header="720" w:footer="0" w:gutter="0"/>
          <w:cols w:space="720"/>
          <w:formProt w:val="0"/>
          <w:docGrid w:linePitch="100" w:charSpace="4096"/>
        </w:sectPr>
      </w:pPr>
    </w:p>
    <w:p w14:paraId="68200717" w14:textId="77777777" w:rsidR="001529CF" w:rsidRDefault="00492337">
      <w:pPr>
        <w:pStyle w:val="LO-normal"/>
      </w:pPr>
      <w:r>
        <w:t xml:space="preserve"> </w:t>
      </w:r>
    </w:p>
    <w:sectPr w:rsidR="001529CF">
      <w:type w:val="continuous"/>
      <w:pgSz w:w="12240" w:h="15840"/>
      <w:pgMar w:top="1440" w:right="1440" w:bottom="1440" w:left="1440" w:header="720" w:footer="0" w:gutter="0"/>
      <w:cols w:space="720"/>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BB4B34" w14:textId="77777777" w:rsidR="00640BFA" w:rsidRDefault="00640BFA">
      <w:pPr>
        <w:spacing w:line="240" w:lineRule="auto"/>
      </w:pPr>
      <w:r>
        <w:separator/>
      </w:r>
    </w:p>
  </w:endnote>
  <w:endnote w:type="continuationSeparator" w:id="0">
    <w:p w14:paraId="316A433A" w14:textId="77777777" w:rsidR="00640BFA" w:rsidRDefault="00640B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panose1 w:val="05010000000000000000"/>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286A7C" w14:textId="77777777" w:rsidR="00640BFA" w:rsidRDefault="00640BFA">
      <w:pPr>
        <w:spacing w:line="240" w:lineRule="auto"/>
      </w:pPr>
      <w:r>
        <w:separator/>
      </w:r>
    </w:p>
  </w:footnote>
  <w:footnote w:type="continuationSeparator" w:id="0">
    <w:p w14:paraId="258CACF0" w14:textId="77777777" w:rsidR="00640BFA" w:rsidRDefault="00640BF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E54E6"/>
    <w:multiLevelType w:val="multilevel"/>
    <w:tmpl w:val="85A466EC"/>
    <w:lvl w:ilvl="0">
      <w:start w:val="1"/>
      <w:numFmt w:val="bullet"/>
      <w:lvlText w:val="-"/>
      <w:lvlJc w:val="left"/>
      <w:pPr>
        <w:ind w:left="720" w:hanging="360"/>
      </w:pPr>
      <w:rPr>
        <w:rFonts w:ascii="OpenSymbol" w:hAnsi="OpenSymbol" w:cs="OpenSymbol" w:hint="default"/>
        <w:sz w:val="20"/>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 w15:restartNumberingAfterBreak="0">
    <w:nsid w:val="1B427689"/>
    <w:multiLevelType w:val="multilevel"/>
    <w:tmpl w:val="6B5C4158"/>
    <w:lvl w:ilvl="0">
      <w:start w:val="1"/>
      <w:numFmt w:val="bullet"/>
      <w:lvlText w:val="-"/>
      <w:lvlJc w:val="left"/>
      <w:pPr>
        <w:ind w:left="432" w:hanging="360"/>
      </w:pPr>
      <w:rPr>
        <w:rFonts w:ascii="OpenSymbol" w:hAnsi="OpenSymbol" w:cs="OpenSymbol" w:hint="default"/>
        <w:sz w:val="20"/>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 w15:restartNumberingAfterBreak="0">
    <w:nsid w:val="1EE853D5"/>
    <w:multiLevelType w:val="multilevel"/>
    <w:tmpl w:val="AB5C9412"/>
    <w:lvl w:ilvl="0">
      <w:start w:val="1"/>
      <w:numFmt w:val="bullet"/>
      <w:lvlText w:val="-"/>
      <w:lvlJc w:val="left"/>
      <w:pPr>
        <w:ind w:left="432" w:hanging="360"/>
      </w:pPr>
      <w:rPr>
        <w:rFonts w:ascii="OpenSymbol" w:hAnsi="OpenSymbol" w:cs="OpenSymbol" w:hint="default"/>
        <w:sz w:val="20"/>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 w15:restartNumberingAfterBreak="0">
    <w:nsid w:val="22474556"/>
    <w:multiLevelType w:val="multilevel"/>
    <w:tmpl w:val="52AC11BA"/>
    <w:lvl w:ilvl="0">
      <w:start w:val="1"/>
      <w:numFmt w:val="bullet"/>
      <w:lvlText w:val="-"/>
      <w:lvlJc w:val="left"/>
      <w:pPr>
        <w:ind w:left="432" w:hanging="360"/>
      </w:pPr>
      <w:rPr>
        <w:rFonts w:ascii="OpenSymbol" w:hAnsi="OpenSymbol" w:cs="OpenSymbol" w:hint="default"/>
        <w:sz w:val="20"/>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4" w15:restartNumberingAfterBreak="0">
    <w:nsid w:val="26281457"/>
    <w:multiLevelType w:val="multilevel"/>
    <w:tmpl w:val="FA985D9C"/>
    <w:lvl w:ilvl="0">
      <w:start w:val="1"/>
      <w:numFmt w:val="bullet"/>
      <w:lvlText w:val="-"/>
      <w:lvlJc w:val="left"/>
      <w:pPr>
        <w:ind w:left="432" w:hanging="360"/>
      </w:pPr>
      <w:rPr>
        <w:rFonts w:ascii="OpenSymbol" w:hAnsi="OpenSymbol" w:cs="OpenSymbol" w:hint="default"/>
        <w:sz w:val="20"/>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5" w15:restartNumberingAfterBreak="0">
    <w:nsid w:val="26CC2444"/>
    <w:multiLevelType w:val="multilevel"/>
    <w:tmpl w:val="DBD2A334"/>
    <w:lvl w:ilvl="0">
      <w:start w:val="1"/>
      <w:numFmt w:val="bullet"/>
      <w:lvlText w:val="-"/>
      <w:lvlJc w:val="left"/>
      <w:pPr>
        <w:ind w:left="432" w:hanging="360"/>
      </w:pPr>
      <w:rPr>
        <w:rFonts w:ascii="OpenSymbol" w:hAnsi="OpenSymbol" w:cs="OpenSymbol" w:hint="default"/>
        <w:sz w:val="20"/>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6" w15:restartNumberingAfterBreak="0">
    <w:nsid w:val="280D3FE6"/>
    <w:multiLevelType w:val="multilevel"/>
    <w:tmpl w:val="1EC250B2"/>
    <w:lvl w:ilvl="0">
      <w:start w:val="1"/>
      <w:numFmt w:val="bullet"/>
      <w:lvlText w:val="-"/>
      <w:lvlJc w:val="left"/>
      <w:pPr>
        <w:ind w:left="432" w:hanging="360"/>
      </w:pPr>
      <w:rPr>
        <w:rFonts w:ascii="OpenSymbol" w:hAnsi="OpenSymbol" w:cs="OpenSymbol" w:hint="default"/>
        <w:sz w:val="20"/>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7" w15:restartNumberingAfterBreak="0">
    <w:nsid w:val="2BDE2C0A"/>
    <w:multiLevelType w:val="multilevel"/>
    <w:tmpl w:val="946C8C70"/>
    <w:lvl w:ilvl="0">
      <w:start w:val="1"/>
      <w:numFmt w:val="bullet"/>
      <w:lvlText w:val="-"/>
      <w:lvlJc w:val="left"/>
      <w:pPr>
        <w:ind w:left="720" w:hanging="360"/>
      </w:pPr>
      <w:rPr>
        <w:rFonts w:ascii="OpenSymbol" w:hAnsi="OpenSymbol" w:cs="OpenSymbol" w:hint="default"/>
        <w:sz w:val="20"/>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8" w15:restartNumberingAfterBreak="0">
    <w:nsid w:val="2EF772F2"/>
    <w:multiLevelType w:val="multilevel"/>
    <w:tmpl w:val="E152B50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330C0433"/>
    <w:multiLevelType w:val="multilevel"/>
    <w:tmpl w:val="8B304C36"/>
    <w:lvl w:ilvl="0">
      <w:start w:val="1"/>
      <w:numFmt w:val="bullet"/>
      <w:lvlText w:val="-"/>
      <w:lvlJc w:val="left"/>
      <w:pPr>
        <w:ind w:left="720" w:hanging="360"/>
      </w:pPr>
      <w:rPr>
        <w:rFonts w:ascii="OpenSymbol" w:hAnsi="OpenSymbol" w:cs="OpenSymbol" w:hint="default"/>
        <w:sz w:val="20"/>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0" w15:restartNumberingAfterBreak="0">
    <w:nsid w:val="4012236C"/>
    <w:multiLevelType w:val="multilevel"/>
    <w:tmpl w:val="1AA6A3E4"/>
    <w:lvl w:ilvl="0">
      <w:start w:val="1"/>
      <w:numFmt w:val="bullet"/>
      <w:lvlText w:val="-"/>
      <w:lvlJc w:val="left"/>
      <w:pPr>
        <w:ind w:left="432" w:hanging="360"/>
      </w:pPr>
      <w:rPr>
        <w:rFonts w:ascii="OpenSymbol" w:hAnsi="OpenSymbol" w:cs="OpenSymbol" w:hint="default"/>
        <w:sz w:val="20"/>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1" w15:restartNumberingAfterBreak="0">
    <w:nsid w:val="41A10B5C"/>
    <w:multiLevelType w:val="multilevel"/>
    <w:tmpl w:val="EE08717E"/>
    <w:lvl w:ilvl="0">
      <w:start w:val="1"/>
      <w:numFmt w:val="bullet"/>
      <w:lvlText w:val="-"/>
      <w:lvlJc w:val="left"/>
      <w:pPr>
        <w:ind w:left="432" w:hanging="360"/>
      </w:pPr>
      <w:rPr>
        <w:rFonts w:ascii="OpenSymbol" w:hAnsi="OpenSymbol" w:cs="OpenSymbol" w:hint="default"/>
        <w:sz w:val="20"/>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2" w15:restartNumberingAfterBreak="0">
    <w:nsid w:val="56594A6A"/>
    <w:multiLevelType w:val="multilevel"/>
    <w:tmpl w:val="F8660EF6"/>
    <w:lvl w:ilvl="0">
      <w:start w:val="1"/>
      <w:numFmt w:val="bullet"/>
      <w:lvlText w:val="-"/>
      <w:lvlJc w:val="left"/>
      <w:pPr>
        <w:ind w:left="720" w:hanging="360"/>
      </w:pPr>
      <w:rPr>
        <w:rFonts w:ascii="OpenSymbol" w:hAnsi="OpenSymbol" w:cs="OpenSymbol" w:hint="default"/>
        <w:sz w:val="20"/>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3" w15:restartNumberingAfterBreak="0">
    <w:nsid w:val="71C72B1A"/>
    <w:multiLevelType w:val="multilevel"/>
    <w:tmpl w:val="6CC2B170"/>
    <w:lvl w:ilvl="0">
      <w:start w:val="1"/>
      <w:numFmt w:val="bullet"/>
      <w:lvlText w:val="-"/>
      <w:lvlJc w:val="left"/>
      <w:pPr>
        <w:ind w:left="432" w:hanging="360"/>
      </w:pPr>
      <w:rPr>
        <w:rFonts w:ascii="OpenSymbol" w:hAnsi="OpenSymbol" w:cs="OpenSymbol" w:hint="default"/>
        <w:sz w:val="20"/>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num w:numId="1">
    <w:abstractNumId w:val="8"/>
  </w:num>
  <w:num w:numId="2">
    <w:abstractNumId w:val="3"/>
  </w:num>
  <w:num w:numId="3">
    <w:abstractNumId w:val="9"/>
  </w:num>
  <w:num w:numId="4">
    <w:abstractNumId w:val="4"/>
  </w:num>
  <w:num w:numId="5">
    <w:abstractNumId w:val="12"/>
  </w:num>
  <w:num w:numId="6">
    <w:abstractNumId w:val="1"/>
  </w:num>
  <w:num w:numId="7">
    <w:abstractNumId w:val="5"/>
  </w:num>
  <w:num w:numId="8">
    <w:abstractNumId w:val="10"/>
  </w:num>
  <w:num w:numId="9">
    <w:abstractNumId w:val="0"/>
  </w:num>
  <w:num w:numId="10">
    <w:abstractNumId w:val="13"/>
  </w:num>
  <w:num w:numId="11">
    <w:abstractNumId w:val="11"/>
  </w:num>
  <w:num w:numId="12">
    <w:abstractNumId w:val="7"/>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9CF"/>
    <w:rsid w:val="00016F6B"/>
    <w:rsid w:val="00034C86"/>
    <w:rsid w:val="00060A4C"/>
    <w:rsid w:val="000A0178"/>
    <w:rsid w:val="000A0C60"/>
    <w:rsid w:val="000D3EB6"/>
    <w:rsid w:val="000D5091"/>
    <w:rsid w:val="0010299C"/>
    <w:rsid w:val="00107604"/>
    <w:rsid w:val="00117EC2"/>
    <w:rsid w:val="001349EE"/>
    <w:rsid w:val="001403A4"/>
    <w:rsid w:val="001529CF"/>
    <w:rsid w:val="00186191"/>
    <w:rsid w:val="0019024E"/>
    <w:rsid w:val="001B34A9"/>
    <w:rsid w:val="001C591B"/>
    <w:rsid w:val="001D25F5"/>
    <w:rsid w:val="001F1C82"/>
    <w:rsid w:val="002035FC"/>
    <w:rsid w:val="00224C28"/>
    <w:rsid w:val="00242E2D"/>
    <w:rsid w:val="002560DD"/>
    <w:rsid w:val="00257F38"/>
    <w:rsid w:val="00266034"/>
    <w:rsid w:val="00294CCC"/>
    <w:rsid w:val="00296A0E"/>
    <w:rsid w:val="002C1AE1"/>
    <w:rsid w:val="002D4622"/>
    <w:rsid w:val="003155CF"/>
    <w:rsid w:val="00340777"/>
    <w:rsid w:val="003409AC"/>
    <w:rsid w:val="00346A94"/>
    <w:rsid w:val="00354B43"/>
    <w:rsid w:val="00386CB6"/>
    <w:rsid w:val="003D05FF"/>
    <w:rsid w:val="003F4ECC"/>
    <w:rsid w:val="003F74E6"/>
    <w:rsid w:val="00420145"/>
    <w:rsid w:val="00434261"/>
    <w:rsid w:val="00440556"/>
    <w:rsid w:val="004712FB"/>
    <w:rsid w:val="00492337"/>
    <w:rsid w:val="005158F5"/>
    <w:rsid w:val="00522194"/>
    <w:rsid w:val="0052410F"/>
    <w:rsid w:val="00525980"/>
    <w:rsid w:val="00576689"/>
    <w:rsid w:val="00592C79"/>
    <w:rsid w:val="005958F6"/>
    <w:rsid w:val="005A3E48"/>
    <w:rsid w:val="005B3D02"/>
    <w:rsid w:val="005B4D74"/>
    <w:rsid w:val="005D09E3"/>
    <w:rsid w:val="005E05A6"/>
    <w:rsid w:val="00600729"/>
    <w:rsid w:val="00605644"/>
    <w:rsid w:val="00640BFA"/>
    <w:rsid w:val="00642DB7"/>
    <w:rsid w:val="006859C2"/>
    <w:rsid w:val="00686AFA"/>
    <w:rsid w:val="006A52A9"/>
    <w:rsid w:val="006B0DF4"/>
    <w:rsid w:val="006D4147"/>
    <w:rsid w:val="006E5341"/>
    <w:rsid w:val="006F359A"/>
    <w:rsid w:val="007012DA"/>
    <w:rsid w:val="00703D75"/>
    <w:rsid w:val="00712E7D"/>
    <w:rsid w:val="00713780"/>
    <w:rsid w:val="007165F8"/>
    <w:rsid w:val="007312FB"/>
    <w:rsid w:val="007338FC"/>
    <w:rsid w:val="00734129"/>
    <w:rsid w:val="007667E9"/>
    <w:rsid w:val="007A4F4F"/>
    <w:rsid w:val="007B40BB"/>
    <w:rsid w:val="007D32C6"/>
    <w:rsid w:val="007E4835"/>
    <w:rsid w:val="007E7BCC"/>
    <w:rsid w:val="0081067B"/>
    <w:rsid w:val="008174BA"/>
    <w:rsid w:val="00823C98"/>
    <w:rsid w:val="00856F78"/>
    <w:rsid w:val="0085729B"/>
    <w:rsid w:val="00880F72"/>
    <w:rsid w:val="00892F30"/>
    <w:rsid w:val="008D2D74"/>
    <w:rsid w:val="008E7293"/>
    <w:rsid w:val="00912FFE"/>
    <w:rsid w:val="00913BA5"/>
    <w:rsid w:val="00944411"/>
    <w:rsid w:val="00950F18"/>
    <w:rsid w:val="009633C3"/>
    <w:rsid w:val="00963A53"/>
    <w:rsid w:val="00975729"/>
    <w:rsid w:val="009A45E9"/>
    <w:rsid w:val="009B3C49"/>
    <w:rsid w:val="009B5548"/>
    <w:rsid w:val="009C477A"/>
    <w:rsid w:val="009D4A4E"/>
    <w:rsid w:val="009D6B65"/>
    <w:rsid w:val="009D7478"/>
    <w:rsid w:val="00A313B9"/>
    <w:rsid w:val="00A609F7"/>
    <w:rsid w:val="00A72A98"/>
    <w:rsid w:val="00A74090"/>
    <w:rsid w:val="00A826F3"/>
    <w:rsid w:val="00A87B43"/>
    <w:rsid w:val="00AB6F80"/>
    <w:rsid w:val="00AC0043"/>
    <w:rsid w:val="00AD3305"/>
    <w:rsid w:val="00AD727F"/>
    <w:rsid w:val="00AE3E77"/>
    <w:rsid w:val="00AE6A91"/>
    <w:rsid w:val="00AF6AE8"/>
    <w:rsid w:val="00AF6E47"/>
    <w:rsid w:val="00B05924"/>
    <w:rsid w:val="00B1503E"/>
    <w:rsid w:val="00B67720"/>
    <w:rsid w:val="00B806B2"/>
    <w:rsid w:val="00B94968"/>
    <w:rsid w:val="00BB2576"/>
    <w:rsid w:val="00BB5140"/>
    <w:rsid w:val="00C06ED7"/>
    <w:rsid w:val="00C1591C"/>
    <w:rsid w:val="00C35C1B"/>
    <w:rsid w:val="00C44087"/>
    <w:rsid w:val="00C631D9"/>
    <w:rsid w:val="00C6548E"/>
    <w:rsid w:val="00C82511"/>
    <w:rsid w:val="00C97B9E"/>
    <w:rsid w:val="00CA0E94"/>
    <w:rsid w:val="00CB3381"/>
    <w:rsid w:val="00CC2088"/>
    <w:rsid w:val="00CD66A0"/>
    <w:rsid w:val="00D05176"/>
    <w:rsid w:val="00D142C8"/>
    <w:rsid w:val="00D217EC"/>
    <w:rsid w:val="00D21F7F"/>
    <w:rsid w:val="00D27841"/>
    <w:rsid w:val="00D331D5"/>
    <w:rsid w:val="00D40997"/>
    <w:rsid w:val="00D53A98"/>
    <w:rsid w:val="00D6767C"/>
    <w:rsid w:val="00D71AE2"/>
    <w:rsid w:val="00DC46D8"/>
    <w:rsid w:val="00E1449F"/>
    <w:rsid w:val="00E15DB3"/>
    <w:rsid w:val="00E37C68"/>
    <w:rsid w:val="00E54976"/>
    <w:rsid w:val="00EA2D2F"/>
    <w:rsid w:val="00EC4578"/>
    <w:rsid w:val="00ED6C5C"/>
    <w:rsid w:val="00EE3C7A"/>
    <w:rsid w:val="00EF0732"/>
    <w:rsid w:val="00EF6D65"/>
    <w:rsid w:val="00F2725A"/>
    <w:rsid w:val="00F3330B"/>
    <w:rsid w:val="00F558D9"/>
    <w:rsid w:val="00F56248"/>
    <w:rsid w:val="00F81C3D"/>
    <w:rsid w:val="00F8244F"/>
    <w:rsid w:val="00F96EA0"/>
    <w:rsid w:val="00FA4C23"/>
    <w:rsid w:val="00FB0D9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B29B80"/>
  <w15:docId w15:val="{5DC9483C-F331-40CC-B940-ED4F97F2A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Cs w:val="22"/>
        <w:lang w:val="en"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sz w:val="22"/>
    </w:rPr>
  </w:style>
  <w:style w:type="paragraph" w:styleId="Heading1">
    <w:name w:val="heading 1"/>
    <w:basedOn w:val="Normal"/>
    <w:qFormat/>
    <w:pPr>
      <w:keepNext/>
      <w:keepLines/>
      <w:spacing w:before="400" w:after="120" w:line="240" w:lineRule="auto"/>
      <w:outlineLvl w:val="0"/>
    </w:pPr>
    <w:rPr>
      <w:sz w:val="40"/>
      <w:szCs w:val="40"/>
    </w:rPr>
  </w:style>
  <w:style w:type="paragraph" w:styleId="Heading2">
    <w:name w:val="heading 2"/>
    <w:basedOn w:val="Normal"/>
    <w:qFormat/>
    <w:pPr>
      <w:keepNext/>
      <w:keepLines/>
      <w:spacing w:before="360" w:after="120" w:line="240" w:lineRule="auto"/>
      <w:outlineLvl w:val="1"/>
    </w:pPr>
    <w:rPr>
      <w:sz w:val="32"/>
      <w:szCs w:val="32"/>
    </w:rPr>
  </w:style>
  <w:style w:type="paragraph" w:styleId="Heading3">
    <w:name w:val="heading 3"/>
    <w:basedOn w:val="Normal"/>
    <w:qFormat/>
    <w:pPr>
      <w:keepNext/>
      <w:keepLines/>
      <w:spacing w:before="320" w:after="80" w:line="240" w:lineRule="auto"/>
      <w:outlineLvl w:val="2"/>
    </w:pPr>
    <w:rPr>
      <w:color w:val="434343"/>
      <w:sz w:val="28"/>
      <w:szCs w:val="28"/>
    </w:rPr>
  </w:style>
  <w:style w:type="paragraph" w:styleId="Heading4">
    <w:name w:val="heading 4"/>
    <w:basedOn w:val="Normal"/>
    <w:qFormat/>
    <w:pPr>
      <w:keepNext/>
      <w:keepLines/>
      <w:spacing w:before="280" w:after="80" w:line="240" w:lineRule="auto"/>
      <w:outlineLvl w:val="3"/>
    </w:pPr>
    <w:rPr>
      <w:color w:val="666666"/>
      <w:sz w:val="24"/>
      <w:szCs w:val="24"/>
    </w:rPr>
  </w:style>
  <w:style w:type="paragraph" w:styleId="Heading5">
    <w:name w:val="heading 5"/>
    <w:basedOn w:val="Normal"/>
    <w:qFormat/>
    <w:pPr>
      <w:keepNext/>
      <w:keepLines/>
      <w:spacing w:before="240" w:after="80" w:line="240" w:lineRule="auto"/>
      <w:outlineLvl w:val="4"/>
    </w:pPr>
    <w:rPr>
      <w:color w:val="666666"/>
    </w:rPr>
  </w:style>
  <w:style w:type="paragraph" w:styleId="Heading6">
    <w:name w:val="heading 6"/>
    <w:basedOn w:val="Normal"/>
    <w:qFormat/>
    <w:pPr>
      <w:keepNext/>
      <w:keepLines/>
      <w:spacing w:before="240" w:after="80" w:line="240" w:lineRule="auto"/>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qFormat/>
    <w:rPr>
      <w:sz w:val="20"/>
      <w:u w:val="none"/>
    </w:rPr>
  </w:style>
  <w:style w:type="character" w:customStyle="1" w:styleId="ListLabel2">
    <w:name w:val="ListLabel 2"/>
    <w:qFormat/>
    <w:rPr>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10">
    <w:name w:val="ListLabel 10"/>
    <w:qFormat/>
    <w:rPr>
      <w:sz w:val="20"/>
      <w:u w:val="none"/>
    </w:rPr>
  </w:style>
  <w:style w:type="character" w:customStyle="1" w:styleId="ListLabel11">
    <w:name w:val="ListLabel 11"/>
    <w:qFormat/>
    <w:rPr>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sz w:val="20"/>
      <w:u w:val="none"/>
    </w:rPr>
  </w:style>
  <w:style w:type="character" w:customStyle="1" w:styleId="ListLabel20">
    <w:name w:val="ListLabel 20"/>
    <w:qFormat/>
    <w:rPr>
      <w:u w:val="none"/>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28">
    <w:name w:val="ListLabel 28"/>
    <w:qFormat/>
    <w:rPr>
      <w:sz w:val="20"/>
      <w:u w:val="none"/>
    </w:rPr>
  </w:style>
  <w:style w:type="character" w:customStyle="1" w:styleId="ListLabel29">
    <w:name w:val="ListLabel 29"/>
    <w:qFormat/>
    <w:rPr>
      <w:u w:val="none"/>
    </w:rPr>
  </w:style>
  <w:style w:type="character" w:customStyle="1" w:styleId="ListLabel30">
    <w:name w:val="ListLabel 30"/>
    <w:qFormat/>
    <w:rPr>
      <w:u w:val="none"/>
    </w:rPr>
  </w:style>
  <w:style w:type="character" w:customStyle="1" w:styleId="ListLabel31">
    <w:name w:val="ListLabel 31"/>
    <w:qFormat/>
    <w:rPr>
      <w:u w:val="none"/>
    </w:rPr>
  </w:style>
  <w:style w:type="character" w:customStyle="1" w:styleId="ListLabel32">
    <w:name w:val="ListLabel 32"/>
    <w:qFormat/>
    <w:rPr>
      <w:u w:val="none"/>
    </w:rPr>
  </w:style>
  <w:style w:type="character" w:customStyle="1" w:styleId="ListLabel33">
    <w:name w:val="ListLabel 33"/>
    <w:qFormat/>
    <w:rPr>
      <w:u w:val="none"/>
    </w:rPr>
  </w:style>
  <w:style w:type="character" w:customStyle="1" w:styleId="ListLabel34">
    <w:name w:val="ListLabel 34"/>
    <w:qFormat/>
    <w:rPr>
      <w:u w:val="none"/>
    </w:rPr>
  </w:style>
  <w:style w:type="character" w:customStyle="1" w:styleId="ListLabel35">
    <w:name w:val="ListLabel 35"/>
    <w:qFormat/>
    <w:rPr>
      <w:u w:val="none"/>
    </w:rPr>
  </w:style>
  <w:style w:type="character" w:customStyle="1" w:styleId="ListLabel36">
    <w:name w:val="ListLabel 36"/>
    <w:qFormat/>
    <w:rPr>
      <w:u w:val="none"/>
    </w:rPr>
  </w:style>
  <w:style w:type="character" w:customStyle="1" w:styleId="ListLabel37">
    <w:name w:val="ListLabel 37"/>
    <w:qFormat/>
    <w:rPr>
      <w:sz w:val="20"/>
      <w:u w:val="none"/>
    </w:rPr>
  </w:style>
  <w:style w:type="character" w:customStyle="1" w:styleId="ListLabel38">
    <w:name w:val="ListLabel 38"/>
    <w:qFormat/>
    <w:rPr>
      <w:u w:val="none"/>
    </w:rPr>
  </w:style>
  <w:style w:type="character" w:customStyle="1" w:styleId="ListLabel39">
    <w:name w:val="ListLabel 39"/>
    <w:qFormat/>
    <w:rPr>
      <w:u w:val="none"/>
    </w:rPr>
  </w:style>
  <w:style w:type="character" w:customStyle="1" w:styleId="ListLabel40">
    <w:name w:val="ListLabel 40"/>
    <w:qFormat/>
    <w:rPr>
      <w:u w:val="none"/>
    </w:rPr>
  </w:style>
  <w:style w:type="character" w:customStyle="1" w:styleId="ListLabel41">
    <w:name w:val="ListLabel 41"/>
    <w:qFormat/>
    <w:rPr>
      <w:u w:val="none"/>
    </w:rPr>
  </w:style>
  <w:style w:type="character" w:customStyle="1" w:styleId="ListLabel42">
    <w:name w:val="ListLabel 42"/>
    <w:qFormat/>
    <w:rPr>
      <w:u w:val="none"/>
    </w:rPr>
  </w:style>
  <w:style w:type="character" w:customStyle="1" w:styleId="ListLabel43">
    <w:name w:val="ListLabel 43"/>
    <w:qFormat/>
    <w:rPr>
      <w:u w:val="none"/>
    </w:rPr>
  </w:style>
  <w:style w:type="character" w:customStyle="1" w:styleId="ListLabel44">
    <w:name w:val="ListLabel 44"/>
    <w:qFormat/>
    <w:rPr>
      <w:u w:val="none"/>
    </w:rPr>
  </w:style>
  <w:style w:type="character" w:customStyle="1" w:styleId="ListLabel45">
    <w:name w:val="ListLabel 45"/>
    <w:qFormat/>
    <w:rPr>
      <w:u w:val="none"/>
    </w:rPr>
  </w:style>
  <w:style w:type="character" w:customStyle="1" w:styleId="ListLabel46">
    <w:name w:val="ListLabel 46"/>
    <w:qFormat/>
    <w:rPr>
      <w:sz w:val="20"/>
      <w:u w:val="none"/>
    </w:rPr>
  </w:style>
  <w:style w:type="character" w:customStyle="1" w:styleId="ListLabel47">
    <w:name w:val="ListLabel 47"/>
    <w:qFormat/>
    <w:rPr>
      <w:u w:val="none"/>
    </w:rPr>
  </w:style>
  <w:style w:type="character" w:customStyle="1" w:styleId="ListLabel48">
    <w:name w:val="ListLabel 48"/>
    <w:qFormat/>
    <w:rPr>
      <w:u w:val="none"/>
    </w:rPr>
  </w:style>
  <w:style w:type="character" w:customStyle="1" w:styleId="ListLabel49">
    <w:name w:val="ListLabel 49"/>
    <w:qFormat/>
    <w:rPr>
      <w:u w:val="none"/>
    </w:rPr>
  </w:style>
  <w:style w:type="character" w:customStyle="1" w:styleId="ListLabel50">
    <w:name w:val="ListLabel 50"/>
    <w:qFormat/>
    <w:rPr>
      <w:u w:val="none"/>
    </w:rPr>
  </w:style>
  <w:style w:type="character" w:customStyle="1" w:styleId="ListLabel51">
    <w:name w:val="ListLabel 51"/>
    <w:qFormat/>
    <w:rPr>
      <w:u w:val="none"/>
    </w:rPr>
  </w:style>
  <w:style w:type="character" w:customStyle="1" w:styleId="ListLabel52">
    <w:name w:val="ListLabel 52"/>
    <w:qFormat/>
    <w:rPr>
      <w:u w:val="none"/>
    </w:rPr>
  </w:style>
  <w:style w:type="character" w:customStyle="1" w:styleId="ListLabel53">
    <w:name w:val="ListLabel 53"/>
    <w:qFormat/>
    <w:rPr>
      <w:u w:val="none"/>
    </w:rPr>
  </w:style>
  <w:style w:type="character" w:customStyle="1" w:styleId="ListLabel54">
    <w:name w:val="ListLabel 54"/>
    <w:qFormat/>
    <w:rPr>
      <w:u w:val="none"/>
    </w:rPr>
  </w:style>
  <w:style w:type="character" w:customStyle="1" w:styleId="ListLabel55">
    <w:name w:val="ListLabel 55"/>
    <w:qFormat/>
    <w:rPr>
      <w:sz w:val="20"/>
      <w:u w:val="none"/>
    </w:rPr>
  </w:style>
  <w:style w:type="character" w:customStyle="1" w:styleId="ListLabel56">
    <w:name w:val="ListLabel 56"/>
    <w:qFormat/>
    <w:rPr>
      <w:u w:val="none"/>
    </w:rPr>
  </w:style>
  <w:style w:type="character" w:customStyle="1" w:styleId="ListLabel57">
    <w:name w:val="ListLabel 57"/>
    <w:qFormat/>
    <w:rPr>
      <w:u w:val="none"/>
    </w:rPr>
  </w:style>
  <w:style w:type="character" w:customStyle="1" w:styleId="ListLabel58">
    <w:name w:val="ListLabel 58"/>
    <w:qFormat/>
    <w:rPr>
      <w:u w:val="none"/>
    </w:rPr>
  </w:style>
  <w:style w:type="character" w:customStyle="1" w:styleId="ListLabel59">
    <w:name w:val="ListLabel 59"/>
    <w:qFormat/>
    <w:rPr>
      <w:u w:val="none"/>
    </w:rPr>
  </w:style>
  <w:style w:type="character" w:customStyle="1" w:styleId="ListLabel60">
    <w:name w:val="ListLabel 60"/>
    <w:qFormat/>
    <w:rPr>
      <w:u w:val="none"/>
    </w:rPr>
  </w:style>
  <w:style w:type="character" w:customStyle="1" w:styleId="ListLabel61">
    <w:name w:val="ListLabel 61"/>
    <w:qFormat/>
    <w:rPr>
      <w:u w:val="none"/>
    </w:rPr>
  </w:style>
  <w:style w:type="character" w:customStyle="1" w:styleId="ListLabel62">
    <w:name w:val="ListLabel 62"/>
    <w:qFormat/>
    <w:rPr>
      <w:u w:val="none"/>
    </w:rPr>
  </w:style>
  <w:style w:type="character" w:customStyle="1" w:styleId="ListLabel63">
    <w:name w:val="ListLabel 63"/>
    <w:qFormat/>
    <w:rPr>
      <w:u w:val="none"/>
    </w:rPr>
  </w:style>
  <w:style w:type="character" w:customStyle="1" w:styleId="ListLabel64">
    <w:name w:val="ListLabel 64"/>
    <w:qFormat/>
    <w:rPr>
      <w:sz w:val="20"/>
      <w:u w:val="none"/>
    </w:rPr>
  </w:style>
  <w:style w:type="character" w:customStyle="1" w:styleId="ListLabel65">
    <w:name w:val="ListLabel 65"/>
    <w:qFormat/>
    <w:rPr>
      <w:u w:val="none"/>
    </w:rPr>
  </w:style>
  <w:style w:type="character" w:customStyle="1" w:styleId="ListLabel66">
    <w:name w:val="ListLabel 66"/>
    <w:qFormat/>
    <w:rPr>
      <w:u w:val="none"/>
    </w:rPr>
  </w:style>
  <w:style w:type="character" w:customStyle="1" w:styleId="ListLabel67">
    <w:name w:val="ListLabel 67"/>
    <w:qFormat/>
    <w:rPr>
      <w:u w:val="none"/>
    </w:rPr>
  </w:style>
  <w:style w:type="character" w:customStyle="1" w:styleId="ListLabel68">
    <w:name w:val="ListLabel 68"/>
    <w:qFormat/>
    <w:rPr>
      <w:u w:val="none"/>
    </w:rPr>
  </w:style>
  <w:style w:type="character" w:customStyle="1" w:styleId="ListLabel69">
    <w:name w:val="ListLabel 69"/>
    <w:qFormat/>
    <w:rPr>
      <w:u w:val="none"/>
    </w:rPr>
  </w:style>
  <w:style w:type="character" w:customStyle="1" w:styleId="ListLabel70">
    <w:name w:val="ListLabel 70"/>
    <w:qFormat/>
    <w:rPr>
      <w:u w:val="none"/>
    </w:rPr>
  </w:style>
  <w:style w:type="character" w:customStyle="1" w:styleId="ListLabel71">
    <w:name w:val="ListLabel 71"/>
    <w:qFormat/>
    <w:rPr>
      <w:u w:val="none"/>
    </w:rPr>
  </w:style>
  <w:style w:type="character" w:customStyle="1" w:styleId="ListLabel72">
    <w:name w:val="ListLabel 72"/>
    <w:qFormat/>
    <w:rPr>
      <w:u w:val="none"/>
    </w:rPr>
  </w:style>
  <w:style w:type="character" w:customStyle="1" w:styleId="ListLabel73">
    <w:name w:val="ListLabel 73"/>
    <w:qFormat/>
    <w:rPr>
      <w:sz w:val="20"/>
      <w:u w:val="none"/>
    </w:rPr>
  </w:style>
  <w:style w:type="character" w:customStyle="1" w:styleId="ListLabel74">
    <w:name w:val="ListLabel 74"/>
    <w:qFormat/>
    <w:rPr>
      <w:u w:val="none"/>
    </w:rPr>
  </w:style>
  <w:style w:type="character" w:customStyle="1" w:styleId="ListLabel75">
    <w:name w:val="ListLabel 75"/>
    <w:qFormat/>
    <w:rPr>
      <w:u w:val="none"/>
    </w:rPr>
  </w:style>
  <w:style w:type="character" w:customStyle="1" w:styleId="ListLabel76">
    <w:name w:val="ListLabel 76"/>
    <w:qFormat/>
    <w:rPr>
      <w:u w:val="none"/>
    </w:rPr>
  </w:style>
  <w:style w:type="character" w:customStyle="1" w:styleId="ListLabel77">
    <w:name w:val="ListLabel 77"/>
    <w:qFormat/>
    <w:rPr>
      <w:u w:val="none"/>
    </w:rPr>
  </w:style>
  <w:style w:type="character" w:customStyle="1" w:styleId="ListLabel78">
    <w:name w:val="ListLabel 78"/>
    <w:qFormat/>
    <w:rPr>
      <w:u w:val="none"/>
    </w:rPr>
  </w:style>
  <w:style w:type="character" w:customStyle="1" w:styleId="ListLabel79">
    <w:name w:val="ListLabel 79"/>
    <w:qFormat/>
    <w:rPr>
      <w:u w:val="none"/>
    </w:rPr>
  </w:style>
  <w:style w:type="character" w:customStyle="1" w:styleId="ListLabel80">
    <w:name w:val="ListLabel 80"/>
    <w:qFormat/>
    <w:rPr>
      <w:u w:val="none"/>
    </w:rPr>
  </w:style>
  <w:style w:type="character" w:customStyle="1" w:styleId="ListLabel81">
    <w:name w:val="ListLabel 81"/>
    <w:qFormat/>
    <w:rPr>
      <w:u w:val="none"/>
    </w:rPr>
  </w:style>
  <w:style w:type="character" w:customStyle="1" w:styleId="ListLabel82">
    <w:name w:val="ListLabel 82"/>
    <w:qFormat/>
    <w:rPr>
      <w:sz w:val="20"/>
      <w:u w:val="none"/>
    </w:rPr>
  </w:style>
  <w:style w:type="character" w:customStyle="1" w:styleId="ListLabel83">
    <w:name w:val="ListLabel 83"/>
    <w:qFormat/>
    <w:rPr>
      <w:u w:val="none"/>
    </w:rPr>
  </w:style>
  <w:style w:type="character" w:customStyle="1" w:styleId="ListLabel84">
    <w:name w:val="ListLabel 84"/>
    <w:qFormat/>
    <w:rPr>
      <w:u w:val="none"/>
    </w:rPr>
  </w:style>
  <w:style w:type="character" w:customStyle="1" w:styleId="ListLabel85">
    <w:name w:val="ListLabel 85"/>
    <w:qFormat/>
    <w:rPr>
      <w:u w:val="none"/>
    </w:rPr>
  </w:style>
  <w:style w:type="character" w:customStyle="1" w:styleId="ListLabel86">
    <w:name w:val="ListLabel 86"/>
    <w:qFormat/>
    <w:rPr>
      <w:u w:val="none"/>
    </w:rPr>
  </w:style>
  <w:style w:type="character" w:customStyle="1" w:styleId="ListLabel87">
    <w:name w:val="ListLabel 87"/>
    <w:qFormat/>
    <w:rPr>
      <w:u w:val="none"/>
    </w:rPr>
  </w:style>
  <w:style w:type="character" w:customStyle="1" w:styleId="ListLabel88">
    <w:name w:val="ListLabel 88"/>
    <w:qFormat/>
    <w:rPr>
      <w:u w:val="none"/>
    </w:rPr>
  </w:style>
  <w:style w:type="character" w:customStyle="1" w:styleId="ListLabel89">
    <w:name w:val="ListLabel 89"/>
    <w:qFormat/>
    <w:rPr>
      <w:u w:val="none"/>
    </w:rPr>
  </w:style>
  <w:style w:type="character" w:customStyle="1" w:styleId="ListLabel90">
    <w:name w:val="ListLabel 90"/>
    <w:qFormat/>
    <w:rPr>
      <w:u w:val="none"/>
    </w:rPr>
  </w:style>
  <w:style w:type="character" w:customStyle="1" w:styleId="ListLabel91">
    <w:name w:val="ListLabel 91"/>
    <w:qFormat/>
    <w:rPr>
      <w:sz w:val="20"/>
      <w:u w:val="none"/>
    </w:rPr>
  </w:style>
  <w:style w:type="character" w:customStyle="1" w:styleId="ListLabel92">
    <w:name w:val="ListLabel 92"/>
    <w:qFormat/>
    <w:rPr>
      <w:u w:val="none"/>
    </w:rPr>
  </w:style>
  <w:style w:type="character" w:customStyle="1" w:styleId="ListLabel93">
    <w:name w:val="ListLabel 93"/>
    <w:qFormat/>
    <w:rPr>
      <w:u w:val="none"/>
    </w:rPr>
  </w:style>
  <w:style w:type="character" w:customStyle="1" w:styleId="ListLabel94">
    <w:name w:val="ListLabel 94"/>
    <w:qFormat/>
    <w:rPr>
      <w:u w:val="none"/>
    </w:rPr>
  </w:style>
  <w:style w:type="character" w:customStyle="1" w:styleId="ListLabel95">
    <w:name w:val="ListLabel 95"/>
    <w:qFormat/>
    <w:rPr>
      <w:u w:val="none"/>
    </w:rPr>
  </w:style>
  <w:style w:type="character" w:customStyle="1" w:styleId="ListLabel96">
    <w:name w:val="ListLabel 96"/>
    <w:qFormat/>
    <w:rPr>
      <w:u w:val="none"/>
    </w:rPr>
  </w:style>
  <w:style w:type="character" w:customStyle="1" w:styleId="ListLabel97">
    <w:name w:val="ListLabel 97"/>
    <w:qFormat/>
    <w:rPr>
      <w:u w:val="none"/>
    </w:rPr>
  </w:style>
  <w:style w:type="character" w:customStyle="1" w:styleId="ListLabel98">
    <w:name w:val="ListLabel 98"/>
    <w:qFormat/>
    <w:rPr>
      <w:u w:val="none"/>
    </w:rPr>
  </w:style>
  <w:style w:type="character" w:customStyle="1" w:styleId="ListLabel99">
    <w:name w:val="ListLabel 99"/>
    <w:qFormat/>
    <w:rPr>
      <w:u w:val="none"/>
    </w:rPr>
  </w:style>
  <w:style w:type="character" w:customStyle="1" w:styleId="ListLabel100">
    <w:name w:val="ListLabel 100"/>
    <w:qFormat/>
    <w:rPr>
      <w:sz w:val="20"/>
      <w:u w:val="none"/>
    </w:rPr>
  </w:style>
  <w:style w:type="character" w:customStyle="1" w:styleId="ListLabel101">
    <w:name w:val="ListLabel 101"/>
    <w:qFormat/>
    <w:rPr>
      <w:u w:val="none"/>
    </w:rPr>
  </w:style>
  <w:style w:type="character" w:customStyle="1" w:styleId="ListLabel102">
    <w:name w:val="ListLabel 102"/>
    <w:qFormat/>
    <w:rPr>
      <w:u w:val="none"/>
    </w:rPr>
  </w:style>
  <w:style w:type="character" w:customStyle="1" w:styleId="ListLabel103">
    <w:name w:val="ListLabel 103"/>
    <w:qFormat/>
    <w:rPr>
      <w:u w:val="none"/>
    </w:rPr>
  </w:style>
  <w:style w:type="character" w:customStyle="1" w:styleId="ListLabel104">
    <w:name w:val="ListLabel 104"/>
    <w:qFormat/>
    <w:rPr>
      <w:u w:val="none"/>
    </w:rPr>
  </w:style>
  <w:style w:type="character" w:customStyle="1" w:styleId="ListLabel105">
    <w:name w:val="ListLabel 105"/>
    <w:qFormat/>
    <w:rPr>
      <w:u w:val="none"/>
    </w:rPr>
  </w:style>
  <w:style w:type="character" w:customStyle="1" w:styleId="ListLabel106">
    <w:name w:val="ListLabel 106"/>
    <w:qFormat/>
    <w:rPr>
      <w:u w:val="none"/>
    </w:rPr>
  </w:style>
  <w:style w:type="character" w:customStyle="1" w:styleId="ListLabel107">
    <w:name w:val="ListLabel 107"/>
    <w:qFormat/>
    <w:rPr>
      <w:u w:val="none"/>
    </w:rPr>
  </w:style>
  <w:style w:type="character" w:customStyle="1" w:styleId="ListLabel108">
    <w:name w:val="ListLabel 108"/>
    <w:qFormat/>
    <w:rPr>
      <w:u w:val="none"/>
    </w:rPr>
  </w:style>
  <w:style w:type="character" w:customStyle="1" w:styleId="ListLabel109">
    <w:name w:val="ListLabel 109"/>
    <w:qFormat/>
    <w:rPr>
      <w:sz w:val="20"/>
      <w:u w:val="none"/>
    </w:rPr>
  </w:style>
  <w:style w:type="character" w:customStyle="1" w:styleId="ListLabel110">
    <w:name w:val="ListLabel 110"/>
    <w:qFormat/>
    <w:rPr>
      <w:u w:val="none"/>
    </w:rPr>
  </w:style>
  <w:style w:type="character" w:customStyle="1" w:styleId="ListLabel111">
    <w:name w:val="ListLabel 111"/>
    <w:qFormat/>
    <w:rPr>
      <w:u w:val="none"/>
    </w:rPr>
  </w:style>
  <w:style w:type="character" w:customStyle="1" w:styleId="ListLabel112">
    <w:name w:val="ListLabel 112"/>
    <w:qFormat/>
    <w:rPr>
      <w:u w:val="none"/>
    </w:rPr>
  </w:style>
  <w:style w:type="character" w:customStyle="1" w:styleId="ListLabel113">
    <w:name w:val="ListLabel 113"/>
    <w:qFormat/>
    <w:rPr>
      <w:u w:val="none"/>
    </w:rPr>
  </w:style>
  <w:style w:type="character" w:customStyle="1" w:styleId="ListLabel114">
    <w:name w:val="ListLabel 114"/>
    <w:qFormat/>
    <w:rPr>
      <w:u w:val="none"/>
    </w:rPr>
  </w:style>
  <w:style w:type="character" w:customStyle="1" w:styleId="ListLabel115">
    <w:name w:val="ListLabel 115"/>
    <w:qFormat/>
    <w:rPr>
      <w:u w:val="none"/>
    </w:rPr>
  </w:style>
  <w:style w:type="character" w:customStyle="1" w:styleId="ListLabel116">
    <w:name w:val="ListLabel 116"/>
    <w:qFormat/>
    <w:rPr>
      <w:u w:val="none"/>
    </w:rPr>
  </w:style>
  <w:style w:type="character" w:customStyle="1" w:styleId="ListLabel117">
    <w:name w:val="ListLabel 117"/>
    <w:qFormat/>
    <w:rPr>
      <w:u w:val="none"/>
    </w:rPr>
  </w:style>
  <w:style w:type="character" w:customStyle="1" w:styleId="ListLabel118">
    <w:name w:val="ListLabel 118"/>
    <w:qFormat/>
    <w:rPr>
      <w:b w:val="0"/>
      <w:color w:val="000000"/>
      <w:u w:val="none"/>
      <w:vertAlign w:val="superscript"/>
    </w:rPr>
  </w:style>
  <w:style w:type="character" w:customStyle="1" w:styleId="InternetLink">
    <w:name w:val="Internet Link"/>
    <w:rPr>
      <w:color w:val="000080"/>
      <w:u w:val="single"/>
    </w:rPr>
  </w:style>
  <w:style w:type="character" w:customStyle="1" w:styleId="ListLabel119">
    <w:name w:val="ListLabel 119"/>
    <w:qFormat/>
    <w:rPr>
      <w:color w:val="1155CC"/>
      <w:u w:val="single"/>
    </w:rPr>
  </w:style>
  <w:style w:type="character" w:customStyle="1" w:styleId="ListLabel120">
    <w:name w:val="ListLabel 120"/>
    <w:qFormat/>
    <w:rPr>
      <w:color w:val="1155CC"/>
      <w:sz w:val="20"/>
      <w:szCs w:val="20"/>
      <w:u w:val="single"/>
    </w:rPr>
  </w:style>
  <w:style w:type="character" w:customStyle="1" w:styleId="ListLabel121">
    <w:name w:val="ListLabel 121"/>
    <w:qFormat/>
    <w:rPr>
      <w:b w:val="0"/>
      <w:color w:val="000000"/>
      <w:sz w:val="20"/>
      <w:szCs w:val="20"/>
      <w:u w:val="none"/>
      <w:vertAlign w:val="superscript"/>
    </w:rPr>
  </w:style>
  <w:style w:type="character" w:customStyle="1" w:styleId="ListLabel122">
    <w:name w:val="ListLabel 122"/>
    <w:qFormat/>
    <w:rPr>
      <w:b w:val="0"/>
      <w:i w:val="0"/>
      <w:color w:val="000000"/>
      <w:sz w:val="22"/>
      <w:szCs w:val="22"/>
      <w:u w:val="none"/>
    </w:rPr>
  </w:style>
  <w:style w:type="character" w:customStyle="1" w:styleId="ListLabel123">
    <w:name w:val="ListLabel 123"/>
    <w:qFormat/>
    <w:rPr>
      <w:b w:val="0"/>
      <w:i/>
      <w:color w:val="000000"/>
      <w:sz w:val="22"/>
      <w:szCs w:val="22"/>
      <w:u w:val="none"/>
    </w:rPr>
  </w:style>
  <w:style w:type="character" w:customStyle="1" w:styleId="ListLabel124">
    <w:name w:val="ListLabel 124"/>
    <w:qFormat/>
    <w:rPr>
      <w:b/>
      <w:i w:val="0"/>
      <w:color w:val="000000"/>
      <w:sz w:val="22"/>
      <w:szCs w:val="22"/>
      <w:u w:val="none"/>
    </w:rPr>
  </w:style>
  <w:style w:type="character" w:customStyle="1" w:styleId="ListLabel125">
    <w:name w:val="ListLabel 125"/>
    <w:qFormat/>
    <w:rPr>
      <w:rFonts w:cs="OpenSymbol"/>
      <w:sz w:val="20"/>
      <w:u w:val="none"/>
    </w:rPr>
  </w:style>
  <w:style w:type="character" w:customStyle="1" w:styleId="ListLabel126">
    <w:name w:val="ListLabel 126"/>
    <w:qFormat/>
    <w:rPr>
      <w:rFonts w:cs="OpenSymbol"/>
      <w:u w:val="none"/>
    </w:rPr>
  </w:style>
  <w:style w:type="character" w:customStyle="1" w:styleId="ListLabel127">
    <w:name w:val="ListLabel 127"/>
    <w:qFormat/>
    <w:rPr>
      <w:rFonts w:cs="OpenSymbol"/>
      <w:u w:val="none"/>
    </w:rPr>
  </w:style>
  <w:style w:type="character" w:customStyle="1" w:styleId="ListLabel128">
    <w:name w:val="ListLabel 128"/>
    <w:qFormat/>
    <w:rPr>
      <w:rFonts w:cs="OpenSymbol"/>
      <w:u w:val="none"/>
    </w:rPr>
  </w:style>
  <w:style w:type="character" w:customStyle="1" w:styleId="ListLabel129">
    <w:name w:val="ListLabel 129"/>
    <w:qFormat/>
    <w:rPr>
      <w:rFonts w:cs="OpenSymbol"/>
      <w:u w:val="none"/>
    </w:rPr>
  </w:style>
  <w:style w:type="character" w:customStyle="1" w:styleId="ListLabel130">
    <w:name w:val="ListLabel 130"/>
    <w:qFormat/>
    <w:rPr>
      <w:rFonts w:cs="OpenSymbol"/>
      <w:u w:val="none"/>
    </w:rPr>
  </w:style>
  <w:style w:type="character" w:customStyle="1" w:styleId="ListLabel131">
    <w:name w:val="ListLabel 131"/>
    <w:qFormat/>
    <w:rPr>
      <w:rFonts w:cs="OpenSymbol"/>
      <w:u w:val="none"/>
    </w:rPr>
  </w:style>
  <w:style w:type="character" w:customStyle="1" w:styleId="ListLabel132">
    <w:name w:val="ListLabel 132"/>
    <w:qFormat/>
    <w:rPr>
      <w:rFonts w:cs="OpenSymbol"/>
      <w:u w:val="none"/>
    </w:rPr>
  </w:style>
  <w:style w:type="character" w:customStyle="1" w:styleId="ListLabel133">
    <w:name w:val="ListLabel 133"/>
    <w:qFormat/>
    <w:rPr>
      <w:rFonts w:cs="OpenSymbol"/>
      <w:u w:val="none"/>
    </w:rPr>
  </w:style>
  <w:style w:type="character" w:customStyle="1" w:styleId="ListLabel134">
    <w:name w:val="ListLabel 134"/>
    <w:qFormat/>
    <w:rPr>
      <w:rFonts w:cs="OpenSymbol"/>
      <w:sz w:val="20"/>
      <w:u w:val="none"/>
    </w:rPr>
  </w:style>
  <w:style w:type="character" w:customStyle="1" w:styleId="ListLabel135">
    <w:name w:val="ListLabel 135"/>
    <w:qFormat/>
    <w:rPr>
      <w:rFonts w:cs="OpenSymbol"/>
      <w:u w:val="none"/>
    </w:rPr>
  </w:style>
  <w:style w:type="character" w:customStyle="1" w:styleId="ListLabel136">
    <w:name w:val="ListLabel 136"/>
    <w:qFormat/>
    <w:rPr>
      <w:rFonts w:cs="OpenSymbol"/>
      <w:u w:val="none"/>
    </w:rPr>
  </w:style>
  <w:style w:type="character" w:customStyle="1" w:styleId="ListLabel137">
    <w:name w:val="ListLabel 137"/>
    <w:qFormat/>
    <w:rPr>
      <w:rFonts w:cs="OpenSymbol"/>
      <w:u w:val="none"/>
    </w:rPr>
  </w:style>
  <w:style w:type="character" w:customStyle="1" w:styleId="ListLabel138">
    <w:name w:val="ListLabel 138"/>
    <w:qFormat/>
    <w:rPr>
      <w:rFonts w:cs="OpenSymbol"/>
      <w:u w:val="none"/>
    </w:rPr>
  </w:style>
  <w:style w:type="character" w:customStyle="1" w:styleId="ListLabel139">
    <w:name w:val="ListLabel 139"/>
    <w:qFormat/>
    <w:rPr>
      <w:rFonts w:cs="OpenSymbol"/>
      <w:u w:val="none"/>
    </w:rPr>
  </w:style>
  <w:style w:type="character" w:customStyle="1" w:styleId="ListLabel140">
    <w:name w:val="ListLabel 140"/>
    <w:qFormat/>
    <w:rPr>
      <w:rFonts w:cs="OpenSymbol"/>
      <w:u w:val="none"/>
    </w:rPr>
  </w:style>
  <w:style w:type="character" w:customStyle="1" w:styleId="ListLabel141">
    <w:name w:val="ListLabel 141"/>
    <w:qFormat/>
    <w:rPr>
      <w:rFonts w:cs="OpenSymbol"/>
      <w:u w:val="none"/>
    </w:rPr>
  </w:style>
  <w:style w:type="character" w:customStyle="1" w:styleId="ListLabel142">
    <w:name w:val="ListLabel 142"/>
    <w:qFormat/>
    <w:rPr>
      <w:rFonts w:cs="OpenSymbol"/>
      <w:u w:val="none"/>
    </w:rPr>
  </w:style>
  <w:style w:type="character" w:customStyle="1" w:styleId="ListLabel143">
    <w:name w:val="ListLabel 143"/>
    <w:qFormat/>
    <w:rPr>
      <w:rFonts w:cs="OpenSymbol"/>
      <w:sz w:val="20"/>
      <w:u w:val="none"/>
    </w:rPr>
  </w:style>
  <w:style w:type="character" w:customStyle="1" w:styleId="ListLabel144">
    <w:name w:val="ListLabel 144"/>
    <w:qFormat/>
    <w:rPr>
      <w:rFonts w:cs="OpenSymbol"/>
      <w:u w:val="none"/>
    </w:rPr>
  </w:style>
  <w:style w:type="character" w:customStyle="1" w:styleId="ListLabel145">
    <w:name w:val="ListLabel 145"/>
    <w:qFormat/>
    <w:rPr>
      <w:rFonts w:cs="OpenSymbol"/>
      <w:u w:val="none"/>
    </w:rPr>
  </w:style>
  <w:style w:type="character" w:customStyle="1" w:styleId="ListLabel146">
    <w:name w:val="ListLabel 146"/>
    <w:qFormat/>
    <w:rPr>
      <w:rFonts w:cs="OpenSymbol"/>
      <w:u w:val="none"/>
    </w:rPr>
  </w:style>
  <w:style w:type="character" w:customStyle="1" w:styleId="ListLabel147">
    <w:name w:val="ListLabel 147"/>
    <w:qFormat/>
    <w:rPr>
      <w:rFonts w:cs="OpenSymbol"/>
      <w:u w:val="none"/>
    </w:rPr>
  </w:style>
  <w:style w:type="character" w:customStyle="1" w:styleId="ListLabel148">
    <w:name w:val="ListLabel 148"/>
    <w:qFormat/>
    <w:rPr>
      <w:rFonts w:cs="OpenSymbol"/>
      <w:u w:val="none"/>
    </w:rPr>
  </w:style>
  <w:style w:type="character" w:customStyle="1" w:styleId="ListLabel149">
    <w:name w:val="ListLabel 149"/>
    <w:qFormat/>
    <w:rPr>
      <w:rFonts w:cs="OpenSymbol"/>
      <w:u w:val="none"/>
    </w:rPr>
  </w:style>
  <w:style w:type="character" w:customStyle="1" w:styleId="ListLabel150">
    <w:name w:val="ListLabel 150"/>
    <w:qFormat/>
    <w:rPr>
      <w:rFonts w:cs="OpenSymbol"/>
      <w:u w:val="none"/>
    </w:rPr>
  </w:style>
  <w:style w:type="character" w:customStyle="1" w:styleId="ListLabel151">
    <w:name w:val="ListLabel 151"/>
    <w:qFormat/>
    <w:rPr>
      <w:rFonts w:cs="OpenSymbol"/>
      <w:u w:val="none"/>
    </w:rPr>
  </w:style>
  <w:style w:type="character" w:customStyle="1" w:styleId="ListLabel152">
    <w:name w:val="ListLabel 152"/>
    <w:qFormat/>
    <w:rPr>
      <w:rFonts w:cs="OpenSymbol"/>
      <w:sz w:val="20"/>
      <w:u w:val="none"/>
    </w:rPr>
  </w:style>
  <w:style w:type="character" w:customStyle="1" w:styleId="ListLabel153">
    <w:name w:val="ListLabel 153"/>
    <w:qFormat/>
    <w:rPr>
      <w:rFonts w:cs="OpenSymbol"/>
      <w:u w:val="none"/>
    </w:rPr>
  </w:style>
  <w:style w:type="character" w:customStyle="1" w:styleId="ListLabel154">
    <w:name w:val="ListLabel 154"/>
    <w:qFormat/>
    <w:rPr>
      <w:rFonts w:cs="OpenSymbol"/>
      <w:u w:val="none"/>
    </w:rPr>
  </w:style>
  <w:style w:type="character" w:customStyle="1" w:styleId="ListLabel155">
    <w:name w:val="ListLabel 155"/>
    <w:qFormat/>
    <w:rPr>
      <w:rFonts w:cs="OpenSymbol"/>
      <w:u w:val="none"/>
    </w:rPr>
  </w:style>
  <w:style w:type="character" w:customStyle="1" w:styleId="ListLabel156">
    <w:name w:val="ListLabel 156"/>
    <w:qFormat/>
    <w:rPr>
      <w:rFonts w:cs="OpenSymbol"/>
      <w:u w:val="none"/>
    </w:rPr>
  </w:style>
  <w:style w:type="character" w:customStyle="1" w:styleId="ListLabel157">
    <w:name w:val="ListLabel 157"/>
    <w:qFormat/>
    <w:rPr>
      <w:rFonts w:cs="OpenSymbol"/>
      <w:u w:val="none"/>
    </w:rPr>
  </w:style>
  <w:style w:type="character" w:customStyle="1" w:styleId="ListLabel158">
    <w:name w:val="ListLabel 158"/>
    <w:qFormat/>
    <w:rPr>
      <w:rFonts w:cs="OpenSymbol"/>
      <w:u w:val="none"/>
    </w:rPr>
  </w:style>
  <w:style w:type="character" w:customStyle="1" w:styleId="ListLabel159">
    <w:name w:val="ListLabel 159"/>
    <w:qFormat/>
    <w:rPr>
      <w:rFonts w:cs="OpenSymbol"/>
      <w:u w:val="none"/>
    </w:rPr>
  </w:style>
  <w:style w:type="character" w:customStyle="1" w:styleId="ListLabel160">
    <w:name w:val="ListLabel 160"/>
    <w:qFormat/>
    <w:rPr>
      <w:rFonts w:cs="OpenSymbol"/>
      <w:u w:val="none"/>
    </w:rPr>
  </w:style>
  <w:style w:type="character" w:customStyle="1" w:styleId="ListLabel161">
    <w:name w:val="ListLabel 161"/>
    <w:qFormat/>
    <w:rPr>
      <w:rFonts w:cs="OpenSymbol"/>
      <w:sz w:val="20"/>
      <w:u w:val="none"/>
    </w:rPr>
  </w:style>
  <w:style w:type="character" w:customStyle="1" w:styleId="ListLabel162">
    <w:name w:val="ListLabel 162"/>
    <w:qFormat/>
    <w:rPr>
      <w:rFonts w:cs="OpenSymbol"/>
      <w:u w:val="none"/>
    </w:rPr>
  </w:style>
  <w:style w:type="character" w:customStyle="1" w:styleId="ListLabel163">
    <w:name w:val="ListLabel 163"/>
    <w:qFormat/>
    <w:rPr>
      <w:rFonts w:cs="OpenSymbol"/>
      <w:u w:val="none"/>
    </w:rPr>
  </w:style>
  <w:style w:type="character" w:customStyle="1" w:styleId="ListLabel164">
    <w:name w:val="ListLabel 164"/>
    <w:qFormat/>
    <w:rPr>
      <w:rFonts w:cs="OpenSymbol"/>
      <w:u w:val="none"/>
    </w:rPr>
  </w:style>
  <w:style w:type="character" w:customStyle="1" w:styleId="ListLabel165">
    <w:name w:val="ListLabel 165"/>
    <w:qFormat/>
    <w:rPr>
      <w:rFonts w:cs="OpenSymbol"/>
      <w:u w:val="none"/>
    </w:rPr>
  </w:style>
  <w:style w:type="character" w:customStyle="1" w:styleId="ListLabel166">
    <w:name w:val="ListLabel 166"/>
    <w:qFormat/>
    <w:rPr>
      <w:rFonts w:cs="OpenSymbol"/>
      <w:u w:val="none"/>
    </w:rPr>
  </w:style>
  <w:style w:type="character" w:customStyle="1" w:styleId="ListLabel167">
    <w:name w:val="ListLabel 167"/>
    <w:qFormat/>
    <w:rPr>
      <w:rFonts w:cs="OpenSymbol"/>
      <w:u w:val="none"/>
    </w:rPr>
  </w:style>
  <w:style w:type="character" w:customStyle="1" w:styleId="ListLabel168">
    <w:name w:val="ListLabel 168"/>
    <w:qFormat/>
    <w:rPr>
      <w:rFonts w:cs="OpenSymbol"/>
      <w:u w:val="none"/>
    </w:rPr>
  </w:style>
  <w:style w:type="character" w:customStyle="1" w:styleId="ListLabel169">
    <w:name w:val="ListLabel 169"/>
    <w:qFormat/>
    <w:rPr>
      <w:rFonts w:cs="OpenSymbol"/>
      <w:u w:val="none"/>
    </w:rPr>
  </w:style>
  <w:style w:type="character" w:customStyle="1" w:styleId="ListLabel170">
    <w:name w:val="ListLabel 170"/>
    <w:qFormat/>
    <w:rPr>
      <w:rFonts w:cs="OpenSymbol"/>
      <w:sz w:val="20"/>
      <w:u w:val="none"/>
    </w:rPr>
  </w:style>
  <w:style w:type="character" w:customStyle="1" w:styleId="ListLabel171">
    <w:name w:val="ListLabel 171"/>
    <w:qFormat/>
    <w:rPr>
      <w:rFonts w:cs="OpenSymbol"/>
      <w:u w:val="none"/>
    </w:rPr>
  </w:style>
  <w:style w:type="character" w:customStyle="1" w:styleId="ListLabel172">
    <w:name w:val="ListLabel 172"/>
    <w:qFormat/>
    <w:rPr>
      <w:rFonts w:cs="OpenSymbol"/>
      <w:u w:val="none"/>
    </w:rPr>
  </w:style>
  <w:style w:type="character" w:customStyle="1" w:styleId="ListLabel173">
    <w:name w:val="ListLabel 173"/>
    <w:qFormat/>
    <w:rPr>
      <w:rFonts w:cs="OpenSymbol"/>
      <w:u w:val="none"/>
    </w:rPr>
  </w:style>
  <w:style w:type="character" w:customStyle="1" w:styleId="ListLabel174">
    <w:name w:val="ListLabel 174"/>
    <w:qFormat/>
    <w:rPr>
      <w:rFonts w:cs="OpenSymbol"/>
      <w:u w:val="none"/>
    </w:rPr>
  </w:style>
  <w:style w:type="character" w:customStyle="1" w:styleId="ListLabel175">
    <w:name w:val="ListLabel 175"/>
    <w:qFormat/>
    <w:rPr>
      <w:rFonts w:cs="OpenSymbol"/>
      <w:u w:val="none"/>
    </w:rPr>
  </w:style>
  <w:style w:type="character" w:customStyle="1" w:styleId="ListLabel176">
    <w:name w:val="ListLabel 176"/>
    <w:qFormat/>
    <w:rPr>
      <w:rFonts w:cs="OpenSymbol"/>
      <w:u w:val="none"/>
    </w:rPr>
  </w:style>
  <w:style w:type="character" w:customStyle="1" w:styleId="ListLabel177">
    <w:name w:val="ListLabel 177"/>
    <w:qFormat/>
    <w:rPr>
      <w:rFonts w:cs="OpenSymbol"/>
      <w:u w:val="none"/>
    </w:rPr>
  </w:style>
  <w:style w:type="character" w:customStyle="1" w:styleId="ListLabel178">
    <w:name w:val="ListLabel 178"/>
    <w:qFormat/>
    <w:rPr>
      <w:rFonts w:cs="OpenSymbol"/>
      <w:u w:val="none"/>
    </w:rPr>
  </w:style>
  <w:style w:type="character" w:customStyle="1" w:styleId="ListLabel179">
    <w:name w:val="ListLabel 179"/>
    <w:qFormat/>
    <w:rPr>
      <w:rFonts w:cs="OpenSymbol"/>
      <w:sz w:val="20"/>
      <w:u w:val="none"/>
    </w:rPr>
  </w:style>
  <w:style w:type="character" w:customStyle="1" w:styleId="ListLabel180">
    <w:name w:val="ListLabel 180"/>
    <w:qFormat/>
    <w:rPr>
      <w:rFonts w:cs="OpenSymbol"/>
      <w:u w:val="none"/>
    </w:rPr>
  </w:style>
  <w:style w:type="character" w:customStyle="1" w:styleId="ListLabel181">
    <w:name w:val="ListLabel 181"/>
    <w:qFormat/>
    <w:rPr>
      <w:rFonts w:cs="OpenSymbol"/>
      <w:u w:val="none"/>
    </w:rPr>
  </w:style>
  <w:style w:type="character" w:customStyle="1" w:styleId="ListLabel182">
    <w:name w:val="ListLabel 182"/>
    <w:qFormat/>
    <w:rPr>
      <w:rFonts w:cs="OpenSymbol"/>
      <w:u w:val="none"/>
    </w:rPr>
  </w:style>
  <w:style w:type="character" w:customStyle="1" w:styleId="ListLabel183">
    <w:name w:val="ListLabel 183"/>
    <w:qFormat/>
    <w:rPr>
      <w:rFonts w:cs="OpenSymbol"/>
      <w:u w:val="none"/>
    </w:rPr>
  </w:style>
  <w:style w:type="character" w:customStyle="1" w:styleId="ListLabel184">
    <w:name w:val="ListLabel 184"/>
    <w:qFormat/>
    <w:rPr>
      <w:rFonts w:cs="OpenSymbol"/>
      <w:u w:val="none"/>
    </w:rPr>
  </w:style>
  <w:style w:type="character" w:customStyle="1" w:styleId="ListLabel185">
    <w:name w:val="ListLabel 185"/>
    <w:qFormat/>
    <w:rPr>
      <w:rFonts w:cs="OpenSymbol"/>
      <w:u w:val="none"/>
    </w:rPr>
  </w:style>
  <w:style w:type="character" w:customStyle="1" w:styleId="ListLabel186">
    <w:name w:val="ListLabel 186"/>
    <w:qFormat/>
    <w:rPr>
      <w:rFonts w:cs="OpenSymbol"/>
      <w:u w:val="none"/>
    </w:rPr>
  </w:style>
  <w:style w:type="character" w:customStyle="1" w:styleId="ListLabel187">
    <w:name w:val="ListLabel 187"/>
    <w:qFormat/>
    <w:rPr>
      <w:rFonts w:cs="OpenSymbol"/>
      <w:u w:val="none"/>
    </w:rPr>
  </w:style>
  <w:style w:type="character" w:customStyle="1" w:styleId="ListLabel188">
    <w:name w:val="ListLabel 188"/>
    <w:qFormat/>
    <w:rPr>
      <w:rFonts w:cs="OpenSymbol"/>
      <w:sz w:val="20"/>
      <w:u w:val="none"/>
    </w:rPr>
  </w:style>
  <w:style w:type="character" w:customStyle="1" w:styleId="ListLabel189">
    <w:name w:val="ListLabel 189"/>
    <w:qFormat/>
    <w:rPr>
      <w:rFonts w:cs="OpenSymbol"/>
      <w:u w:val="none"/>
    </w:rPr>
  </w:style>
  <w:style w:type="character" w:customStyle="1" w:styleId="ListLabel190">
    <w:name w:val="ListLabel 190"/>
    <w:qFormat/>
    <w:rPr>
      <w:rFonts w:cs="OpenSymbol"/>
      <w:u w:val="none"/>
    </w:rPr>
  </w:style>
  <w:style w:type="character" w:customStyle="1" w:styleId="ListLabel191">
    <w:name w:val="ListLabel 191"/>
    <w:qFormat/>
    <w:rPr>
      <w:rFonts w:cs="OpenSymbol"/>
      <w:u w:val="none"/>
    </w:rPr>
  </w:style>
  <w:style w:type="character" w:customStyle="1" w:styleId="ListLabel192">
    <w:name w:val="ListLabel 192"/>
    <w:qFormat/>
    <w:rPr>
      <w:rFonts w:cs="OpenSymbol"/>
      <w:u w:val="none"/>
    </w:rPr>
  </w:style>
  <w:style w:type="character" w:customStyle="1" w:styleId="ListLabel193">
    <w:name w:val="ListLabel 193"/>
    <w:qFormat/>
    <w:rPr>
      <w:rFonts w:cs="OpenSymbol"/>
      <w:u w:val="none"/>
    </w:rPr>
  </w:style>
  <w:style w:type="character" w:customStyle="1" w:styleId="ListLabel194">
    <w:name w:val="ListLabel 194"/>
    <w:qFormat/>
    <w:rPr>
      <w:rFonts w:cs="OpenSymbol"/>
      <w:u w:val="none"/>
    </w:rPr>
  </w:style>
  <w:style w:type="character" w:customStyle="1" w:styleId="ListLabel195">
    <w:name w:val="ListLabel 195"/>
    <w:qFormat/>
    <w:rPr>
      <w:rFonts w:cs="OpenSymbol"/>
      <w:u w:val="none"/>
    </w:rPr>
  </w:style>
  <w:style w:type="character" w:customStyle="1" w:styleId="ListLabel196">
    <w:name w:val="ListLabel 196"/>
    <w:qFormat/>
    <w:rPr>
      <w:rFonts w:cs="OpenSymbol"/>
      <w:u w:val="none"/>
    </w:rPr>
  </w:style>
  <w:style w:type="character" w:customStyle="1" w:styleId="ListLabel197">
    <w:name w:val="ListLabel 197"/>
    <w:qFormat/>
    <w:rPr>
      <w:rFonts w:cs="OpenSymbol"/>
      <w:sz w:val="20"/>
      <w:u w:val="none"/>
    </w:rPr>
  </w:style>
  <w:style w:type="character" w:customStyle="1" w:styleId="ListLabel198">
    <w:name w:val="ListLabel 198"/>
    <w:qFormat/>
    <w:rPr>
      <w:rFonts w:cs="OpenSymbol"/>
      <w:u w:val="none"/>
    </w:rPr>
  </w:style>
  <w:style w:type="character" w:customStyle="1" w:styleId="ListLabel199">
    <w:name w:val="ListLabel 199"/>
    <w:qFormat/>
    <w:rPr>
      <w:rFonts w:cs="OpenSymbol"/>
      <w:u w:val="none"/>
    </w:rPr>
  </w:style>
  <w:style w:type="character" w:customStyle="1" w:styleId="ListLabel200">
    <w:name w:val="ListLabel 200"/>
    <w:qFormat/>
    <w:rPr>
      <w:rFonts w:cs="OpenSymbol"/>
      <w:u w:val="none"/>
    </w:rPr>
  </w:style>
  <w:style w:type="character" w:customStyle="1" w:styleId="ListLabel201">
    <w:name w:val="ListLabel 201"/>
    <w:qFormat/>
    <w:rPr>
      <w:rFonts w:cs="OpenSymbol"/>
      <w:u w:val="none"/>
    </w:rPr>
  </w:style>
  <w:style w:type="character" w:customStyle="1" w:styleId="ListLabel202">
    <w:name w:val="ListLabel 202"/>
    <w:qFormat/>
    <w:rPr>
      <w:rFonts w:cs="OpenSymbol"/>
      <w:u w:val="none"/>
    </w:rPr>
  </w:style>
  <w:style w:type="character" w:customStyle="1" w:styleId="ListLabel203">
    <w:name w:val="ListLabel 203"/>
    <w:qFormat/>
    <w:rPr>
      <w:rFonts w:cs="OpenSymbol"/>
      <w:u w:val="none"/>
    </w:rPr>
  </w:style>
  <w:style w:type="character" w:customStyle="1" w:styleId="ListLabel204">
    <w:name w:val="ListLabel 204"/>
    <w:qFormat/>
    <w:rPr>
      <w:rFonts w:cs="OpenSymbol"/>
      <w:u w:val="none"/>
    </w:rPr>
  </w:style>
  <w:style w:type="character" w:customStyle="1" w:styleId="ListLabel205">
    <w:name w:val="ListLabel 205"/>
    <w:qFormat/>
    <w:rPr>
      <w:rFonts w:cs="OpenSymbol"/>
      <w:u w:val="none"/>
    </w:rPr>
  </w:style>
  <w:style w:type="character" w:customStyle="1" w:styleId="ListLabel206">
    <w:name w:val="ListLabel 206"/>
    <w:qFormat/>
    <w:rPr>
      <w:rFonts w:cs="OpenSymbol"/>
      <w:sz w:val="20"/>
      <w:u w:val="none"/>
    </w:rPr>
  </w:style>
  <w:style w:type="character" w:customStyle="1" w:styleId="ListLabel207">
    <w:name w:val="ListLabel 207"/>
    <w:qFormat/>
    <w:rPr>
      <w:rFonts w:cs="OpenSymbol"/>
      <w:u w:val="none"/>
    </w:rPr>
  </w:style>
  <w:style w:type="character" w:customStyle="1" w:styleId="ListLabel208">
    <w:name w:val="ListLabel 208"/>
    <w:qFormat/>
    <w:rPr>
      <w:rFonts w:cs="OpenSymbol"/>
      <w:u w:val="none"/>
    </w:rPr>
  </w:style>
  <w:style w:type="character" w:customStyle="1" w:styleId="ListLabel209">
    <w:name w:val="ListLabel 209"/>
    <w:qFormat/>
    <w:rPr>
      <w:rFonts w:cs="OpenSymbol"/>
      <w:u w:val="none"/>
    </w:rPr>
  </w:style>
  <w:style w:type="character" w:customStyle="1" w:styleId="ListLabel210">
    <w:name w:val="ListLabel 210"/>
    <w:qFormat/>
    <w:rPr>
      <w:rFonts w:cs="OpenSymbol"/>
      <w:u w:val="none"/>
    </w:rPr>
  </w:style>
  <w:style w:type="character" w:customStyle="1" w:styleId="ListLabel211">
    <w:name w:val="ListLabel 211"/>
    <w:qFormat/>
    <w:rPr>
      <w:rFonts w:cs="OpenSymbol"/>
      <w:u w:val="none"/>
    </w:rPr>
  </w:style>
  <w:style w:type="character" w:customStyle="1" w:styleId="ListLabel212">
    <w:name w:val="ListLabel 212"/>
    <w:qFormat/>
    <w:rPr>
      <w:rFonts w:cs="OpenSymbol"/>
      <w:u w:val="none"/>
    </w:rPr>
  </w:style>
  <w:style w:type="character" w:customStyle="1" w:styleId="ListLabel213">
    <w:name w:val="ListLabel 213"/>
    <w:qFormat/>
    <w:rPr>
      <w:rFonts w:cs="OpenSymbol"/>
      <w:u w:val="none"/>
    </w:rPr>
  </w:style>
  <w:style w:type="character" w:customStyle="1" w:styleId="ListLabel214">
    <w:name w:val="ListLabel 214"/>
    <w:qFormat/>
    <w:rPr>
      <w:rFonts w:cs="OpenSymbol"/>
      <w:u w:val="none"/>
    </w:rPr>
  </w:style>
  <w:style w:type="character" w:customStyle="1" w:styleId="ListLabel215">
    <w:name w:val="ListLabel 215"/>
    <w:qFormat/>
    <w:rPr>
      <w:rFonts w:cs="OpenSymbol"/>
      <w:sz w:val="20"/>
      <w:u w:val="none"/>
    </w:rPr>
  </w:style>
  <w:style w:type="character" w:customStyle="1" w:styleId="ListLabel216">
    <w:name w:val="ListLabel 216"/>
    <w:qFormat/>
    <w:rPr>
      <w:rFonts w:cs="OpenSymbol"/>
      <w:u w:val="none"/>
    </w:rPr>
  </w:style>
  <w:style w:type="character" w:customStyle="1" w:styleId="ListLabel217">
    <w:name w:val="ListLabel 217"/>
    <w:qFormat/>
    <w:rPr>
      <w:rFonts w:cs="OpenSymbol"/>
      <w:u w:val="none"/>
    </w:rPr>
  </w:style>
  <w:style w:type="character" w:customStyle="1" w:styleId="ListLabel218">
    <w:name w:val="ListLabel 218"/>
    <w:qFormat/>
    <w:rPr>
      <w:rFonts w:cs="OpenSymbol"/>
      <w:u w:val="none"/>
    </w:rPr>
  </w:style>
  <w:style w:type="character" w:customStyle="1" w:styleId="ListLabel219">
    <w:name w:val="ListLabel 219"/>
    <w:qFormat/>
    <w:rPr>
      <w:rFonts w:cs="OpenSymbol"/>
      <w:u w:val="none"/>
    </w:rPr>
  </w:style>
  <w:style w:type="character" w:customStyle="1" w:styleId="ListLabel220">
    <w:name w:val="ListLabel 220"/>
    <w:qFormat/>
    <w:rPr>
      <w:rFonts w:cs="OpenSymbol"/>
      <w:u w:val="none"/>
    </w:rPr>
  </w:style>
  <w:style w:type="character" w:customStyle="1" w:styleId="ListLabel221">
    <w:name w:val="ListLabel 221"/>
    <w:qFormat/>
    <w:rPr>
      <w:rFonts w:cs="OpenSymbol"/>
      <w:u w:val="none"/>
    </w:rPr>
  </w:style>
  <w:style w:type="character" w:customStyle="1" w:styleId="ListLabel222">
    <w:name w:val="ListLabel 222"/>
    <w:qFormat/>
    <w:rPr>
      <w:rFonts w:cs="OpenSymbol"/>
      <w:u w:val="none"/>
    </w:rPr>
  </w:style>
  <w:style w:type="character" w:customStyle="1" w:styleId="ListLabel223">
    <w:name w:val="ListLabel 223"/>
    <w:qFormat/>
    <w:rPr>
      <w:rFonts w:cs="OpenSymbol"/>
      <w:u w:val="none"/>
    </w:rPr>
  </w:style>
  <w:style w:type="character" w:customStyle="1" w:styleId="ListLabel224">
    <w:name w:val="ListLabel 224"/>
    <w:qFormat/>
    <w:rPr>
      <w:rFonts w:cs="OpenSymbol"/>
      <w:sz w:val="20"/>
      <w:u w:val="none"/>
    </w:rPr>
  </w:style>
  <w:style w:type="character" w:customStyle="1" w:styleId="ListLabel225">
    <w:name w:val="ListLabel 225"/>
    <w:qFormat/>
    <w:rPr>
      <w:rFonts w:cs="OpenSymbol"/>
      <w:u w:val="none"/>
    </w:rPr>
  </w:style>
  <w:style w:type="character" w:customStyle="1" w:styleId="ListLabel226">
    <w:name w:val="ListLabel 226"/>
    <w:qFormat/>
    <w:rPr>
      <w:rFonts w:cs="OpenSymbol"/>
      <w:u w:val="none"/>
    </w:rPr>
  </w:style>
  <w:style w:type="character" w:customStyle="1" w:styleId="ListLabel227">
    <w:name w:val="ListLabel 227"/>
    <w:qFormat/>
    <w:rPr>
      <w:rFonts w:cs="OpenSymbol"/>
      <w:u w:val="none"/>
    </w:rPr>
  </w:style>
  <w:style w:type="character" w:customStyle="1" w:styleId="ListLabel228">
    <w:name w:val="ListLabel 228"/>
    <w:qFormat/>
    <w:rPr>
      <w:rFonts w:cs="OpenSymbol"/>
      <w:u w:val="none"/>
    </w:rPr>
  </w:style>
  <w:style w:type="character" w:customStyle="1" w:styleId="ListLabel229">
    <w:name w:val="ListLabel 229"/>
    <w:qFormat/>
    <w:rPr>
      <w:rFonts w:cs="OpenSymbol"/>
      <w:u w:val="none"/>
    </w:rPr>
  </w:style>
  <w:style w:type="character" w:customStyle="1" w:styleId="ListLabel230">
    <w:name w:val="ListLabel 230"/>
    <w:qFormat/>
    <w:rPr>
      <w:rFonts w:cs="OpenSymbol"/>
      <w:u w:val="none"/>
    </w:rPr>
  </w:style>
  <w:style w:type="character" w:customStyle="1" w:styleId="ListLabel231">
    <w:name w:val="ListLabel 231"/>
    <w:qFormat/>
    <w:rPr>
      <w:rFonts w:cs="OpenSymbol"/>
      <w:u w:val="none"/>
    </w:rPr>
  </w:style>
  <w:style w:type="character" w:customStyle="1" w:styleId="ListLabel232">
    <w:name w:val="ListLabel 232"/>
    <w:qFormat/>
    <w:rPr>
      <w:rFonts w:cs="OpenSymbol"/>
      <w:u w:val="none"/>
    </w:rPr>
  </w:style>
  <w:style w:type="character" w:customStyle="1" w:styleId="ListLabel233">
    <w:name w:val="ListLabel 233"/>
    <w:qFormat/>
    <w:rPr>
      <w:rFonts w:cs="OpenSymbol"/>
      <w:sz w:val="20"/>
      <w:u w:val="none"/>
    </w:rPr>
  </w:style>
  <w:style w:type="character" w:customStyle="1" w:styleId="ListLabel234">
    <w:name w:val="ListLabel 234"/>
    <w:qFormat/>
    <w:rPr>
      <w:rFonts w:cs="OpenSymbol"/>
      <w:u w:val="none"/>
    </w:rPr>
  </w:style>
  <w:style w:type="character" w:customStyle="1" w:styleId="ListLabel235">
    <w:name w:val="ListLabel 235"/>
    <w:qFormat/>
    <w:rPr>
      <w:rFonts w:cs="OpenSymbol"/>
      <w:u w:val="none"/>
    </w:rPr>
  </w:style>
  <w:style w:type="character" w:customStyle="1" w:styleId="ListLabel236">
    <w:name w:val="ListLabel 236"/>
    <w:qFormat/>
    <w:rPr>
      <w:rFonts w:cs="OpenSymbol"/>
      <w:u w:val="none"/>
    </w:rPr>
  </w:style>
  <w:style w:type="character" w:customStyle="1" w:styleId="ListLabel237">
    <w:name w:val="ListLabel 237"/>
    <w:qFormat/>
    <w:rPr>
      <w:rFonts w:cs="OpenSymbol"/>
      <w:u w:val="none"/>
    </w:rPr>
  </w:style>
  <w:style w:type="character" w:customStyle="1" w:styleId="ListLabel238">
    <w:name w:val="ListLabel 238"/>
    <w:qFormat/>
    <w:rPr>
      <w:rFonts w:cs="OpenSymbol"/>
      <w:u w:val="none"/>
    </w:rPr>
  </w:style>
  <w:style w:type="character" w:customStyle="1" w:styleId="ListLabel239">
    <w:name w:val="ListLabel 239"/>
    <w:qFormat/>
    <w:rPr>
      <w:rFonts w:cs="OpenSymbol"/>
      <w:u w:val="none"/>
    </w:rPr>
  </w:style>
  <w:style w:type="character" w:customStyle="1" w:styleId="ListLabel240">
    <w:name w:val="ListLabel 240"/>
    <w:qFormat/>
    <w:rPr>
      <w:rFonts w:cs="OpenSymbol"/>
      <w:u w:val="none"/>
    </w:rPr>
  </w:style>
  <w:style w:type="character" w:customStyle="1" w:styleId="ListLabel241">
    <w:name w:val="ListLabel 241"/>
    <w:qFormat/>
    <w:rPr>
      <w:rFonts w:cs="OpenSymbol"/>
      <w:u w:val="none"/>
    </w:rPr>
  </w:style>
  <w:style w:type="character" w:customStyle="1" w:styleId="ListLabel242">
    <w:name w:val="ListLabel 242"/>
    <w:qFormat/>
    <w:rPr>
      <w:b w:val="0"/>
      <w:color w:val="000000"/>
      <w:u w:val="none"/>
      <w:vertAlign w:val="superscript"/>
    </w:rPr>
  </w:style>
  <w:style w:type="character" w:customStyle="1" w:styleId="ListLabel243">
    <w:name w:val="ListLabel 243"/>
    <w:qFormat/>
    <w:rPr>
      <w:color w:val="1155CC"/>
      <w:u w:val="single"/>
    </w:rPr>
  </w:style>
  <w:style w:type="character" w:customStyle="1" w:styleId="ListLabel244">
    <w:name w:val="ListLabel 244"/>
    <w:qFormat/>
    <w:rPr>
      <w:color w:val="1155CC"/>
      <w:sz w:val="20"/>
      <w:szCs w:val="20"/>
      <w:u w:val="single"/>
    </w:rPr>
  </w:style>
  <w:style w:type="character" w:customStyle="1" w:styleId="ListLabel245">
    <w:name w:val="ListLabel 245"/>
    <w:qFormat/>
    <w:rPr>
      <w:b w:val="0"/>
      <w:color w:val="000000"/>
      <w:sz w:val="20"/>
      <w:szCs w:val="20"/>
      <w:u w:val="none"/>
      <w:vertAlign w:val="superscript"/>
    </w:rPr>
  </w:style>
  <w:style w:type="character" w:customStyle="1" w:styleId="ListLabel246">
    <w:name w:val="ListLabel 246"/>
    <w:qFormat/>
    <w:rPr>
      <w:b w:val="0"/>
      <w:i w:val="0"/>
      <w:color w:val="000000"/>
      <w:sz w:val="22"/>
      <w:szCs w:val="22"/>
      <w:u w:val="none"/>
    </w:rPr>
  </w:style>
  <w:style w:type="character" w:customStyle="1" w:styleId="ListLabel247">
    <w:name w:val="ListLabel 247"/>
    <w:qFormat/>
    <w:rPr>
      <w:b w:val="0"/>
      <w:i/>
      <w:color w:val="000000"/>
      <w:sz w:val="22"/>
      <w:szCs w:val="22"/>
      <w:u w:val="none"/>
    </w:rPr>
  </w:style>
  <w:style w:type="character" w:customStyle="1" w:styleId="ListLabel248">
    <w:name w:val="ListLabel 248"/>
    <w:qFormat/>
    <w:rPr>
      <w:b/>
      <w:i w:val="0"/>
      <w:color w:val="000000"/>
      <w:sz w:val="22"/>
      <w:szCs w:val="22"/>
      <w:u w:val="none"/>
    </w:rPr>
  </w:style>
  <w:style w:type="character" w:customStyle="1" w:styleId="ListLabel249">
    <w:name w:val="ListLabel 249"/>
    <w:qFormat/>
    <w:rPr>
      <w:rFonts w:cs="OpenSymbol"/>
      <w:sz w:val="20"/>
      <w:u w:val="none"/>
    </w:rPr>
  </w:style>
  <w:style w:type="character" w:customStyle="1" w:styleId="ListLabel250">
    <w:name w:val="ListLabel 250"/>
    <w:qFormat/>
    <w:rPr>
      <w:rFonts w:cs="OpenSymbol"/>
      <w:u w:val="none"/>
    </w:rPr>
  </w:style>
  <w:style w:type="character" w:customStyle="1" w:styleId="ListLabel251">
    <w:name w:val="ListLabel 251"/>
    <w:qFormat/>
    <w:rPr>
      <w:rFonts w:cs="OpenSymbol"/>
      <w:u w:val="none"/>
    </w:rPr>
  </w:style>
  <w:style w:type="character" w:customStyle="1" w:styleId="ListLabel252">
    <w:name w:val="ListLabel 252"/>
    <w:qFormat/>
    <w:rPr>
      <w:rFonts w:cs="OpenSymbol"/>
      <w:u w:val="none"/>
    </w:rPr>
  </w:style>
  <w:style w:type="character" w:customStyle="1" w:styleId="ListLabel253">
    <w:name w:val="ListLabel 253"/>
    <w:qFormat/>
    <w:rPr>
      <w:rFonts w:cs="OpenSymbol"/>
      <w:u w:val="none"/>
    </w:rPr>
  </w:style>
  <w:style w:type="character" w:customStyle="1" w:styleId="ListLabel254">
    <w:name w:val="ListLabel 254"/>
    <w:qFormat/>
    <w:rPr>
      <w:rFonts w:cs="OpenSymbol"/>
      <w:u w:val="none"/>
    </w:rPr>
  </w:style>
  <w:style w:type="character" w:customStyle="1" w:styleId="ListLabel255">
    <w:name w:val="ListLabel 255"/>
    <w:qFormat/>
    <w:rPr>
      <w:rFonts w:cs="OpenSymbol"/>
      <w:u w:val="none"/>
    </w:rPr>
  </w:style>
  <w:style w:type="character" w:customStyle="1" w:styleId="ListLabel256">
    <w:name w:val="ListLabel 256"/>
    <w:qFormat/>
    <w:rPr>
      <w:rFonts w:cs="OpenSymbol"/>
      <w:u w:val="none"/>
    </w:rPr>
  </w:style>
  <w:style w:type="character" w:customStyle="1" w:styleId="ListLabel257">
    <w:name w:val="ListLabel 257"/>
    <w:qFormat/>
    <w:rPr>
      <w:rFonts w:cs="OpenSymbol"/>
      <w:u w:val="none"/>
    </w:rPr>
  </w:style>
  <w:style w:type="character" w:customStyle="1" w:styleId="ListLabel258">
    <w:name w:val="ListLabel 258"/>
    <w:qFormat/>
    <w:rPr>
      <w:rFonts w:cs="OpenSymbol"/>
      <w:sz w:val="20"/>
      <w:u w:val="none"/>
    </w:rPr>
  </w:style>
  <w:style w:type="character" w:customStyle="1" w:styleId="ListLabel259">
    <w:name w:val="ListLabel 259"/>
    <w:qFormat/>
    <w:rPr>
      <w:rFonts w:cs="OpenSymbol"/>
      <w:u w:val="none"/>
    </w:rPr>
  </w:style>
  <w:style w:type="character" w:customStyle="1" w:styleId="ListLabel260">
    <w:name w:val="ListLabel 260"/>
    <w:qFormat/>
    <w:rPr>
      <w:rFonts w:cs="OpenSymbol"/>
      <w:u w:val="none"/>
    </w:rPr>
  </w:style>
  <w:style w:type="character" w:customStyle="1" w:styleId="ListLabel261">
    <w:name w:val="ListLabel 261"/>
    <w:qFormat/>
    <w:rPr>
      <w:rFonts w:cs="OpenSymbol"/>
      <w:u w:val="none"/>
    </w:rPr>
  </w:style>
  <w:style w:type="character" w:customStyle="1" w:styleId="ListLabel262">
    <w:name w:val="ListLabel 262"/>
    <w:qFormat/>
    <w:rPr>
      <w:rFonts w:cs="OpenSymbol"/>
      <w:u w:val="none"/>
    </w:rPr>
  </w:style>
  <w:style w:type="character" w:customStyle="1" w:styleId="ListLabel263">
    <w:name w:val="ListLabel 263"/>
    <w:qFormat/>
    <w:rPr>
      <w:rFonts w:cs="OpenSymbol"/>
      <w:u w:val="none"/>
    </w:rPr>
  </w:style>
  <w:style w:type="character" w:customStyle="1" w:styleId="ListLabel264">
    <w:name w:val="ListLabel 264"/>
    <w:qFormat/>
    <w:rPr>
      <w:rFonts w:cs="OpenSymbol"/>
      <w:u w:val="none"/>
    </w:rPr>
  </w:style>
  <w:style w:type="character" w:customStyle="1" w:styleId="ListLabel265">
    <w:name w:val="ListLabel 265"/>
    <w:qFormat/>
    <w:rPr>
      <w:rFonts w:cs="OpenSymbol"/>
      <w:u w:val="none"/>
    </w:rPr>
  </w:style>
  <w:style w:type="character" w:customStyle="1" w:styleId="ListLabel266">
    <w:name w:val="ListLabel 266"/>
    <w:qFormat/>
    <w:rPr>
      <w:rFonts w:cs="OpenSymbol"/>
      <w:u w:val="none"/>
    </w:rPr>
  </w:style>
  <w:style w:type="character" w:customStyle="1" w:styleId="ListLabel267">
    <w:name w:val="ListLabel 267"/>
    <w:qFormat/>
    <w:rPr>
      <w:rFonts w:cs="OpenSymbol"/>
      <w:sz w:val="20"/>
      <w:u w:val="none"/>
    </w:rPr>
  </w:style>
  <w:style w:type="character" w:customStyle="1" w:styleId="ListLabel268">
    <w:name w:val="ListLabel 268"/>
    <w:qFormat/>
    <w:rPr>
      <w:rFonts w:cs="OpenSymbol"/>
      <w:u w:val="none"/>
    </w:rPr>
  </w:style>
  <w:style w:type="character" w:customStyle="1" w:styleId="ListLabel269">
    <w:name w:val="ListLabel 269"/>
    <w:qFormat/>
    <w:rPr>
      <w:rFonts w:cs="OpenSymbol"/>
      <w:u w:val="none"/>
    </w:rPr>
  </w:style>
  <w:style w:type="character" w:customStyle="1" w:styleId="ListLabel270">
    <w:name w:val="ListLabel 270"/>
    <w:qFormat/>
    <w:rPr>
      <w:rFonts w:cs="OpenSymbol"/>
      <w:u w:val="none"/>
    </w:rPr>
  </w:style>
  <w:style w:type="character" w:customStyle="1" w:styleId="ListLabel271">
    <w:name w:val="ListLabel 271"/>
    <w:qFormat/>
    <w:rPr>
      <w:rFonts w:cs="OpenSymbol"/>
      <w:u w:val="none"/>
    </w:rPr>
  </w:style>
  <w:style w:type="character" w:customStyle="1" w:styleId="ListLabel272">
    <w:name w:val="ListLabel 272"/>
    <w:qFormat/>
    <w:rPr>
      <w:rFonts w:cs="OpenSymbol"/>
      <w:u w:val="none"/>
    </w:rPr>
  </w:style>
  <w:style w:type="character" w:customStyle="1" w:styleId="ListLabel273">
    <w:name w:val="ListLabel 273"/>
    <w:qFormat/>
    <w:rPr>
      <w:rFonts w:cs="OpenSymbol"/>
      <w:u w:val="none"/>
    </w:rPr>
  </w:style>
  <w:style w:type="character" w:customStyle="1" w:styleId="ListLabel274">
    <w:name w:val="ListLabel 274"/>
    <w:qFormat/>
    <w:rPr>
      <w:rFonts w:cs="OpenSymbol"/>
      <w:u w:val="none"/>
    </w:rPr>
  </w:style>
  <w:style w:type="character" w:customStyle="1" w:styleId="ListLabel275">
    <w:name w:val="ListLabel 275"/>
    <w:qFormat/>
    <w:rPr>
      <w:rFonts w:cs="OpenSymbol"/>
      <w:u w:val="none"/>
    </w:rPr>
  </w:style>
  <w:style w:type="character" w:customStyle="1" w:styleId="ListLabel276">
    <w:name w:val="ListLabel 276"/>
    <w:qFormat/>
    <w:rPr>
      <w:rFonts w:cs="OpenSymbol"/>
      <w:sz w:val="20"/>
      <w:u w:val="none"/>
    </w:rPr>
  </w:style>
  <w:style w:type="character" w:customStyle="1" w:styleId="ListLabel277">
    <w:name w:val="ListLabel 277"/>
    <w:qFormat/>
    <w:rPr>
      <w:rFonts w:cs="OpenSymbol"/>
      <w:u w:val="none"/>
    </w:rPr>
  </w:style>
  <w:style w:type="character" w:customStyle="1" w:styleId="ListLabel278">
    <w:name w:val="ListLabel 278"/>
    <w:qFormat/>
    <w:rPr>
      <w:rFonts w:cs="OpenSymbol"/>
      <w:u w:val="none"/>
    </w:rPr>
  </w:style>
  <w:style w:type="character" w:customStyle="1" w:styleId="ListLabel279">
    <w:name w:val="ListLabel 279"/>
    <w:qFormat/>
    <w:rPr>
      <w:rFonts w:cs="OpenSymbol"/>
      <w:u w:val="none"/>
    </w:rPr>
  </w:style>
  <w:style w:type="character" w:customStyle="1" w:styleId="ListLabel280">
    <w:name w:val="ListLabel 280"/>
    <w:qFormat/>
    <w:rPr>
      <w:rFonts w:cs="OpenSymbol"/>
      <w:u w:val="none"/>
    </w:rPr>
  </w:style>
  <w:style w:type="character" w:customStyle="1" w:styleId="ListLabel281">
    <w:name w:val="ListLabel 281"/>
    <w:qFormat/>
    <w:rPr>
      <w:rFonts w:cs="OpenSymbol"/>
      <w:u w:val="none"/>
    </w:rPr>
  </w:style>
  <w:style w:type="character" w:customStyle="1" w:styleId="ListLabel282">
    <w:name w:val="ListLabel 282"/>
    <w:qFormat/>
    <w:rPr>
      <w:rFonts w:cs="OpenSymbol"/>
      <w:u w:val="none"/>
    </w:rPr>
  </w:style>
  <w:style w:type="character" w:customStyle="1" w:styleId="ListLabel283">
    <w:name w:val="ListLabel 283"/>
    <w:qFormat/>
    <w:rPr>
      <w:rFonts w:cs="OpenSymbol"/>
      <w:u w:val="none"/>
    </w:rPr>
  </w:style>
  <w:style w:type="character" w:customStyle="1" w:styleId="ListLabel284">
    <w:name w:val="ListLabel 284"/>
    <w:qFormat/>
    <w:rPr>
      <w:rFonts w:cs="OpenSymbol"/>
      <w:u w:val="none"/>
    </w:rPr>
  </w:style>
  <w:style w:type="character" w:customStyle="1" w:styleId="ListLabel285">
    <w:name w:val="ListLabel 285"/>
    <w:qFormat/>
    <w:rPr>
      <w:rFonts w:cs="OpenSymbol"/>
      <w:sz w:val="20"/>
      <w:u w:val="none"/>
    </w:rPr>
  </w:style>
  <w:style w:type="character" w:customStyle="1" w:styleId="ListLabel286">
    <w:name w:val="ListLabel 286"/>
    <w:qFormat/>
    <w:rPr>
      <w:rFonts w:cs="OpenSymbol"/>
      <w:u w:val="none"/>
    </w:rPr>
  </w:style>
  <w:style w:type="character" w:customStyle="1" w:styleId="ListLabel287">
    <w:name w:val="ListLabel 287"/>
    <w:qFormat/>
    <w:rPr>
      <w:rFonts w:cs="OpenSymbol"/>
      <w:u w:val="none"/>
    </w:rPr>
  </w:style>
  <w:style w:type="character" w:customStyle="1" w:styleId="ListLabel288">
    <w:name w:val="ListLabel 288"/>
    <w:qFormat/>
    <w:rPr>
      <w:rFonts w:cs="OpenSymbol"/>
      <w:u w:val="none"/>
    </w:rPr>
  </w:style>
  <w:style w:type="character" w:customStyle="1" w:styleId="ListLabel289">
    <w:name w:val="ListLabel 289"/>
    <w:qFormat/>
    <w:rPr>
      <w:rFonts w:cs="OpenSymbol"/>
      <w:u w:val="none"/>
    </w:rPr>
  </w:style>
  <w:style w:type="character" w:customStyle="1" w:styleId="ListLabel290">
    <w:name w:val="ListLabel 290"/>
    <w:qFormat/>
    <w:rPr>
      <w:rFonts w:cs="OpenSymbol"/>
      <w:u w:val="none"/>
    </w:rPr>
  </w:style>
  <w:style w:type="character" w:customStyle="1" w:styleId="ListLabel291">
    <w:name w:val="ListLabel 291"/>
    <w:qFormat/>
    <w:rPr>
      <w:rFonts w:cs="OpenSymbol"/>
      <w:u w:val="none"/>
    </w:rPr>
  </w:style>
  <w:style w:type="character" w:customStyle="1" w:styleId="ListLabel292">
    <w:name w:val="ListLabel 292"/>
    <w:qFormat/>
    <w:rPr>
      <w:rFonts w:cs="OpenSymbol"/>
      <w:u w:val="none"/>
    </w:rPr>
  </w:style>
  <w:style w:type="character" w:customStyle="1" w:styleId="ListLabel293">
    <w:name w:val="ListLabel 293"/>
    <w:qFormat/>
    <w:rPr>
      <w:rFonts w:cs="OpenSymbol"/>
      <w:u w:val="none"/>
    </w:rPr>
  </w:style>
  <w:style w:type="character" w:customStyle="1" w:styleId="ListLabel294">
    <w:name w:val="ListLabel 294"/>
    <w:qFormat/>
    <w:rPr>
      <w:rFonts w:cs="OpenSymbol"/>
      <w:sz w:val="20"/>
      <w:u w:val="none"/>
    </w:rPr>
  </w:style>
  <w:style w:type="character" w:customStyle="1" w:styleId="ListLabel295">
    <w:name w:val="ListLabel 295"/>
    <w:qFormat/>
    <w:rPr>
      <w:rFonts w:cs="OpenSymbol"/>
      <w:u w:val="none"/>
    </w:rPr>
  </w:style>
  <w:style w:type="character" w:customStyle="1" w:styleId="ListLabel296">
    <w:name w:val="ListLabel 296"/>
    <w:qFormat/>
    <w:rPr>
      <w:rFonts w:cs="OpenSymbol"/>
      <w:u w:val="none"/>
    </w:rPr>
  </w:style>
  <w:style w:type="character" w:customStyle="1" w:styleId="ListLabel297">
    <w:name w:val="ListLabel 297"/>
    <w:qFormat/>
    <w:rPr>
      <w:rFonts w:cs="OpenSymbol"/>
      <w:u w:val="none"/>
    </w:rPr>
  </w:style>
  <w:style w:type="character" w:customStyle="1" w:styleId="ListLabel298">
    <w:name w:val="ListLabel 298"/>
    <w:qFormat/>
    <w:rPr>
      <w:rFonts w:cs="OpenSymbol"/>
      <w:u w:val="none"/>
    </w:rPr>
  </w:style>
  <w:style w:type="character" w:customStyle="1" w:styleId="ListLabel299">
    <w:name w:val="ListLabel 299"/>
    <w:qFormat/>
    <w:rPr>
      <w:rFonts w:cs="OpenSymbol"/>
      <w:u w:val="none"/>
    </w:rPr>
  </w:style>
  <w:style w:type="character" w:customStyle="1" w:styleId="ListLabel300">
    <w:name w:val="ListLabel 300"/>
    <w:qFormat/>
    <w:rPr>
      <w:rFonts w:cs="OpenSymbol"/>
      <w:u w:val="none"/>
    </w:rPr>
  </w:style>
  <w:style w:type="character" w:customStyle="1" w:styleId="ListLabel301">
    <w:name w:val="ListLabel 301"/>
    <w:qFormat/>
    <w:rPr>
      <w:rFonts w:cs="OpenSymbol"/>
      <w:u w:val="none"/>
    </w:rPr>
  </w:style>
  <w:style w:type="character" w:customStyle="1" w:styleId="ListLabel302">
    <w:name w:val="ListLabel 302"/>
    <w:qFormat/>
    <w:rPr>
      <w:rFonts w:cs="OpenSymbol"/>
      <w:u w:val="none"/>
    </w:rPr>
  </w:style>
  <w:style w:type="character" w:customStyle="1" w:styleId="ListLabel303">
    <w:name w:val="ListLabel 303"/>
    <w:qFormat/>
    <w:rPr>
      <w:rFonts w:cs="OpenSymbol"/>
      <w:sz w:val="20"/>
      <w:u w:val="none"/>
    </w:rPr>
  </w:style>
  <w:style w:type="character" w:customStyle="1" w:styleId="ListLabel304">
    <w:name w:val="ListLabel 304"/>
    <w:qFormat/>
    <w:rPr>
      <w:rFonts w:cs="OpenSymbol"/>
      <w:u w:val="none"/>
    </w:rPr>
  </w:style>
  <w:style w:type="character" w:customStyle="1" w:styleId="ListLabel305">
    <w:name w:val="ListLabel 305"/>
    <w:qFormat/>
    <w:rPr>
      <w:rFonts w:cs="OpenSymbol"/>
      <w:u w:val="none"/>
    </w:rPr>
  </w:style>
  <w:style w:type="character" w:customStyle="1" w:styleId="ListLabel306">
    <w:name w:val="ListLabel 306"/>
    <w:qFormat/>
    <w:rPr>
      <w:rFonts w:cs="OpenSymbol"/>
      <w:u w:val="none"/>
    </w:rPr>
  </w:style>
  <w:style w:type="character" w:customStyle="1" w:styleId="ListLabel307">
    <w:name w:val="ListLabel 307"/>
    <w:qFormat/>
    <w:rPr>
      <w:rFonts w:cs="OpenSymbol"/>
      <w:u w:val="none"/>
    </w:rPr>
  </w:style>
  <w:style w:type="character" w:customStyle="1" w:styleId="ListLabel308">
    <w:name w:val="ListLabel 308"/>
    <w:qFormat/>
    <w:rPr>
      <w:rFonts w:cs="OpenSymbol"/>
      <w:u w:val="none"/>
    </w:rPr>
  </w:style>
  <w:style w:type="character" w:customStyle="1" w:styleId="ListLabel309">
    <w:name w:val="ListLabel 309"/>
    <w:qFormat/>
    <w:rPr>
      <w:rFonts w:cs="OpenSymbol"/>
      <w:u w:val="none"/>
    </w:rPr>
  </w:style>
  <w:style w:type="character" w:customStyle="1" w:styleId="ListLabel310">
    <w:name w:val="ListLabel 310"/>
    <w:qFormat/>
    <w:rPr>
      <w:rFonts w:cs="OpenSymbol"/>
      <w:u w:val="none"/>
    </w:rPr>
  </w:style>
  <w:style w:type="character" w:customStyle="1" w:styleId="ListLabel311">
    <w:name w:val="ListLabel 311"/>
    <w:qFormat/>
    <w:rPr>
      <w:rFonts w:cs="OpenSymbol"/>
      <w:u w:val="none"/>
    </w:rPr>
  </w:style>
  <w:style w:type="character" w:customStyle="1" w:styleId="ListLabel312">
    <w:name w:val="ListLabel 312"/>
    <w:qFormat/>
    <w:rPr>
      <w:rFonts w:cs="OpenSymbol"/>
      <w:sz w:val="20"/>
      <w:u w:val="none"/>
    </w:rPr>
  </w:style>
  <w:style w:type="character" w:customStyle="1" w:styleId="ListLabel313">
    <w:name w:val="ListLabel 313"/>
    <w:qFormat/>
    <w:rPr>
      <w:rFonts w:cs="OpenSymbol"/>
      <w:u w:val="none"/>
    </w:rPr>
  </w:style>
  <w:style w:type="character" w:customStyle="1" w:styleId="ListLabel314">
    <w:name w:val="ListLabel 314"/>
    <w:qFormat/>
    <w:rPr>
      <w:rFonts w:cs="OpenSymbol"/>
      <w:u w:val="none"/>
    </w:rPr>
  </w:style>
  <w:style w:type="character" w:customStyle="1" w:styleId="ListLabel315">
    <w:name w:val="ListLabel 315"/>
    <w:qFormat/>
    <w:rPr>
      <w:rFonts w:cs="OpenSymbol"/>
      <w:u w:val="none"/>
    </w:rPr>
  </w:style>
  <w:style w:type="character" w:customStyle="1" w:styleId="ListLabel316">
    <w:name w:val="ListLabel 316"/>
    <w:qFormat/>
    <w:rPr>
      <w:rFonts w:cs="OpenSymbol"/>
      <w:u w:val="none"/>
    </w:rPr>
  </w:style>
  <w:style w:type="character" w:customStyle="1" w:styleId="ListLabel317">
    <w:name w:val="ListLabel 317"/>
    <w:qFormat/>
    <w:rPr>
      <w:rFonts w:cs="OpenSymbol"/>
      <w:u w:val="none"/>
    </w:rPr>
  </w:style>
  <w:style w:type="character" w:customStyle="1" w:styleId="ListLabel318">
    <w:name w:val="ListLabel 318"/>
    <w:qFormat/>
    <w:rPr>
      <w:rFonts w:cs="OpenSymbol"/>
      <w:u w:val="none"/>
    </w:rPr>
  </w:style>
  <w:style w:type="character" w:customStyle="1" w:styleId="ListLabel319">
    <w:name w:val="ListLabel 319"/>
    <w:qFormat/>
    <w:rPr>
      <w:rFonts w:cs="OpenSymbol"/>
      <w:u w:val="none"/>
    </w:rPr>
  </w:style>
  <w:style w:type="character" w:customStyle="1" w:styleId="ListLabel320">
    <w:name w:val="ListLabel 320"/>
    <w:qFormat/>
    <w:rPr>
      <w:rFonts w:cs="OpenSymbol"/>
      <w:u w:val="none"/>
    </w:rPr>
  </w:style>
  <w:style w:type="character" w:customStyle="1" w:styleId="ListLabel321">
    <w:name w:val="ListLabel 321"/>
    <w:qFormat/>
    <w:rPr>
      <w:rFonts w:cs="OpenSymbol"/>
      <w:sz w:val="20"/>
      <w:u w:val="none"/>
    </w:rPr>
  </w:style>
  <w:style w:type="character" w:customStyle="1" w:styleId="ListLabel322">
    <w:name w:val="ListLabel 322"/>
    <w:qFormat/>
    <w:rPr>
      <w:rFonts w:cs="OpenSymbol"/>
      <w:u w:val="none"/>
    </w:rPr>
  </w:style>
  <w:style w:type="character" w:customStyle="1" w:styleId="ListLabel323">
    <w:name w:val="ListLabel 323"/>
    <w:qFormat/>
    <w:rPr>
      <w:rFonts w:cs="OpenSymbol"/>
      <w:u w:val="none"/>
    </w:rPr>
  </w:style>
  <w:style w:type="character" w:customStyle="1" w:styleId="ListLabel324">
    <w:name w:val="ListLabel 324"/>
    <w:qFormat/>
    <w:rPr>
      <w:rFonts w:cs="OpenSymbol"/>
      <w:u w:val="none"/>
    </w:rPr>
  </w:style>
  <w:style w:type="character" w:customStyle="1" w:styleId="ListLabel325">
    <w:name w:val="ListLabel 325"/>
    <w:qFormat/>
    <w:rPr>
      <w:rFonts w:cs="OpenSymbol"/>
      <w:u w:val="none"/>
    </w:rPr>
  </w:style>
  <w:style w:type="character" w:customStyle="1" w:styleId="ListLabel326">
    <w:name w:val="ListLabel 326"/>
    <w:qFormat/>
    <w:rPr>
      <w:rFonts w:cs="OpenSymbol"/>
      <w:u w:val="none"/>
    </w:rPr>
  </w:style>
  <w:style w:type="character" w:customStyle="1" w:styleId="ListLabel327">
    <w:name w:val="ListLabel 327"/>
    <w:qFormat/>
    <w:rPr>
      <w:rFonts w:cs="OpenSymbol"/>
      <w:u w:val="none"/>
    </w:rPr>
  </w:style>
  <w:style w:type="character" w:customStyle="1" w:styleId="ListLabel328">
    <w:name w:val="ListLabel 328"/>
    <w:qFormat/>
    <w:rPr>
      <w:rFonts w:cs="OpenSymbol"/>
      <w:u w:val="none"/>
    </w:rPr>
  </w:style>
  <w:style w:type="character" w:customStyle="1" w:styleId="ListLabel329">
    <w:name w:val="ListLabel 329"/>
    <w:qFormat/>
    <w:rPr>
      <w:rFonts w:cs="OpenSymbol"/>
      <w:u w:val="none"/>
    </w:rPr>
  </w:style>
  <w:style w:type="character" w:customStyle="1" w:styleId="ListLabel330">
    <w:name w:val="ListLabel 330"/>
    <w:qFormat/>
    <w:rPr>
      <w:rFonts w:cs="OpenSymbol"/>
      <w:sz w:val="20"/>
      <w:u w:val="none"/>
    </w:rPr>
  </w:style>
  <w:style w:type="character" w:customStyle="1" w:styleId="ListLabel331">
    <w:name w:val="ListLabel 331"/>
    <w:qFormat/>
    <w:rPr>
      <w:rFonts w:cs="OpenSymbol"/>
      <w:u w:val="none"/>
    </w:rPr>
  </w:style>
  <w:style w:type="character" w:customStyle="1" w:styleId="ListLabel332">
    <w:name w:val="ListLabel 332"/>
    <w:qFormat/>
    <w:rPr>
      <w:rFonts w:cs="OpenSymbol"/>
      <w:u w:val="none"/>
    </w:rPr>
  </w:style>
  <w:style w:type="character" w:customStyle="1" w:styleId="ListLabel333">
    <w:name w:val="ListLabel 333"/>
    <w:qFormat/>
    <w:rPr>
      <w:rFonts w:cs="OpenSymbol"/>
      <w:u w:val="none"/>
    </w:rPr>
  </w:style>
  <w:style w:type="character" w:customStyle="1" w:styleId="ListLabel334">
    <w:name w:val="ListLabel 334"/>
    <w:qFormat/>
    <w:rPr>
      <w:rFonts w:cs="OpenSymbol"/>
      <w:u w:val="none"/>
    </w:rPr>
  </w:style>
  <w:style w:type="character" w:customStyle="1" w:styleId="ListLabel335">
    <w:name w:val="ListLabel 335"/>
    <w:qFormat/>
    <w:rPr>
      <w:rFonts w:cs="OpenSymbol"/>
      <w:u w:val="none"/>
    </w:rPr>
  </w:style>
  <w:style w:type="character" w:customStyle="1" w:styleId="ListLabel336">
    <w:name w:val="ListLabel 336"/>
    <w:qFormat/>
    <w:rPr>
      <w:rFonts w:cs="OpenSymbol"/>
      <w:u w:val="none"/>
    </w:rPr>
  </w:style>
  <w:style w:type="character" w:customStyle="1" w:styleId="ListLabel337">
    <w:name w:val="ListLabel 337"/>
    <w:qFormat/>
    <w:rPr>
      <w:rFonts w:cs="OpenSymbol"/>
      <w:u w:val="none"/>
    </w:rPr>
  </w:style>
  <w:style w:type="character" w:customStyle="1" w:styleId="ListLabel338">
    <w:name w:val="ListLabel 338"/>
    <w:qFormat/>
    <w:rPr>
      <w:rFonts w:cs="OpenSymbol"/>
      <w:u w:val="none"/>
    </w:rPr>
  </w:style>
  <w:style w:type="character" w:customStyle="1" w:styleId="ListLabel339">
    <w:name w:val="ListLabel 339"/>
    <w:qFormat/>
    <w:rPr>
      <w:rFonts w:cs="OpenSymbol"/>
      <w:sz w:val="20"/>
      <w:u w:val="none"/>
    </w:rPr>
  </w:style>
  <w:style w:type="character" w:customStyle="1" w:styleId="ListLabel340">
    <w:name w:val="ListLabel 340"/>
    <w:qFormat/>
    <w:rPr>
      <w:rFonts w:cs="OpenSymbol"/>
      <w:u w:val="none"/>
    </w:rPr>
  </w:style>
  <w:style w:type="character" w:customStyle="1" w:styleId="ListLabel341">
    <w:name w:val="ListLabel 341"/>
    <w:qFormat/>
    <w:rPr>
      <w:rFonts w:cs="OpenSymbol"/>
      <w:u w:val="none"/>
    </w:rPr>
  </w:style>
  <w:style w:type="character" w:customStyle="1" w:styleId="ListLabel342">
    <w:name w:val="ListLabel 342"/>
    <w:qFormat/>
    <w:rPr>
      <w:rFonts w:cs="OpenSymbol"/>
      <w:u w:val="none"/>
    </w:rPr>
  </w:style>
  <w:style w:type="character" w:customStyle="1" w:styleId="ListLabel343">
    <w:name w:val="ListLabel 343"/>
    <w:qFormat/>
    <w:rPr>
      <w:rFonts w:cs="OpenSymbol"/>
      <w:u w:val="none"/>
    </w:rPr>
  </w:style>
  <w:style w:type="character" w:customStyle="1" w:styleId="ListLabel344">
    <w:name w:val="ListLabel 344"/>
    <w:qFormat/>
    <w:rPr>
      <w:rFonts w:cs="OpenSymbol"/>
      <w:u w:val="none"/>
    </w:rPr>
  </w:style>
  <w:style w:type="character" w:customStyle="1" w:styleId="ListLabel345">
    <w:name w:val="ListLabel 345"/>
    <w:qFormat/>
    <w:rPr>
      <w:rFonts w:cs="OpenSymbol"/>
      <w:u w:val="none"/>
    </w:rPr>
  </w:style>
  <w:style w:type="character" w:customStyle="1" w:styleId="ListLabel346">
    <w:name w:val="ListLabel 346"/>
    <w:qFormat/>
    <w:rPr>
      <w:rFonts w:cs="OpenSymbol"/>
      <w:u w:val="none"/>
    </w:rPr>
  </w:style>
  <w:style w:type="character" w:customStyle="1" w:styleId="ListLabel347">
    <w:name w:val="ListLabel 347"/>
    <w:qFormat/>
    <w:rPr>
      <w:rFonts w:cs="OpenSymbol"/>
      <w:u w:val="none"/>
    </w:rPr>
  </w:style>
  <w:style w:type="character" w:customStyle="1" w:styleId="ListLabel348">
    <w:name w:val="ListLabel 348"/>
    <w:qFormat/>
    <w:rPr>
      <w:rFonts w:cs="OpenSymbol"/>
      <w:sz w:val="20"/>
      <w:u w:val="none"/>
    </w:rPr>
  </w:style>
  <w:style w:type="character" w:customStyle="1" w:styleId="ListLabel349">
    <w:name w:val="ListLabel 349"/>
    <w:qFormat/>
    <w:rPr>
      <w:rFonts w:cs="OpenSymbol"/>
      <w:u w:val="none"/>
    </w:rPr>
  </w:style>
  <w:style w:type="character" w:customStyle="1" w:styleId="ListLabel350">
    <w:name w:val="ListLabel 350"/>
    <w:qFormat/>
    <w:rPr>
      <w:rFonts w:cs="OpenSymbol"/>
      <w:u w:val="none"/>
    </w:rPr>
  </w:style>
  <w:style w:type="character" w:customStyle="1" w:styleId="ListLabel351">
    <w:name w:val="ListLabel 351"/>
    <w:qFormat/>
    <w:rPr>
      <w:rFonts w:cs="OpenSymbol"/>
      <w:u w:val="none"/>
    </w:rPr>
  </w:style>
  <w:style w:type="character" w:customStyle="1" w:styleId="ListLabel352">
    <w:name w:val="ListLabel 352"/>
    <w:qFormat/>
    <w:rPr>
      <w:rFonts w:cs="OpenSymbol"/>
      <w:u w:val="none"/>
    </w:rPr>
  </w:style>
  <w:style w:type="character" w:customStyle="1" w:styleId="ListLabel353">
    <w:name w:val="ListLabel 353"/>
    <w:qFormat/>
    <w:rPr>
      <w:rFonts w:cs="OpenSymbol"/>
      <w:u w:val="none"/>
    </w:rPr>
  </w:style>
  <w:style w:type="character" w:customStyle="1" w:styleId="ListLabel354">
    <w:name w:val="ListLabel 354"/>
    <w:qFormat/>
    <w:rPr>
      <w:rFonts w:cs="OpenSymbol"/>
      <w:u w:val="none"/>
    </w:rPr>
  </w:style>
  <w:style w:type="character" w:customStyle="1" w:styleId="ListLabel355">
    <w:name w:val="ListLabel 355"/>
    <w:qFormat/>
    <w:rPr>
      <w:rFonts w:cs="OpenSymbol"/>
      <w:u w:val="none"/>
    </w:rPr>
  </w:style>
  <w:style w:type="character" w:customStyle="1" w:styleId="ListLabel356">
    <w:name w:val="ListLabel 356"/>
    <w:qFormat/>
    <w:rPr>
      <w:rFonts w:cs="OpenSymbol"/>
      <w:u w:val="none"/>
    </w:rPr>
  </w:style>
  <w:style w:type="character" w:customStyle="1" w:styleId="ListLabel357">
    <w:name w:val="ListLabel 357"/>
    <w:qFormat/>
    <w:rPr>
      <w:rFonts w:cs="OpenSymbol"/>
      <w:sz w:val="20"/>
      <w:u w:val="none"/>
    </w:rPr>
  </w:style>
  <w:style w:type="character" w:customStyle="1" w:styleId="ListLabel358">
    <w:name w:val="ListLabel 358"/>
    <w:qFormat/>
    <w:rPr>
      <w:rFonts w:cs="OpenSymbol"/>
      <w:u w:val="none"/>
    </w:rPr>
  </w:style>
  <w:style w:type="character" w:customStyle="1" w:styleId="ListLabel359">
    <w:name w:val="ListLabel 359"/>
    <w:qFormat/>
    <w:rPr>
      <w:rFonts w:cs="OpenSymbol"/>
      <w:u w:val="none"/>
    </w:rPr>
  </w:style>
  <w:style w:type="character" w:customStyle="1" w:styleId="ListLabel360">
    <w:name w:val="ListLabel 360"/>
    <w:qFormat/>
    <w:rPr>
      <w:rFonts w:cs="OpenSymbol"/>
      <w:u w:val="none"/>
    </w:rPr>
  </w:style>
  <w:style w:type="character" w:customStyle="1" w:styleId="ListLabel361">
    <w:name w:val="ListLabel 361"/>
    <w:qFormat/>
    <w:rPr>
      <w:rFonts w:cs="OpenSymbol"/>
      <w:u w:val="none"/>
    </w:rPr>
  </w:style>
  <w:style w:type="character" w:customStyle="1" w:styleId="ListLabel362">
    <w:name w:val="ListLabel 362"/>
    <w:qFormat/>
    <w:rPr>
      <w:rFonts w:cs="OpenSymbol"/>
      <w:u w:val="none"/>
    </w:rPr>
  </w:style>
  <w:style w:type="character" w:customStyle="1" w:styleId="ListLabel363">
    <w:name w:val="ListLabel 363"/>
    <w:qFormat/>
    <w:rPr>
      <w:rFonts w:cs="OpenSymbol"/>
      <w:u w:val="none"/>
    </w:rPr>
  </w:style>
  <w:style w:type="character" w:customStyle="1" w:styleId="ListLabel364">
    <w:name w:val="ListLabel 364"/>
    <w:qFormat/>
    <w:rPr>
      <w:rFonts w:cs="OpenSymbol"/>
      <w:u w:val="none"/>
    </w:rPr>
  </w:style>
  <w:style w:type="character" w:customStyle="1" w:styleId="ListLabel365">
    <w:name w:val="ListLabel 365"/>
    <w:qFormat/>
    <w:rPr>
      <w:rFonts w:cs="OpenSymbol"/>
      <w:u w:val="none"/>
    </w:rPr>
  </w:style>
  <w:style w:type="character" w:customStyle="1" w:styleId="ListLabel366">
    <w:name w:val="ListLabel 366"/>
    <w:qFormat/>
    <w:rPr>
      <w:b w:val="0"/>
      <w:color w:val="000000"/>
      <w:u w:val="none"/>
      <w:vertAlign w:val="superscript"/>
    </w:rPr>
  </w:style>
  <w:style w:type="character" w:customStyle="1" w:styleId="ListLabel367">
    <w:name w:val="ListLabel 367"/>
    <w:qFormat/>
    <w:rPr>
      <w:color w:val="1155CC"/>
      <w:u w:val="single"/>
    </w:rPr>
  </w:style>
  <w:style w:type="character" w:customStyle="1" w:styleId="ListLabel368">
    <w:name w:val="ListLabel 368"/>
    <w:qFormat/>
    <w:rPr>
      <w:color w:val="1155CC"/>
      <w:sz w:val="20"/>
      <w:szCs w:val="20"/>
      <w:u w:val="single"/>
    </w:rPr>
  </w:style>
  <w:style w:type="character" w:customStyle="1" w:styleId="ListLabel369">
    <w:name w:val="ListLabel 369"/>
    <w:qFormat/>
    <w:rPr>
      <w:b w:val="0"/>
      <w:color w:val="000000"/>
      <w:sz w:val="20"/>
      <w:szCs w:val="20"/>
      <w:u w:val="none"/>
      <w:vertAlign w:val="superscript"/>
    </w:rPr>
  </w:style>
  <w:style w:type="character" w:customStyle="1" w:styleId="ListLabel370">
    <w:name w:val="ListLabel 370"/>
    <w:qFormat/>
    <w:rPr>
      <w:b w:val="0"/>
      <w:i w:val="0"/>
      <w:color w:val="000000"/>
      <w:sz w:val="22"/>
      <w:szCs w:val="22"/>
      <w:u w:val="none"/>
    </w:rPr>
  </w:style>
  <w:style w:type="character" w:customStyle="1" w:styleId="ListLabel371">
    <w:name w:val="ListLabel 371"/>
    <w:qFormat/>
    <w:rPr>
      <w:b w:val="0"/>
      <w:i/>
      <w:color w:val="000000"/>
      <w:sz w:val="22"/>
      <w:szCs w:val="22"/>
      <w:u w:val="none"/>
    </w:rPr>
  </w:style>
  <w:style w:type="character" w:customStyle="1" w:styleId="ListLabel372">
    <w:name w:val="ListLabel 372"/>
    <w:qFormat/>
    <w:rPr>
      <w:b/>
      <w:i w:val="0"/>
      <w:color w:val="000000"/>
      <w:sz w:val="22"/>
      <w:szCs w:val="22"/>
      <w:u w:val="none"/>
    </w:rPr>
  </w:style>
  <w:style w:type="character" w:customStyle="1" w:styleId="ListLabel373">
    <w:name w:val="ListLabel 373"/>
    <w:qFormat/>
    <w:rPr>
      <w:rFonts w:cs="OpenSymbol"/>
      <w:sz w:val="20"/>
      <w:u w:val="none"/>
    </w:rPr>
  </w:style>
  <w:style w:type="character" w:customStyle="1" w:styleId="ListLabel374">
    <w:name w:val="ListLabel 374"/>
    <w:qFormat/>
    <w:rPr>
      <w:rFonts w:cs="OpenSymbol"/>
      <w:u w:val="none"/>
    </w:rPr>
  </w:style>
  <w:style w:type="character" w:customStyle="1" w:styleId="ListLabel375">
    <w:name w:val="ListLabel 375"/>
    <w:qFormat/>
    <w:rPr>
      <w:rFonts w:cs="OpenSymbol"/>
      <w:u w:val="none"/>
    </w:rPr>
  </w:style>
  <w:style w:type="character" w:customStyle="1" w:styleId="ListLabel376">
    <w:name w:val="ListLabel 376"/>
    <w:qFormat/>
    <w:rPr>
      <w:rFonts w:cs="OpenSymbol"/>
      <w:u w:val="none"/>
    </w:rPr>
  </w:style>
  <w:style w:type="character" w:customStyle="1" w:styleId="ListLabel377">
    <w:name w:val="ListLabel 377"/>
    <w:qFormat/>
    <w:rPr>
      <w:rFonts w:cs="OpenSymbol"/>
      <w:u w:val="none"/>
    </w:rPr>
  </w:style>
  <w:style w:type="character" w:customStyle="1" w:styleId="ListLabel378">
    <w:name w:val="ListLabel 378"/>
    <w:qFormat/>
    <w:rPr>
      <w:rFonts w:cs="OpenSymbol"/>
      <w:u w:val="none"/>
    </w:rPr>
  </w:style>
  <w:style w:type="character" w:customStyle="1" w:styleId="ListLabel379">
    <w:name w:val="ListLabel 379"/>
    <w:qFormat/>
    <w:rPr>
      <w:rFonts w:cs="OpenSymbol"/>
      <w:u w:val="none"/>
    </w:rPr>
  </w:style>
  <w:style w:type="character" w:customStyle="1" w:styleId="ListLabel380">
    <w:name w:val="ListLabel 380"/>
    <w:qFormat/>
    <w:rPr>
      <w:rFonts w:cs="OpenSymbol"/>
      <w:u w:val="none"/>
    </w:rPr>
  </w:style>
  <w:style w:type="character" w:customStyle="1" w:styleId="ListLabel381">
    <w:name w:val="ListLabel 381"/>
    <w:qFormat/>
    <w:rPr>
      <w:rFonts w:cs="OpenSymbol"/>
      <w:u w:val="none"/>
    </w:rPr>
  </w:style>
  <w:style w:type="character" w:customStyle="1" w:styleId="ListLabel382">
    <w:name w:val="ListLabel 382"/>
    <w:qFormat/>
    <w:rPr>
      <w:rFonts w:cs="OpenSymbol"/>
      <w:sz w:val="20"/>
      <w:u w:val="none"/>
    </w:rPr>
  </w:style>
  <w:style w:type="character" w:customStyle="1" w:styleId="ListLabel383">
    <w:name w:val="ListLabel 383"/>
    <w:qFormat/>
    <w:rPr>
      <w:rFonts w:cs="OpenSymbol"/>
      <w:u w:val="none"/>
    </w:rPr>
  </w:style>
  <w:style w:type="character" w:customStyle="1" w:styleId="ListLabel384">
    <w:name w:val="ListLabel 384"/>
    <w:qFormat/>
    <w:rPr>
      <w:rFonts w:cs="OpenSymbol"/>
      <w:u w:val="none"/>
    </w:rPr>
  </w:style>
  <w:style w:type="character" w:customStyle="1" w:styleId="ListLabel385">
    <w:name w:val="ListLabel 385"/>
    <w:qFormat/>
    <w:rPr>
      <w:rFonts w:cs="OpenSymbol"/>
      <w:u w:val="none"/>
    </w:rPr>
  </w:style>
  <w:style w:type="character" w:customStyle="1" w:styleId="ListLabel386">
    <w:name w:val="ListLabel 386"/>
    <w:qFormat/>
    <w:rPr>
      <w:rFonts w:cs="OpenSymbol"/>
      <w:u w:val="none"/>
    </w:rPr>
  </w:style>
  <w:style w:type="character" w:customStyle="1" w:styleId="ListLabel387">
    <w:name w:val="ListLabel 387"/>
    <w:qFormat/>
    <w:rPr>
      <w:rFonts w:cs="OpenSymbol"/>
      <w:u w:val="none"/>
    </w:rPr>
  </w:style>
  <w:style w:type="character" w:customStyle="1" w:styleId="ListLabel388">
    <w:name w:val="ListLabel 388"/>
    <w:qFormat/>
    <w:rPr>
      <w:rFonts w:cs="OpenSymbol"/>
      <w:u w:val="none"/>
    </w:rPr>
  </w:style>
  <w:style w:type="character" w:customStyle="1" w:styleId="ListLabel389">
    <w:name w:val="ListLabel 389"/>
    <w:qFormat/>
    <w:rPr>
      <w:rFonts w:cs="OpenSymbol"/>
      <w:u w:val="none"/>
    </w:rPr>
  </w:style>
  <w:style w:type="character" w:customStyle="1" w:styleId="ListLabel390">
    <w:name w:val="ListLabel 390"/>
    <w:qFormat/>
    <w:rPr>
      <w:rFonts w:cs="OpenSymbol"/>
      <w:u w:val="none"/>
    </w:rPr>
  </w:style>
  <w:style w:type="character" w:customStyle="1" w:styleId="ListLabel391">
    <w:name w:val="ListLabel 391"/>
    <w:qFormat/>
    <w:rPr>
      <w:rFonts w:cs="OpenSymbol"/>
      <w:sz w:val="20"/>
      <w:u w:val="none"/>
    </w:rPr>
  </w:style>
  <w:style w:type="character" w:customStyle="1" w:styleId="ListLabel392">
    <w:name w:val="ListLabel 392"/>
    <w:qFormat/>
    <w:rPr>
      <w:rFonts w:cs="OpenSymbol"/>
      <w:u w:val="none"/>
    </w:rPr>
  </w:style>
  <w:style w:type="character" w:customStyle="1" w:styleId="ListLabel393">
    <w:name w:val="ListLabel 393"/>
    <w:qFormat/>
    <w:rPr>
      <w:rFonts w:cs="OpenSymbol"/>
      <w:u w:val="none"/>
    </w:rPr>
  </w:style>
  <w:style w:type="character" w:customStyle="1" w:styleId="ListLabel394">
    <w:name w:val="ListLabel 394"/>
    <w:qFormat/>
    <w:rPr>
      <w:rFonts w:cs="OpenSymbol"/>
      <w:u w:val="none"/>
    </w:rPr>
  </w:style>
  <w:style w:type="character" w:customStyle="1" w:styleId="ListLabel395">
    <w:name w:val="ListLabel 395"/>
    <w:qFormat/>
    <w:rPr>
      <w:rFonts w:cs="OpenSymbol"/>
      <w:u w:val="none"/>
    </w:rPr>
  </w:style>
  <w:style w:type="character" w:customStyle="1" w:styleId="ListLabel396">
    <w:name w:val="ListLabel 396"/>
    <w:qFormat/>
    <w:rPr>
      <w:rFonts w:cs="OpenSymbol"/>
      <w:u w:val="none"/>
    </w:rPr>
  </w:style>
  <w:style w:type="character" w:customStyle="1" w:styleId="ListLabel397">
    <w:name w:val="ListLabel 397"/>
    <w:qFormat/>
    <w:rPr>
      <w:rFonts w:cs="OpenSymbol"/>
      <w:u w:val="none"/>
    </w:rPr>
  </w:style>
  <w:style w:type="character" w:customStyle="1" w:styleId="ListLabel398">
    <w:name w:val="ListLabel 398"/>
    <w:qFormat/>
    <w:rPr>
      <w:rFonts w:cs="OpenSymbol"/>
      <w:u w:val="none"/>
    </w:rPr>
  </w:style>
  <w:style w:type="character" w:customStyle="1" w:styleId="ListLabel399">
    <w:name w:val="ListLabel 399"/>
    <w:qFormat/>
    <w:rPr>
      <w:rFonts w:cs="OpenSymbol"/>
      <w:u w:val="none"/>
    </w:rPr>
  </w:style>
  <w:style w:type="character" w:customStyle="1" w:styleId="ListLabel400">
    <w:name w:val="ListLabel 400"/>
    <w:qFormat/>
    <w:rPr>
      <w:rFonts w:cs="OpenSymbol"/>
      <w:sz w:val="20"/>
      <w:u w:val="none"/>
    </w:rPr>
  </w:style>
  <w:style w:type="character" w:customStyle="1" w:styleId="ListLabel401">
    <w:name w:val="ListLabel 401"/>
    <w:qFormat/>
    <w:rPr>
      <w:rFonts w:cs="OpenSymbol"/>
      <w:u w:val="none"/>
    </w:rPr>
  </w:style>
  <w:style w:type="character" w:customStyle="1" w:styleId="ListLabel402">
    <w:name w:val="ListLabel 402"/>
    <w:qFormat/>
    <w:rPr>
      <w:rFonts w:cs="OpenSymbol"/>
      <w:u w:val="none"/>
    </w:rPr>
  </w:style>
  <w:style w:type="character" w:customStyle="1" w:styleId="ListLabel403">
    <w:name w:val="ListLabel 403"/>
    <w:qFormat/>
    <w:rPr>
      <w:rFonts w:cs="OpenSymbol"/>
      <w:u w:val="none"/>
    </w:rPr>
  </w:style>
  <w:style w:type="character" w:customStyle="1" w:styleId="ListLabel404">
    <w:name w:val="ListLabel 404"/>
    <w:qFormat/>
    <w:rPr>
      <w:rFonts w:cs="OpenSymbol"/>
      <w:u w:val="none"/>
    </w:rPr>
  </w:style>
  <w:style w:type="character" w:customStyle="1" w:styleId="ListLabel405">
    <w:name w:val="ListLabel 405"/>
    <w:qFormat/>
    <w:rPr>
      <w:rFonts w:cs="OpenSymbol"/>
      <w:u w:val="none"/>
    </w:rPr>
  </w:style>
  <w:style w:type="character" w:customStyle="1" w:styleId="ListLabel406">
    <w:name w:val="ListLabel 406"/>
    <w:qFormat/>
    <w:rPr>
      <w:rFonts w:cs="OpenSymbol"/>
      <w:u w:val="none"/>
    </w:rPr>
  </w:style>
  <w:style w:type="character" w:customStyle="1" w:styleId="ListLabel407">
    <w:name w:val="ListLabel 407"/>
    <w:qFormat/>
    <w:rPr>
      <w:rFonts w:cs="OpenSymbol"/>
      <w:u w:val="none"/>
    </w:rPr>
  </w:style>
  <w:style w:type="character" w:customStyle="1" w:styleId="ListLabel408">
    <w:name w:val="ListLabel 408"/>
    <w:qFormat/>
    <w:rPr>
      <w:rFonts w:cs="OpenSymbol"/>
      <w:u w:val="none"/>
    </w:rPr>
  </w:style>
  <w:style w:type="character" w:customStyle="1" w:styleId="ListLabel409">
    <w:name w:val="ListLabel 409"/>
    <w:qFormat/>
    <w:rPr>
      <w:rFonts w:cs="OpenSymbol"/>
      <w:sz w:val="20"/>
      <w:u w:val="none"/>
    </w:rPr>
  </w:style>
  <w:style w:type="character" w:customStyle="1" w:styleId="ListLabel410">
    <w:name w:val="ListLabel 410"/>
    <w:qFormat/>
    <w:rPr>
      <w:rFonts w:cs="OpenSymbol"/>
      <w:u w:val="none"/>
    </w:rPr>
  </w:style>
  <w:style w:type="character" w:customStyle="1" w:styleId="ListLabel411">
    <w:name w:val="ListLabel 411"/>
    <w:qFormat/>
    <w:rPr>
      <w:rFonts w:cs="OpenSymbol"/>
      <w:u w:val="none"/>
    </w:rPr>
  </w:style>
  <w:style w:type="character" w:customStyle="1" w:styleId="ListLabel412">
    <w:name w:val="ListLabel 412"/>
    <w:qFormat/>
    <w:rPr>
      <w:rFonts w:cs="OpenSymbol"/>
      <w:u w:val="none"/>
    </w:rPr>
  </w:style>
  <w:style w:type="character" w:customStyle="1" w:styleId="ListLabel413">
    <w:name w:val="ListLabel 413"/>
    <w:qFormat/>
    <w:rPr>
      <w:rFonts w:cs="OpenSymbol"/>
      <w:u w:val="none"/>
    </w:rPr>
  </w:style>
  <w:style w:type="character" w:customStyle="1" w:styleId="ListLabel414">
    <w:name w:val="ListLabel 414"/>
    <w:qFormat/>
    <w:rPr>
      <w:rFonts w:cs="OpenSymbol"/>
      <w:u w:val="none"/>
    </w:rPr>
  </w:style>
  <w:style w:type="character" w:customStyle="1" w:styleId="ListLabel415">
    <w:name w:val="ListLabel 415"/>
    <w:qFormat/>
    <w:rPr>
      <w:rFonts w:cs="OpenSymbol"/>
      <w:u w:val="none"/>
    </w:rPr>
  </w:style>
  <w:style w:type="character" w:customStyle="1" w:styleId="ListLabel416">
    <w:name w:val="ListLabel 416"/>
    <w:qFormat/>
    <w:rPr>
      <w:rFonts w:cs="OpenSymbol"/>
      <w:u w:val="none"/>
    </w:rPr>
  </w:style>
  <w:style w:type="character" w:customStyle="1" w:styleId="ListLabel417">
    <w:name w:val="ListLabel 417"/>
    <w:qFormat/>
    <w:rPr>
      <w:rFonts w:cs="OpenSymbol"/>
      <w:u w:val="none"/>
    </w:rPr>
  </w:style>
  <w:style w:type="character" w:customStyle="1" w:styleId="ListLabel418">
    <w:name w:val="ListLabel 418"/>
    <w:qFormat/>
    <w:rPr>
      <w:rFonts w:cs="OpenSymbol"/>
      <w:sz w:val="20"/>
      <w:u w:val="none"/>
    </w:rPr>
  </w:style>
  <w:style w:type="character" w:customStyle="1" w:styleId="ListLabel419">
    <w:name w:val="ListLabel 419"/>
    <w:qFormat/>
    <w:rPr>
      <w:rFonts w:cs="OpenSymbol"/>
      <w:u w:val="none"/>
    </w:rPr>
  </w:style>
  <w:style w:type="character" w:customStyle="1" w:styleId="ListLabel420">
    <w:name w:val="ListLabel 420"/>
    <w:qFormat/>
    <w:rPr>
      <w:rFonts w:cs="OpenSymbol"/>
      <w:u w:val="none"/>
    </w:rPr>
  </w:style>
  <w:style w:type="character" w:customStyle="1" w:styleId="ListLabel421">
    <w:name w:val="ListLabel 421"/>
    <w:qFormat/>
    <w:rPr>
      <w:rFonts w:cs="OpenSymbol"/>
      <w:u w:val="none"/>
    </w:rPr>
  </w:style>
  <w:style w:type="character" w:customStyle="1" w:styleId="ListLabel422">
    <w:name w:val="ListLabel 422"/>
    <w:qFormat/>
    <w:rPr>
      <w:rFonts w:cs="OpenSymbol"/>
      <w:u w:val="none"/>
    </w:rPr>
  </w:style>
  <w:style w:type="character" w:customStyle="1" w:styleId="ListLabel423">
    <w:name w:val="ListLabel 423"/>
    <w:qFormat/>
    <w:rPr>
      <w:rFonts w:cs="OpenSymbol"/>
      <w:u w:val="none"/>
    </w:rPr>
  </w:style>
  <w:style w:type="character" w:customStyle="1" w:styleId="ListLabel424">
    <w:name w:val="ListLabel 424"/>
    <w:qFormat/>
    <w:rPr>
      <w:rFonts w:cs="OpenSymbol"/>
      <w:u w:val="none"/>
    </w:rPr>
  </w:style>
  <w:style w:type="character" w:customStyle="1" w:styleId="ListLabel425">
    <w:name w:val="ListLabel 425"/>
    <w:qFormat/>
    <w:rPr>
      <w:rFonts w:cs="OpenSymbol"/>
      <w:u w:val="none"/>
    </w:rPr>
  </w:style>
  <w:style w:type="character" w:customStyle="1" w:styleId="ListLabel426">
    <w:name w:val="ListLabel 426"/>
    <w:qFormat/>
    <w:rPr>
      <w:rFonts w:cs="OpenSymbol"/>
      <w:u w:val="none"/>
    </w:rPr>
  </w:style>
  <w:style w:type="character" w:customStyle="1" w:styleId="ListLabel427">
    <w:name w:val="ListLabel 427"/>
    <w:qFormat/>
    <w:rPr>
      <w:rFonts w:cs="OpenSymbol"/>
      <w:sz w:val="20"/>
      <w:u w:val="none"/>
    </w:rPr>
  </w:style>
  <w:style w:type="character" w:customStyle="1" w:styleId="ListLabel428">
    <w:name w:val="ListLabel 428"/>
    <w:qFormat/>
    <w:rPr>
      <w:rFonts w:cs="OpenSymbol"/>
      <w:u w:val="none"/>
    </w:rPr>
  </w:style>
  <w:style w:type="character" w:customStyle="1" w:styleId="ListLabel429">
    <w:name w:val="ListLabel 429"/>
    <w:qFormat/>
    <w:rPr>
      <w:rFonts w:cs="OpenSymbol"/>
      <w:u w:val="none"/>
    </w:rPr>
  </w:style>
  <w:style w:type="character" w:customStyle="1" w:styleId="ListLabel430">
    <w:name w:val="ListLabel 430"/>
    <w:qFormat/>
    <w:rPr>
      <w:rFonts w:cs="OpenSymbol"/>
      <w:u w:val="none"/>
    </w:rPr>
  </w:style>
  <w:style w:type="character" w:customStyle="1" w:styleId="ListLabel431">
    <w:name w:val="ListLabel 431"/>
    <w:qFormat/>
    <w:rPr>
      <w:rFonts w:cs="OpenSymbol"/>
      <w:u w:val="none"/>
    </w:rPr>
  </w:style>
  <w:style w:type="character" w:customStyle="1" w:styleId="ListLabel432">
    <w:name w:val="ListLabel 432"/>
    <w:qFormat/>
    <w:rPr>
      <w:rFonts w:cs="OpenSymbol"/>
      <w:u w:val="none"/>
    </w:rPr>
  </w:style>
  <w:style w:type="character" w:customStyle="1" w:styleId="ListLabel433">
    <w:name w:val="ListLabel 433"/>
    <w:qFormat/>
    <w:rPr>
      <w:rFonts w:cs="OpenSymbol"/>
      <w:u w:val="none"/>
    </w:rPr>
  </w:style>
  <w:style w:type="character" w:customStyle="1" w:styleId="ListLabel434">
    <w:name w:val="ListLabel 434"/>
    <w:qFormat/>
    <w:rPr>
      <w:rFonts w:cs="OpenSymbol"/>
      <w:u w:val="none"/>
    </w:rPr>
  </w:style>
  <w:style w:type="character" w:customStyle="1" w:styleId="ListLabel435">
    <w:name w:val="ListLabel 435"/>
    <w:qFormat/>
    <w:rPr>
      <w:rFonts w:cs="OpenSymbol"/>
      <w:u w:val="none"/>
    </w:rPr>
  </w:style>
  <w:style w:type="character" w:customStyle="1" w:styleId="ListLabel436">
    <w:name w:val="ListLabel 436"/>
    <w:qFormat/>
    <w:rPr>
      <w:rFonts w:cs="OpenSymbol"/>
      <w:sz w:val="20"/>
      <w:u w:val="none"/>
    </w:rPr>
  </w:style>
  <w:style w:type="character" w:customStyle="1" w:styleId="ListLabel437">
    <w:name w:val="ListLabel 437"/>
    <w:qFormat/>
    <w:rPr>
      <w:rFonts w:cs="OpenSymbol"/>
      <w:u w:val="none"/>
    </w:rPr>
  </w:style>
  <w:style w:type="character" w:customStyle="1" w:styleId="ListLabel438">
    <w:name w:val="ListLabel 438"/>
    <w:qFormat/>
    <w:rPr>
      <w:rFonts w:cs="OpenSymbol"/>
      <w:u w:val="none"/>
    </w:rPr>
  </w:style>
  <w:style w:type="character" w:customStyle="1" w:styleId="ListLabel439">
    <w:name w:val="ListLabel 439"/>
    <w:qFormat/>
    <w:rPr>
      <w:rFonts w:cs="OpenSymbol"/>
      <w:u w:val="none"/>
    </w:rPr>
  </w:style>
  <w:style w:type="character" w:customStyle="1" w:styleId="ListLabel440">
    <w:name w:val="ListLabel 440"/>
    <w:qFormat/>
    <w:rPr>
      <w:rFonts w:cs="OpenSymbol"/>
      <w:u w:val="none"/>
    </w:rPr>
  </w:style>
  <w:style w:type="character" w:customStyle="1" w:styleId="ListLabel441">
    <w:name w:val="ListLabel 441"/>
    <w:qFormat/>
    <w:rPr>
      <w:rFonts w:cs="OpenSymbol"/>
      <w:u w:val="none"/>
    </w:rPr>
  </w:style>
  <w:style w:type="character" w:customStyle="1" w:styleId="ListLabel442">
    <w:name w:val="ListLabel 442"/>
    <w:qFormat/>
    <w:rPr>
      <w:rFonts w:cs="OpenSymbol"/>
      <w:u w:val="none"/>
    </w:rPr>
  </w:style>
  <w:style w:type="character" w:customStyle="1" w:styleId="ListLabel443">
    <w:name w:val="ListLabel 443"/>
    <w:qFormat/>
    <w:rPr>
      <w:rFonts w:cs="OpenSymbol"/>
      <w:u w:val="none"/>
    </w:rPr>
  </w:style>
  <w:style w:type="character" w:customStyle="1" w:styleId="ListLabel444">
    <w:name w:val="ListLabel 444"/>
    <w:qFormat/>
    <w:rPr>
      <w:rFonts w:cs="OpenSymbol"/>
      <w:u w:val="none"/>
    </w:rPr>
  </w:style>
  <w:style w:type="character" w:customStyle="1" w:styleId="ListLabel445">
    <w:name w:val="ListLabel 445"/>
    <w:qFormat/>
    <w:rPr>
      <w:rFonts w:cs="OpenSymbol"/>
      <w:sz w:val="20"/>
      <w:u w:val="none"/>
    </w:rPr>
  </w:style>
  <w:style w:type="character" w:customStyle="1" w:styleId="ListLabel446">
    <w:name w:val="ListLabel 446"/>
    <w:qFormat/>
    <w:rPr>
      <w:rFonts w:cs="OpenSymbol"/>
      <w:u w:val="none"/>
    </w:rPr>
  </w:style>
  <w:style w:type="character" w:customStyle="1" w:styleId="ListLabel447">
    <w:name w:val="ListLabel 447"/>
    <w:qFormat/>
    <w:rPr>
      <w:rFonts w:cs="OpenSymbol"/>
      <w:u w:val="none"/>
    </w:rPr>
  </w:style>
  <w:style w:type="character" w:customStyle="1" w:styleId="ListLabel448">
    <w:name w:val="ListLabel 448"/>
    <w:qFormat/>
    <w:rPr>
      <w:rFonts w:cs="OpenSymbol"/>
      <w:u w:val="none"/>
    </w:rPr>
  </w:style>
  <w:style w:type="character" w:customStyle="1" w:styleId="ListLabel449">
    <w:name w:val="ListLabel 449"/>
    <w:qFormat/>
    <w:rPr>
      <w:rFonts w:cs="OpenSymbol"/>
      <w:u w:val="none"/>
    </w:rPr>
  </w:style>
  <w:style w:type="character" w:customStyle="1" w:styleId="ListLabel450">
    <w:name w:val="ListLabel 450"/>
    <w:qFormat/>
    <w:rPr>
      <w:rFonts w:cs="OpenSymbol"/>
      <w:u w:val="none"/>
    </w:rPr>
  </w:style>
  <w:style w:type="character" w:customStyle="1" w:styleId="ListLabel451">
    <w:name w:val="ListLabel 451"/>
    <w:qFormat/>
    <w:rPr>
      <w:rFonts w:cs="OpenSymbol"/>
      <w:u w:val="none"/>
    </w:rPr>
  </w:style>
  <w:style w:type="character" w:customStyle="1" w:styleId="ListLabel452">
    <w:name w:val="ListLabel 452"/>
    <w:qFormat/>
    <w:rPr>
      <w:rFonts w:cs="OpenSymbol"/>
      <w:u w:val="none"/>
    </w:rPr>
  </w:style>
  <w:style w:type="character" w:customStyle="1" w:styleId="ListLabel453">
    <w:name w:val="ListLabel 453"/>
    <w:qFormat/>
    <w:rPr>
      <w:rFonts w:cs="OpenSymbol"/>
      <w:u w:val="none"/>
    </w:rPr>
  </w:style>
  <w:style w:type="character" w:customStyle="1" w:styleId="ListLabel454">
    <w:name w:val="ListLabel 454"/>
    <w:qFormat/>
    <w:rPr>
      <w:rFonts w:cs="OpenSymbol"/>
      <w:sz w:val="20"/>
      <w:u w:val="none"/>
    </w:rPr>
  </w:style>
  <w:style w:type="character" w:customStyle="1" w:styleId="ListLabel455">
    <w:name w:val="ListLabel 455"/>
    <w:qFormat/>
    <w:rPr>
      <w:rFonts w:cs="OpenSymbol"/>
      <w:u w:val="none"/>
    </w:rPr>
  </w:style>
  <w:style w:type="character" w:customStyle="1" w:styleId="ListLabel456">
    <w:name w:val="ListLabel 456"/>
    <w:qFormat/>
    <w:rPr>
      <w:rFonts w:cs="OpenSymbol"/>
      <w:u w:val="none"/>
    </w:rPr>
  </w:style>
  <w:style w:type="character" w:customStyle="1" w:styleId="ListLabel457">
    <w:name w:val="ListLabel 457"/>
    <w:qFormat/>
    <w:rPr>
      <w:rFonts w:cs="OpenSymbol"/>
      <w:u w:val="none"/>
    </w:rPr>
  </w:style>
  <w:style w:type="character" w:customStyle="1" w:styleId="ListLabel458">
    <w:name w:val="ListLabel 458"/>
    <w:qFormat/>
    <w:rPr>
      <w:rFonts w:cs="OpenSymbol"/>
      <w:u w:val="none"/>
    </w:rPr>
  </w:style>
  <w:style w:type="character" w:customStyle="1" w:styleId="ListLabel459">
    <w:name w:val="ListLabel 459"/>
    <w:qFormat/>
    <w:rPr>
      <w:rFonts w:cs="OpenSymbol"/>
      <w:u w:val="none"/>
    </w:rPr>
  </w:style>
  <w:style w:type="character" w:customStyle="1" w:styleId="ListLabel460">
    <w:name w:val="ListLabel 460"/>
    <w:qFormat/>
    <w:rPr>
      <w:rFonts w:cs="OpenSymbol"/>
      <w:u w:val="none"/>
    </w:rPr>
  </w:style>
  <w:style w:type="character" w:customStyle="1" w:styleId="ListLabel461">
    <w:name w:val="ListLabel 461"/>
    <w:qFormat/>
    <w:rPr>
      <w:rFonts w:cs="OpenSymbol"/>
      <w:u w:val="none"/>
    </w:rPr>
  </w:style>
  <w:style w:type="character" w:customStyle="1" w:styleId="ListLabel462">
    <w:name w:val="ListLabel 462"/>
    <w:qFormat/>
    <w:rPr>
      <w:rFonts w:cs="OpenSymbol"/>
      <w:u w:val="none"/>
    </w:rPr>
  </w:style>
  <w:style w:type="character" w:customStyle="1" w:styleId="ListLabel463">
    <w:name w:val="ListLabel 463"/>
    <w:qFormat/>
    <w:rPr>
      <w:rFonts w:cs="OpenSymbol"/>
      <w:sz w:val="20"/>
      <w:u w:val="none"/>
    </w:rPr>
  </w:style>
  <w:style w:type="character" w:customStyle="1" w:styleId="ListLabel464">
    <w:name w:val="ListLabel 464"/>
    <w:qFormat/>
    <w:rPr>
      <w:rFonts w:cs="OpenSymbol"/>
      <w:u w:val="none"/>
    </w:rPr>
  </w:style>
  <w:style w:type="character" w:customStyle="1" w:styleId="ListLabel465">
    <w:name w:val="ListLabel 465"/>
    <w:qFormat/>
    <w:rPr>
      <w:rFonts w:cs="OpenSymbol"/>
      <w:u w:val="none"/>
    </w:rPr>
  </w:style>
  <w:style w:type="character" w:customStyle="1" w:styleId="ListLabel466">
    <w:name w:val="ListLabel 466"/>
    <w:qFormat/>
    <w:rPr>
      <w:rFonts w:cs="OpenSymbol"/>
      <w:u w:val="none"/>
    </w:rPr>
  </w:style>
  <w:style w:type="character" w:customStyle="1" w:styleId="ListLabel467">
    <w:name w:val="ListLabel 467"/>
    <w:qFormat/>
    <w:rPr>
      <w:rFonts w:cs="OpenSymbol"/>
      <w:u w:val="none"/>
    </w:rPr>
  </w:style>
  <w:style w:type="character" w:customStyle="1" w:styleId="ListLabel468">
    <w:name w:val="ListLabel 468"/>
    <w:qFormat/>
    <w:rPr>
      <w:rFonts w:cs="OpenSymbol"/>
      <w:u w:val="none"/>
    </w:rPr>
  </w:style>
  <w:style w:type="character" w:customStyle="1" w:styleId="ListLabel469">
    <w:name w:val="ListLabel 469"/>
    <w:qFormat/>
    <w:rPr>
      <w:rFonts w:cs="OpenSymbol"/>
      <w:u w:val="none"/>
    </w:rPr>
  </w:style>
  <w:style w:type="character" w:customStyle="1" w:styleId="ListLabel470">
    <w:name w:val="ListLabel 470"/>
    <w:qFormat/>
    <w:rPr>
      <w:rFonts w:cs="OpenSymbol"/>
      <w:u w:val="none"/>
    </w:rPr>
  </w:style>
  <w:style w:type="character" w:customStyle="1" w:styleId="ListLabel471">
    <w:name w:val="ListLabel 471"/>
    <w:qFormat/>
    <w:rPr>
      <w:rFonts w:cs="OpenSymbol"/>
      <w:u w:val="none"/>
    </w:rPr>
  </w:style>
  <w:style w:type="character" w:customStyle="1" w:styleId="ListLabel472">
    <w:name w:val="ListLabel 472"/>
    <w:qFormat/>
    <w:rPr>
      <w:rFonts w:cs="OpenSymbol"/>
      <w:sz w:val="20"/>
      <w:u w:val="none"/>
    </w:rPr>
  </w:style>
  <w:style w:type="character" w:customStyle="1" w:styleId="ListLabel473">
    <w:name w:val="ListLabel 473"/>
    <w:qFormat/>
    <w:rPr>
      <w:rFonts w:cs="OpenSymbol"/>
      <w:u w:val="none"/>
    </w:rPr>
  </w:style>
  <w:style w:type="character" w:customStyle="1" w:styleId="ListLabel474">
    <w:name w:val="ListLabel 474"/>
    <w:qFormat/>
    <w:rPr>
      <w:rFonts w:cs="OpenSymbol"/>
      <w:u w:val="none"/>
    </w:rPr>
  </w:style>
  <w:style w:type="character" w:customStyle="1" w:styleId="ListLabel475">
    <w:name w:val="ListLabel 475"/>
    <w:qFormat/>
    <w:rPr>
      <w:rFonts w:cs="OpenSymbol"/>
      <w:u w:val="none"/>
    </w:rPr>
  </w:style>
  <w:style w:type="character" w:customStyle="1" w:styleId="ListLabel476">
    <w:name w:val="ListLabel 476"/>
    <w:qFormat/>
    <w:rPr>
      <w:rFonts w:cs="OpenSymbol"/>
      <w:u w:val="none"/>
    </w:rPr>
  </w:style>
  <w:style w:type="character" w:customStyle="1" w:styleId="ListLabel477">
    <w:name w:val="ListLabel 477"/>
    <w:qFormat/>
    <w:rPr>
      <w:rFonts w:cs="OpenSymbol"/>
      <w:u w:val="none"/>
    </w:rPr>
  </w:style>
  <w:style w:type="character" w:customStyle="1" w:styleId="ListLabel478">
    <w:name w:val="ListLabel 478"/>
    <w:qFormat/>
    <w:rPr>
      <w:rFonts w:cs="OpenSymbol"/>
      <w:u w:val="none"/>
    </w:rPr>
  </w:style>
  <w:style w:type="character" w:customStyle="1" w:styleId="ListLabel479">
    <w:name w:val="ListLabel 479"/>
    <w:qFormat/>
    <w:rPr>
      <w:rFonts w:cs="OpenSymbol"/>
      <w:u w:val="none"/>
    </w:rPr>
  </w:style>
  <w:style w:type="character" w:customStyle="1" w:styleId="ListLabel480">
    <w:name w:val="ListLabel 480"/>
    <w:qFormat/>
    <w:rPr>
      <w:rFonts w:cs="OpenSymbol"/>
      <w:u w:val="none"/>
    </w:rPr>
  </w:style>
  <w:style w:type="character" w:customStyle="1" w:styleId="ListLabel481">
    <w:name w:val="ListLabel 481"/>
    <w:qFormat/>
    <w:rPr>
      <w:rFonts w:cs="OpenSymbol"/>
      <w:sz w:val="20"/>
      <w:u w:val="none"/>
    </w:rPr>
  </w:style>
  <w:style w:type="character" w:customStyle="1" w:styleId="ListLabel482">
    <w:name w:val="ListLabel 482"/>
    <w:qFormat/>
    <w:rPr>
      <w:rFonts w:cs="OpenSymbol"/>
      <w:u w:val="none"/>
    </w:rPr>
  </w:style>
  <w:style w:type="character" w:customStyle="1" w:styleId="ListLabel483">
    <w:name w:val="ListLabel 483"/>
    <w:qFormat/>
    <w:rPr>
      <w:rFonts w:cs="OpenSymbol"/>
      <w:u w:val="none"/>
    </w:rPr>
  </w:style>
  <w:style w:type="character" w:customStyle="1" w:styleId="ListLabel484">
    <w:name w:val="ListLabel 484"/>
    <w:qFormat/>
    <w:rPr>
      <w:rFonts w:cs="OpenSymbol"/>
      <w:u w:val="none"/>
    </w:rPr>
  </w:style>
  <w:style w:type="character" w:customStyle="1" w:styleId="ListLabel485">
    <w:name w:val="ListLabel 485"/>
    <w:qFormat/>
    <w:rPr>
      <w:rFonts w:cs="OpenSymbol"/>
      <w:u w:val="none"/>
    </w:rPr>
  </w:style>
  <w:style w:type="character" w:customStyle="1" w:styleId="ListLabel486">
    <w:name w:val="ListLabel 486"/>
    <w:qFormat/>
    <w:rPr>
      <w:rFonts w:cs="OpenSymbol"/>
      <w:u w:val="none"/>
    </w:rPr>
  </w:style>
  <w:style w:type="character" w:customStyle="1" w:styleId="ListLabel487">
    <w:name w:val="ListLabel 487"/>
    <w:qFormat/>
    <w:rPr>
      <w:rFonts w:cs="OpenSymbol"/>
      <w:u w:val="none"/>
    </w:rPr>
  </w:style>
  <w:style w:type="character" w:customStyle="1" w:styleId="ListLabel488">
    <w:name w:val="ListLabel 488"/>
    <w:qFormat/>
    <w:rPr>
      <w:rFonts w:cs="OpenSymbol"/>
      <w:u w:val="none"/>
    </w:rPr>
  </w:style>
  <w:style w:type="character" w:customStyle="1" w:styleId="ListLabel489">
    <w:name w:val="ListLabel 489"/>
    <w:qFormat/>
    <w:rPr>
      <w:rFonts w:cs="OpenSymbol"/>
      <w:u w:val="none"/>
    </w:rPr>
  </w:style>
  <w:style w:type="character" w:customStyle="1" w:styleId="ListLabel490">
    <w:name w:val="ListLabel 490"/>
    <w:qFormat/>
    <w:rPr>
      <w:b w:val="0"/>
      <w:color w:val="000000"/>
      <w:u w:val="none"/>
      <w:vertAlign w:val="superscript"/>
    </w:rPr>
  </w:style>
  <w:style w:type="character" w:customStyle="1" w:styleId="ListLabel491">
    <w:name w:val="ListLabel 491"/>
    <w:qFormat/>
    <w:rPr>
      <w:color w:val="1155CC"/>
      <w:u w:val="single"/>
    </w:rPr>
  </w:style>
  <w:style w:type="character" w:customStyle="1" w:styleId="ListLabel492">
    <w:name w:val="ListLabel 492"/>
    <w:qFormat/>
    <w:rPr>
      <w:color w:val="1155CC"/>
      <w:sz w:val="20"/>
      <w:szCs w:val="20"/>
      <w:u w:val="single"/>
    </w:rPr>
  </w:style>
  <w:style w:type="character" w:customStyle="1" w:styleId="ListLabel493">
    <w:name w:val="ListLabel 493"/>
    <w:qFormat/>
    <w:rPr>
      <w:b w:val="0"/>
      <w:color w:val="000000"/>
      <w:sz w:val="20"/>
      <w:szCs w:val="20"/>
      <w:u w:val="none"/>
      <w:vertAlign w:val="superscript"/>
    </w:rPr>
  </w:style>
  <w:style w:type="character" w:customStyle="1" w:styleId="ListLabel494">
    <w:name w:val="ListLabel 494"/>
    <w:qFormat/>
    <w:rPr>
      <w:b w:val="0"/>
      <w:i w:val="0"/>
      <w:color w:val="000000"/>
      <w:sz w:val="22"/>
      <w:szCs w:val="22"/>
      <w:u w:val="none"/>
    </w:rPr>
  </w:style>
  <w:style w:type="character" w:customStyle="1" w:styleId="ListLabel495">
    <w:name w:val="ListLabel 495"/>
    <w:qFormat/>
    <w:rPr>
      <w:b w:val="0"/>
      <w:i/>
      <w:color w:val="000000"/>
      <w:sz w:val="22"/>
      <w:szCs w:val="22"/>
      <w:u w:val="none"/>
    </w:rPr>
  </w:style>
  <w:style w:type="character" w:customStyle="1" w:styleId="ListLabel496">
    <w:name w:val="ListLabel 496"/>
    <w:qFormat/>
    <w:rPr>
      <w:b/>
      <w:i w:val="0"/>
      <w:color w:val="000000"/>
      <w:sz w:val="22"/>
      <w:szCs w:val="22"/>
      <w:u w:val="none"/>
    </w:rPr>
  </w:style>
  <w:style w:type="character" w:customStyle="1" w:styleId="ListLabel497">
    <w:name w:val="ListLabel 497"/>
    <w:qFormat/>
    <w:rPr>
      <w:rFonts w:cs="OpenSymbol"/>
      <w:sz w:val="20"/>
      <w:u w:val="none"/>
    </w:rPr>
  </w:style>
  <w:style w:type="character" w:customStyle="1" w:styleId="ListLabel498">
    <w:name w:val="ListLabel 498"/>
    <w:qFormat/>
    <w:rPr>
      <w:rFonts w:cs="OpenSymbol"/>
      <w:u w:val="none"/>
    </w:rPr>
  </w:style>
  <w:style w:type="character" w:customStyle="1" w:styleId="ListLabel499">
    <w:name w:val="ListLabel 499"/>
    <w:qFormat/>
    <w:rPr>
      <w:rFonts w:cs="OpenSymbol"/>
      <w:u w:val="none"/>
    </w:rPr>
  </w:style>
  <w:style w:type="character" w:customStyle="1" w:styleId="ListLabel500">
    <w:name w:val="ListLabel 500"/>
    <w:qFormat/>
    <w:rPr>
      <w:rFonts w:cs="OpenSymbol"/>
      <w:u w:val="none"/>
    </w:rPr>
  </w:style>
  <w:style w:type="character" w:customStyle="1" w:styleId="ListLabel501">
    <w:name w:val="ListLabel 501"/>
    <w:qFormat/>
    <w:rPr>
      <w:rFonts w:cs="OpenSymbol"/>
      <w:u w:val="none"/>
    </w:rPr>
  </w:style>
  <w:style w:type="character" w:customStyle="1" w:styleId="ListLabel502">
    <w:name w:val="ListLabel 502"/>
    <w:qFormat/>
    <w:rPr>
      <w:rFonts w:cs="OpenSymbol"/>
      <w:u w:val="none"/>
    </w:rPr>
  </w:style>
  <w:style w:type="character" w:customStyle="1" w:styleId="ListLabel503">
    <w:name w:val="ListLabel 503"/>
    <w:qFormat/>
    <w:rPr>
      <w:rFonts w:cs="OpenSymbol"/>
      <w:u w:val="none"/>
    </w:rPr>
  </w:style>
  <w:style w:type="character" w:customStyle="1" w:styleId="ListLabel504">
    <w:name w:val="ListLabel 504"/>
    <w:qFormat/>
    <w:rPr>
      <w:rFonts w:cs="OpenSymbol"/>
      <w:u w:val="none"/>
    </w:rPr>
  </w:style>
  <w:style w:type="character" w:customStyle="1" w:styleId="ListLabel505">
    <w:name w:val="ListLabel 505"/>
    <w:qFormat/>
    <w:rPr>
      <w:rFonts w:cs="OpenSymbol"/>
      <w:u w:val="none"/>
    </w:rPr>
  </w:style>
  <w:style w:type="character" w:customStyle="1" w:styleId="ListLabel506">
    <w:name w:val="ListLabel 506"/>
    <w:qFormat/>
    <w:rPr>
      <w:rFonts w:cs="OpenSymbol"/>
      <w:sz w:val="20"/>
      <w:u w:val="none"/>
    </w:rPr>
  </w:style>
  <w:style w:type="character" w:customStyle="1" w:styleId="ListLabel507">
    <w:name w:val="ListLabel 507"/>
    <w:qFormat/>
    <w:rPr>
      <w:rFonts w:cs="OpenSymbol"/>
      <w:u w:val="none"/>
    </w:rPr>
  </w:style>
  <w:style w:type="character" w:customStyle="1" w:styleId="ListLabel508">
    <w:name w:val="ListLabel 508"/>
    <w:qFormat/>
    <w:rPr>
      <w:rFonts w:cs="OpenSymbol"/>
      <w:u w:val="none"/>
    </w:rPr>
  </w:style>
  <w:style w:type="character" w:customStyle="1" w:styleId="ListLabel509">
    <w:name w:val="ListLabel 509"/>
    <w:qFormat/>
    <w:rPr>
      <w:rFonts w:cs="OpenSymbol"/>
      <w:u w:val="none"/>
    </w:rPr>
  </w:style>
  <w:style w:type="character" w:customStyle="1" w:styleId="ListLabel510">
    <w:name w:val="ListLabel 510"/>
    <w:qFormat/>
    <w:rPr>
      <w:rFonts w:cs="OpenSymbol"/>
      <w:u w:val="none"/>
    </w:rPr>
  </w:style>
  <w:style w:type="character" w:customStyle="1" w:styleId="ListLabel511">
    <w:name w:val="ListLabel 511"/>
    <w:qFormat/>
    <w:rPr>
      <w:rFonts w:cs="OpenSymbol"/>
      <w:u w:val="none"/>
    </w:rPr>
  </w:style>
  <w:style w:type="character" w:customStyle="1" w:styleId="ListLabel512">
    <w:name w:val="ListLabel 512"/>
    <w:qFormat/>
    <w:rPr>
      <w:rFonts w:cs="OpenSymbol"/>
      <w:u w:val="none"/>
    </w:rPr>
  </w:style>
  <w:style w:type="character" w:customStyle="1" w:styleId="ListLabel513">
    <w:name w:val="ListLabel 513"/>
    <w:qFormat/>
    <w:rPr>
      <w:rFonts w:cs="OpenSymbol"/>
      <w:u w:val="none"/>
    </w:rPr>
  </w:style>
  <w:style w:type="character" w:customStyle="1" w:styleId="ListLabel514">
    <w:name w:val="ListLabel 514"/>
    <w:qFormat/>
    <w:rPr>
      <w:rFonts w:cs="OpenSymbol"/>
      <w:u w:val="none"/>
    </w:rPr>
  </w:style>
  <w:style w:type="character" w:customStyle="1" w:styleId="ListLabel515">
    <w:name w:val="ListLabel 515"/>
    <w:qFormat/>
    <w:rPr>
      <w:rFonts w:cs="OpenSymbol"/>
      <w:sz w:val="20"/>
      <w:u w:val="none"/>
    </w:rPr>
  </w:style>
  <w:style w:type="character" w:customStyle="1" w:styleId="ListLabel516">
    <w:name w:val="ListLabel 516"/>
    <w:qFormat/>
    <w:rPr>
      <w:rFonts w:cs="OpenSymbol"/>
      <w:u w:val="none"/>
    </w:rPr>
  </w:style>
  <w:style w:type="character" w:customStyle="1" w:styleId="ListLabel517">
    <w:name w:val="ListLabel 517"/>
    <w:qFormat/>
    <w:rPr>
      <w:rFonts w:cs="OpenSymbol"/>
      <w:u w:val="none"/>
    </w:rPr>
  </w:style>
  <w:style w:type="character" w:customStyle="1" w:styleId="ListLabel518">
    <w:name w:val="ListLabel 518"/>
    <w:qFormat/>
    <w:rPr>
      <w:rFonts w:cs="OpenSymbol"/>
      <w:u w:val="none"/>
    </w:rPr>
  </w:style>
  <w:style w:type="character" w:customStyle="1" w:styleId="ListLabel519">
    <w:name w:val="ListLabel 519"/>
    <w:qFormat/>
    <w:rPr>
      <w:rFonts w:cs="OpenSymbol"/>
      <w:u w:val="none"/>
    </w:rPr>
  </w:style>
  <w:style w:type="character" w:customStyle="1" w:styleId="ListLabel520">
    <w:name w:val="ListLabel 520"/>
    <w:qFormat/>
    <w:rPr>
      <w:rFonts w:cs="OpenSymbol"/>
      <w:u w:val="none"/>
    </w:rPr>
  </w:style>
  <w:style w:type="character" w:customStyle="1" w:styleId="ListLabel521">
    <w:name w:val="ListLabel 521"/>
    <w:qFormat/>
    <w:rPr>
      <w:rFonts w:cs="OpenSymbol"/>
      <w:u w:val="none"/>
    </w:rPr>
  </w:style>
  <w:style w:type="character" w:customStyle="1" w:styleId="ListLabel522">
    <w:name w:val="ListLabel 522"/>
    <w:qFormat/>
    <w:rPr>
      <w:rFonts w:cs="OpenSymbol"/>
      <w:u w:val="none"/>
    </w:rPr>
  </w:style>
  <w:style w:type="character" w:customStyle="1" w:styleId="ListLabel523">
    <w:name w:val="ListLabel 523"/>
    <w:qFormat/>
    <w:rPr>
      <w:rFonts w:cs="OpenSymbol"/>
      <w:u w:val="none"/>
    </w:rPr>
  </w:style>
  <w:style w:type="character" w:customStyle="1" w:styleId="ListLabel524">
    <w:name w:val="ListLabel 524"/>
    <w:qFormat/>
    <w:rPr>
      <w:rFonts w:cs="OpenSymbol"/>
      <w:sz w:val="20"/>
      <w:u w:val="none"/>
    </w:rPr>
  </w:style>
  <w:style w:type="character" w:customStyle="1" w:styleId="ListLabel525">
    <w:name w:val="ListLabel 525"/>
    <w:qFormat/>
    <w:rPr>
      <w:rFonts w:cs="OpenSymbol"/>
      <w:u w:val="none"/>
    </w:rPr>
  </w:style>
  <w:style w:type="character" w:customStyle="1" w:styleId="ListLabel526">
    <w:name w:val="ListLabel 526"/>
    <w:qFormat/>
    <w:rPr>
      <w:rFonts w:cs="OpenSymbol"/>
      <w:u w:val="none"/>
    </w:rPr>
  </w:style>
  <w:style w:type="character" w:customStyle="1" w:styleId="ListLabel527">
    <w:name w:val="ListLabel 527"/>
    <w:qFormat/>
    <w:rPr>
      <w:rFonts w:cs="OpenSymbol"/>
      <w:u w:val="none"/>
    </w:rPr>
  </w:style>
  <w:style w:type="character" w:customStyle="1" w:styleId="ListLabel528">
    <w:name w:val="ListLabel 528"/>
    <w:qFormat/>
    <w:rPr>
      <w:rFonts w:cs="OpenSymbol"/>
      <w:u w:val="none"/>
    </w:rPr>
  </w:style>
  <w:style w:type="character" w:customStyle="1" w:styleId="ListLabel529">
    <w:name w:val="ListLabel 529"/>
    <w:qFormat/>
    <w:rPr>
      <w:rFonts w:cs="OpenSymbol"/>
      <w:u w:val="none"/>
    </w:rPr>
  </w:style>
  <w:style w:type="character" w:customStyle="1" w:styleId="ListLabel530">
    <w:name w:val="ListLabel 530"/>
    <w:qFormat/>
    <w:rPr>
      <w:rFonts w:cs="OpenSymbol"/>
      <w:u w:val="none"/>
    </w:rPr>
  </w:style>
  <w:style w:type="character" w:customStyle="1" w:styleId="ListLabel531">
    <w:name w:val="ListLabel 531"/>
    <w:qFormat/>
    <w:rPr>
      <w:rFonts w:cs="OpenSymbol"/>
      <w:u w:val="none"/>
    </w:rPr>
  </w:style>
  <w:style w:type="character" w:customStyle="1" w:styleId="ListLabel532">
    <w:name w:val="ListLabel 532"/>
    <w:qFormat/>
    <w:rPr>
      <w:rFonts w:cs="OpenSymbol"/>
      <w:u w:val="none"/>
    </w:rPr>
  </w:style>
  <w:style w:type="character" w:customStyle="1" w:styleId="ListLabel533">
    <w:name w:val="ListLabel 533"/>
    <w:qFormat/>
    <w:rPr>
      <w:rFonts w:cs="OpenSymbol"/>
      <w:sz w:val="20"/>
      <w:u w:val="none"/>
    </w:rPr>
  </w:style>
  <w:style w:type="character" w:customStyle="1" w:styleId="ListLabel534">
    <w:name w:val="ListLabel 534"/>
    <w:qFormat/>
    <w:rPr>
      <w:rFonts w:cs="OpenSymbol"/>
      <w:u w:val="none"/>
    </w:rPr>
  </w:style>
  <w:style w:type="character" w:customStyle="1" w:styleId="ListLabel535">
    <w:name w:val="ListLabel 535"/>
    <w:qFormat/>
    <w:rPr>
      <w:rFonts w:cs="OpenSymbol"/>
      <w:u w:val="none"/>
    </w:rPr>
  </w:style>
  <w:style w:type="character" w:customStyle="1" w:styleId="ListLabel536">
    <w:name w:val="ListLabel 536"/>
    <w:qFormat/>
    <w:rPr>
      <w:rFonts w:cs="OpenSymbol"/>
      <w:u w:val="none"/>
    </w:rPr>
  </w:style>
  <w:style w:type="character" w:customStyle="1" w:styleId="ListLabel537">
    <w:name w:val="ListLabel 537"/>
    <w:qFormat/>
    <w:rPr>
      <w:rFonts w:cs="OpenSymbol"/>
      <w:u w:val="none"/>
    </w:rPr>
  </w:style>
  <w:style w:type="character" w:customStyle="1" w:styleId="ListLabel538">
    <w:name w:val="ListLabel 538"/>
    <w:qFormat/>
    <w:rPr>
      <w:rFonts w:cs="OpenSymbol"/>
      <w:u w:val="none"/>
    </w:rPr>
  </w:style>
  <w:style w:type="character" w:customStyle="1" w:styleId="ListLabel539">
    <w:name w:val="ListLabel 539"/>
    <w:qFormat/>
    <w:rPr>
      <w:rFonts w:cs="OpenSymbol"/>
      <w:u w:val="none"/>
    </w:rPr>
  </w:style>
  <w:style w:type="character" w:customStyle="1" w:styleId="ListLabel540">
    <w:name w:val="ListLabel 540"/>
    <w:qFormat/>
    <w:rPr>
      <w:rFonts w:cs="OpenSymbol"/>
      <w:u w:val="none"/>
    </w:rPr>
  </w:style>
  <w:style w:type="character" w:customStyle="1" w:styleId="ListLabel541">
    <w:name w:val="ListLabel 541"/>
    <w:qFormat/>
    <w:rPr>
      <w:rFonts w:cs="OpenSymbol"/>
      <w:u w:val="none"/>
    </w:rPr>
  </w:style>
  <w:style w:type="character" w:customStyle="1" w:styleId="ListLabel542">
    <w:name w:val="ListLabel 542"/>
    <w:qFormat/>
    <w:rPr>
      <w:rFonts w:cs="OpenSymbol"/>
      <w:sz w:val="20"/>
      <w:u w:val="none"/>
    </w:rPr>
  </w:style>
  <w:style w:type="character" w:customStyle="1" w:styleId="ListLabel543">
    <w:name w:val="ListLabel 543"/>
    <w:qFormat/>
    <w:rPr>
      <w:rFonts w:cs="OpenSymbol"/>
      <w:u w:val="none"/>
    </w:rPr>
  </w:style>
  <w:style w:type="character" w:customStyle="1" w:styleId="ListLabel544">
    <w:name w:val="ListLabel 544"/>
    <w:qFormat/>
    <w:rPr>
      <w:rFonts w:cs="OpenSymbol"/>
      <w:u w:val="none"/>
    </w:rPr>
  </w:style>
  <w:style w:type="character" w:customStyle="1" w:styleId="ListLabel545">
    <w:name w:val="ListLabel 545"/>
    <w:qFormat/>
    <w:rPr>
      <w:rFonts w:cs="OpenSymbol"/>
      <w:u w:val="none"/>
    </w:rPr>
  </w:style>
  <w:style w:type="character" w:customStyle="1" w:styleId="ListLabel546">
    <w:name w:val="ListLabel 546"/>
    <w:qFormat/>
    <w:rPr>
      <w:rFonts w:cs="OpenSymbol"/>
      <w:u w:val="none"/>
    </w:rPr>
  </w:style>
  <w:style w:type="character" w:customStyle="1" w:styleId="ListLabel547">
    <w:name w:val="ListLabel 547"/>
    <w:qFormat/>
    <w:rPr>
      <w:rFonts w:cs="OpenSymbol"/>
      <w:u w:val="none"/>
    </w:rPr>
  </w:style>
  <w:style w:type="character" w:customStyle="1" w:styleId="ListLabel548">
    <w:name w:val="ListLabel 548"/>
    <w:qFormat/>
    <w:rPr>
      <w:rFonts w:cs="OpenSymbol"/>
      <w:u w:val="none"/>
    </w:rPr>
  </w:style>
  <w:style w:type="character" w:customStyle="1" w:styleId="ListLabel549">
    <w:name w:val="ListLabel 549"/>
    <w:qFormat/>
    <w:rPr>
      <w:rFonts w:cs="OpenSymbol"/>
      <w:u w:val="none"/>
    </w:rPr>
  </w:style>
  <w:style w:type="character" w:customStyle="1" w:styleId="ListLabel550">
    <w:name w:val="ListLabel 550"/>
    <w:qFormat/>
    <w:rPr>
      <w:rFonts w:cs="OpenSymbol"/>
      <w:u w:val="none"/>
    </w:rPr>
  </w:style>
  <w:style w:type="character" w:customStyle="1" w:styleId="ListLabel551">
    <w:name w:val="ListLabel 551"/>
    <w:qFormat/>
    <w:rPr>
      <w:rFonts w:cs="OpenSymbol"/>
      <w:sz w:val="20"/>
      <w:u w:val="none"/>
    </w:rPr>
  </w:style>
  <w:style w:type="character" w:customStyle="1" w:styleId="ListLabel552">
    <w:name w:val="ListLabel 552"/>
    <w:qFormat/>
    <w:rPr>
      <w:rFonts w:cs="OpenSymbol"/>
      <w:u w:val="none"/>
    </w:rPr>
  </w:style>
  <w:style w:type="character" w:customStyle="1" w:styleId="ListLabel553">
    <w:name w:val="ListLabel 553"/>
    <w:qFormat/>
    <w:rPr>
      <w:rFonts w:cs="OpenSymbol"/>
      <w:u w:val="none"/>
    </w:rPr>
  </w:style>
  <w:style w:type="character" w:customStyle="1" w:styleId="ListLabel554">
    <w:name w:val="ListLabel 554"/>
    <w:qFormat/>
    <w:rPr>
      <w:rFonts w:cs="OpenSymbol"/>
      <w:u w:val="none"/>
    </w:rPr>
  </w:style>
  <w:style w:type="character" w:customStyle="1" w:styleId="ListLabel555">
    <w:name w:val="ListLabel 555"/>
    <w:qFormat/>
    <w:rPr>
      <w:rFonts w:cs="OpenSymbol"/>
      <w:u w:val="none"/>
    </w:rPr>
  </w:style>
  <w:style w:type="character" w:customStyle="1" w:styleId="ListLabel556">
    <w:name w:val="ListLabel 556"/>
    <w:qFormat/>
    <w:rPr>
      <w:rFonts w:cs="OpenSymbol"/>
      <w:u w:val="none"/>
    </w:rPr>
  </w:style>
  <w:style w:type="character" w:customStyle="1" w:styleId="ListLabel557">
    <w:name w:val="ListLabel 557"/>
    <w:qFormat/>
    <w:rPr>
      <w:rFonts w:cs="OpenSymbol"/>
      <w:u w:val="none"/>
    </w:rPr>
  </w:style>
  <w:style w:type="character" w:customStyle="1" w:styleId="ListLabel558">
    <w:name w:val="ListLabel 558"/>
    <w:qFormat/>
    <w:rPr>
      <w:rFonts w:cs="OpenSymbol"/>
      <w:u w:val="none"/>
    </w:rPr>
  </w:style>
  <w:style w:type="character" w:customStyle="1" w:styleId="ListLabel559">
    <w:name w:val="ListLabel 559"/>
    <w:qFormat/>
    <w:rPr>
      <w:rFonts w:cs="OpenSymbol"/>
      <w:u w:val="none"/>
    </w:rPr>
  </w:style>
  <w:style w:type="character" w:customStyle="1" w:styleId="ListLabel560">
    <w:name w:val="ListLabel 560"/>
    <w:qFormat/>
    <w:rPr>
      <w:rFonts w:cs="OpenSymbol"/>
      <w:sz w:val="20"/>
      <w:u w:val="none"/>
    </w:rPr>
  </w:style>
  <w:style w:type="character" w:customStyle="1" w:styleId="ListLabel561">
    <w:name w:val="ListLabel 561"/>
    <w:qFormat/>
    <w:rPr>
      <w:rFonts w:cs="OpenSymbol"/>
      <w:u w:val="none"/>
    </w:rPr>
  </w:style>
  <w:style w:type="character" w:customStyle="1" w:styleId="ListLabel562">
    <w:name w:val="ListLabel 562"/>
    <w:qFormat/>
    <w:rPr>
      <w:rFonts w:cs="OpenSymbol"/>
      <w:u w:val="none"/>
    </w:rPr>
  </w:style>
  <w:style w:type="character" w:customStyle="1" w:styleId="ListLabel563">
    <w:name w:val="ListLabel 563"/>
    <w:qFormat/>
    <w:rPr>
      <w:rFonts w:cs="OpenSymbol"/>
      <w:u w:val="none"/>
    </w:rPr>
  </w:style>
  <w:style w:type="character" w:customStyle="1" w:styleId="ListLabel564">
    <w:name w:val="ListLabel 564"/>
    <w:qFormat/>
    <w:rPr>
      <w:rFonts w:cs="OpenSymbol"/>
      <w:u w:val="none"/>
    </w:rPr>
  </w:style>
  <w:style w:type="character" w:customStyle="1" w:styleId="ListLabel565">
    <w:name w:val="ListLabel 565"/>
    <w:qFormat/>
    <w:rPr>
      <w:rFonts w:cs="OpenSymbol"/>
      <w:u w:val="none"/>
    </w:rPr>
  </w:style>
  <w:style w:type="character" w:customStyle="1" w:styleId="ListLabel566">
    <w:name w:val="ListLabel 566"/>
    <w:qFormat/>
    <w:rPr>
      <w:rFonts w:cs="OpenSymbol"/>
      <w:u w:val="none"/>
    </w:rPr>
  </w:style>
  <w:style w:type="character" w:customStyle="1" w:styleId="ListLabel567">
    <w:name w:val="ListLabel 567"/>
    <w:qFormat/>
    <w:rPr>
      <w:rFonts w:cs="OpenSymbol"/>
      <w:u w:val="none"/>
    </w:rPr>
  </w:style>
  <w:style w:type="character" w:customStyle="1" w:styleId="ListLabel568">
    <w:name w:val="ListLabel 568"/>
    <w:qFormat/>
    <w:rPr>
      <w:rFonts w:cs="OpenSymbol"/>
      <w:u w:val="none"/>
    </w:rPr>
  </w:style>
  <w:style w:type="character" w:customStyle="1" w:styleId="ListLabel569">
    <w:name w:val="ListLabel 569"/>
    <w:qFormat/>
    <w:rPr>
      <w:rFonts w:cs="OpenSymbol"/>
      <w:sz w:val="20"/>
      <w:u w:val="none"/>
    </w:rPr>
  </w:style>
  <w:style w:type="character" w:customStyle="1" w:styleId="ListLabel570">
    <w:name w:val="ListLabel 570"/>
    <w:qFormat/>
    <w:rPr>
      <w:rFonts w:cs="OpenSymbol"/>
      <w:u w:val="none"/>
    </w:rPr>
  </w:style>
  <w:style w:type="character" w:customStyle="1" w:styleId="ListLabel571">
    <w:name w:val="ListLabel 571"/>
    <w:qFormat/>
    <w:rPr>
      <w:rFonts w:cs="OpenSymbol"/>
      <w:u w:val="none"/>
    </w:rPr>
  </w:style>
  <w:style w:type="character" w:customStyle="1" w:styleId="ListLabel572">
    <w:name w:val="ListLabel 572"/>
    <w:qFormat/>
    <w:rPr>
      <w:rFonts w:cs="OpenSymbol"/>
      <w:u w:val="none"/>
    </w:rPr>
  </w:style>
  <w:style w:type="character" w:customStyle="1" w:styleId="ListLabel573">
    <w:name w:val="ListLabel 573"/>
    <w:qFormat/>
    <w:rPr>
      <w:rFonts w:cs="OpenSymbol"/>
      <w:u w:val="none"/>
    </w:rPr>
  </w:style>
  <w:style w:type="character" w:customStyle="1" w:styleId="ListLabel574">
    <w:name w:val="ListLabel 574"/>
    <w:qFormat/>
    <w:rPr>
      <w:rFonts w:cs="OpenSymbol"/>
      <w:u w:val="none"/>
    </w:rPr>
  </w:style>
  <w:style w:type="character" w:customStyle="1" w:styleId="ListLabel575">
    <w:name w:val="ListLabel 575"/>
    <w:qFormat/>
    <w:rPr>
      <w:rFonts w:cs="OpenSymbol"/>
      <w:u w:val="none"/>
    </w:rPr>
  </w:style>
  <w:style w:type="character" w:customStyle="1" w:styleId="ListLabel576">
    <w:name w:val="ListLabel 576"/>
    <w:qFormat/>
    <w:rPr>
      <w:rFonts w:cs="OpenSymbol"/>
      <w:u w:val="none"/>
    </w:rPr>
  </w:style>
  <w:style w:type="character" w:customStyle="1" w:styleId="ListLabel577">
    <w:name w:val="ListLabel 577"/>
    <w:qFormat/>
    <w:rPr>
      <w:rFonts w:cs="OpenSymbol"/>
      <w:u w:val="none"/>
    </w:rPr>
  </w:style>
  <w:style w:type="character" w:customStyle="1" w:styleId="ListLabel578">
    <w:name w:val="ListLabel 578"/>
    <w:qFormat/>
    <w:rPr>
      <w:rFonts w:cs="OpenSymbol"/>
      <w:sz w:val="20"/>
      <w:u w:val="none"/>
    </w:rPr>
  </w:style>
  <w:style w:type="character" w:customStyle="1" w:styleId="ListLabel579">
    <w:name w:val="ListLabel 579"/>
    <w:qFormat/>
    <w:rPr>
      <w:rFonts w:cs="OpenSymbol"/>
      <w:u w:val="none"/>
    </w:rPr>
  </w:style>
  <w:style w:type="character" w:customStyle="1" w:styleId="ListLabel580">
    <w:name w:val="ListLabel 580"/>
    <w:qFormat/>
    <w:rPr>
      <w:rFonts w:cs="OpenSymbol"/>
      <w:u w:val="none"/>
    </w:rPr>
  </w:style>
  <w:style w:type="character" w:customStyle="1" w:styleId="ListLabel581">
    <w:name w:val="ListLabel 581"/>
    <w:qFormat/>
    <w:rPr>
      <w:rFonts w:cs="OpenSymbol"/>
      <w:u w:val="none"/>
    </w:rPr>
  </w:style>
  <w:style w:type="character" w:customStyle="1" w:styleId="ListLabel582">
    <w:name w:val="ListLabel 582"/>
    <w:qFormat/>
    <w:rPr>
      <w:rFonts w:cs="OpenSymbol"/>
      <w:u w:val="none"/>
    </w:rPr>
  </w:style>
  <w:style w:type="character" w:customStyle="1" w:styleId="ListLabel583">
    <w:name w:val="ListLabel 583"/>
    <w:qFormat/>
    <w:rPr>
      <w:rFonts w:cs="OpenSymbol"/>
      <w:u w:val="none"/>
    </w:rPr>
  </w:style>
  <w:style w:type="character" w:customStyle="1" w:styleId="ListLabel584">
    <w:name w:val="ListLabel 584"/>
    <w:qFormat/>
    <w:rPr>
      <w:rFonts w:cs="OpenSymbol"/>
      <w:u w:val="none"/>
    </w:rPr>
  </w:style>
  <w:style w:type="character" w:customStyle="1" w:styleId="ListLabel585">
    <w:name w:val="ListLabel 585"/>
    <w:qFormat/>
    <w:rPr>
      <w:rFonts w:cs="OpenSymbol"/>
      <w:u w:val="none"/>
    </w:rPr>
  </w:style>
  <w:style w:type="character" w:customStyle="1" w:styleId="ListLabel586">
    <w:name w:val="ListLabel 586"/>
    <w:qFormat/>
    <w:rPr>
      <w:rFonts w:cs="OpenSymbol"/>
      <w:u w:val="none"/>
    </w:rPr>
  </w:style>
  <w:style w:type="character" w:customStyle="1" w:styleId="ListLabel587">
    <w:name w:val="ListLabel 587"/>
    <w:qFormat/>
    <w:rPr>
      <w:rFonts w:cs="OpenSymbol"/>
      <w:sz w:val="20"/>
      <w:u w:val="none"/>
    </w:rPr>
  </w:style>
  <w:style w:type="character" w:customStyle="1" w:styleId="ListLabel588">
    <w:name w:val="ListLabel 588"/>
    <w:qFormat/>
    <w:rPr>
      <w:rFonts w:cs="OpenSymbol"/>
      <w:u w:val="none"/>
    </w:rPr>
  </w:style>
  <w:style w:type="character" w:customStyle="1" w:styleId="ListLabel589">
    <w:name w:val="ListLabel 589"/>
    <w:qFormat/>
    <w:rPr>
      <w:rFonts w:cs="OpenSymbol"/>
      <w:u w:val="none"/>
    </w:rPr>
  </w:style>
  <w:style w:type="character" w:customStyle="1" w:styleId="ListLabel590">
    <w:name w:val="ListLabel 590"/>
    <w:qFormat/>
    <w:rPr>
      <w:rFonts w:cs="OpenSymbol"/>
      <w:u w:val="none"/>
    </w:rPr>
  </w:style>
  <w:style w:type="character" w:customStyle="1" w:styleId="ListLabel591">
    <w:name w:val="ListLabel 591"/>
    <w:qFormat/>
    <w:rPr>
      <w:rFonts w:cs="OpenSymbol"/>
      <w:u w:val="none"/>
    </w:rPr>
  </w:style>
  <w:style w:type="character" w:customStyle="1" w:styleId="ListLabel592">
    <w:name w:val="ListLabel 592"/>
    <w:qFormat/>
    <w:rPr>
      <w:rFonts w:cs="OpenSymbol"/>
      <w:u w:val="none"/>
    </w:rPr>
  </w:style>
  <w:style w:type="character" w:customStyle="1" w:styleId="ListLabel593">
    <w:name w:val="ListLabel 593"/>
    <w:qFormat/>
    <w:rPr>
      <w:rFonts w:cs="OpenSymbol"/>
      <w:u w:val="none"/>
    </w:rPr>
  </w:style>
  <w:style w:type="character" w:customStyle="1" w:styleId="ListLabel594">
    <w:name w:val="ListLabel 594"/>
    <w:qFormat/>
    <w:rPr>
      <w:rFonts w:cs="OpenSymbol"/>
      <w:u w:val="none"/>
    </w:rPr>
  </w:style>
  <w:style w:type="character" w:customStyle="1" w:styleId="ListLabel595">
    <w:name w:val="ListLabel 595"/>
    <w:qFormat/>
    <w:rPr>
      <w:rFonts w:cs="OpenSymbol"/>
      <w:u w:val="none"/>
    </w:rPr>
  </w:style>
  <w:style w:type="character" w:customStyle="1" w:styleId="ListLabel596">
    <w:name w:val="ListLabel 596"/>
    <w:qFormat/>
    <w:rPr>
      <w:rFonts w:cs="OpenSymbol"/>
      <w:sz w:val="20"/>
      <w:u w:val="none"/>
    </w:rPr>
  </w:style>
  <w:style w:type="character" w:customStyle="1" w:styleId="ListLabel597">
    <w:name w:val="ListLabel 597"/>
    <w:qFormat/>
    <w:rPr>
      <w:rFonts w:cs="OpenSymbol"/>
      <w:u w:val="none"/>
    </w:rPr>
  </w:style>
  <w:style w:type="character" w:customStyle="1" w:styleId="ListLabel598">
    <w:name w:val="ListLabel 598"/>
    <w:qFormat/>
    <w:rPr>
      <w:rFonts w:cs="OpenSymbol"/>
      <w:u w:val="none"/>
    </w:rPr>
  </w:style>
  <w:style w:type="character" w:customStyle="1" w:styleId="ListLabel599">
    <w:name w:val="ListLabel 599"/>
    <w:qFormat/>
    <w:rPr>
      <w:rFonts w:cs="OpenSymbol"/>
      <w:u w:val="none"/>
    </w:rPr>
  </w:style>
  <w:style w:type="character" w:customStyle="1" w:styleId="ListLabel600">
    <w:name w:val="ListLabel 600"/>
    <w:qFormat/>
    <w:rPr>
      <w:rFonts w:cs="OpenSymbol"/>
      <w:u w:val="none"/>
    </w:rPr>
  </w:style>
  <w:style w:type="character" w:customStyle="1" w:styleId="ListLabel601">
    <w:name w:val="ListLabel 601"/>
    <w:qFormat/>
    <w:rPr>
      <w:rFonts w:cs="OpenSymbol"/>
      <w:u w:val="none"/>
    </w:rPr>
  </w:style>
  <w:style w:type="character" w:customStyle="1" w:styleId="ListLabel602">
    <w:name w:val="ListLabel 602"/>
    <w:qFormat/>
    <w:rPr>
      <w:rFonts w:cs="OpenSymbol"/>
      <w:u w:val="none"/>
    </w:rPr>
  </w:style>
  <w:style w:type="character" w:customStyle="1" w:styleId="ListLabel603">
    <w:name w:val="ListLabel 603"/>
    <w:qFormat/>
    <w:rPr>
      <w:rFonts w:cs="OpenSymbol"/>
      <w:u w:val="none"/>
    </w:rPr>
  </w:style>
  <w:style w:type="character" w:customStyle="1" w:styleId="ListLabel604">
    <w:name w:val="ListLabel 604"/>
    <w:qFormat/>
    <w:rPr>
      <w:rFonts w:cs="OpenSymbol"/>
      <w:u w:val="none"/>
    </w:rPr>
  </w:style>
  <w:style w:type="character" w:customStyle="1" w:styleId="ListLabel605">
    <w:name w:val="ListLabel 605"/>
    <w:qFormat/>
    <w:rPr>
      <w:rFonts w:cs="OpenSymbol"/>
      <w:sz w:val="20"/>
      <w:u w:val="none"/>
    </w:rPr>
  </w:style>
  <w:style w:type="character" w:customStyle="1" w:styleId="ListLabel606">
    <w:name w:val="ListLabel 606"/>
    <w:qFormat/>
    <w:rPr>
      <w:rFonts w:cs="OpenSymbol"/>
      <w:u w:val="none"/>
    </w:rPr>
  </w:style>
  <w:style w:type="character" w:customStyle="1" w:styleId="ListLabel607">
    <w:name w:val="ListLabel 607"/>
    <w:qFormat/>
    <w:rPr>
      <w:rFonts w:cs="OpenSymbol"/>
      <w:u w:val="none"/>
    </w:rPr>
  </w:style>
  <w:style w:type="character" w:customStyle="1" w:styleId="ListLabel608">
    <w:name w:val="ListLabel 608"/>
    <w:qFormat/>
    <w:rPr>
      <w:rFonts w:cs="OpenSymbol"/>
      <w:u w:val="none"/>
    </w:rPr>
  </w:style>
  <w:style w:type="character" w:customStyle="1" w:styleId="ListLabel609">
    <w:name w:val="ListLabel 609"/>
    <w:qFormat/>
    <w:rPr>
      <w:rFonts w:cs="OpenSymbol"/>
      <w:u w:val="none"/>
    </w:rPr>
  </w:style>
  <w:style w:type="character" w:customStyle="1" w:styleId="ListLabel610">
    <w:name w:val="ListLabel 610"/>
    <w:qFormat/>
    <w:rPr>
      <w:rFonts w:cs="OpenSymbol"/>
      <w:u w:val="none"/>
    </w:rPr>
  </w:style>
  <w:style w:type="character" w:customStyle="1" w:styleId="ListLabel611">
    <w:name w:val="ListLabel 611"/>
    <w:qFormat/>
    <w:rPr>
      <w:rFonts w:cs="OpenSymbol"/>
      <w:u w:val="none"/>
    </w:rPr>
  </w:style>
  <w:style w:type="character" w:customStyle="1" w:styleId="ListLabel612">
    <w:name w:val="ListLabel 612"/>
    <w:qFormat/>
    <w:rPr>
      <w:rFonts w:cs="OpenSymbol"/>
      <w:u w:val="none"/>
    </w:rPr>
  </w:style>
  <w:style w:type="character" w:customStyle="1" w:styleId="ListLabel613">
    <w:name w:val="ListLabel 613"/>
    <w:qFormat/>
    <w:rPr>
      <w:rFonts w:cs="OpenSymbol"/>
      <w:u w:val="none"/>
    </w:rPr>
  </w:style>
  <w:style w:type="character" w:customStyle="1" w:styleId="ListLabel614">
    <w:name w:val="ListLabel 614"/>
    <w:qFormat/>
    <w:rPr>
      <w:b w:val="0"/>
      <w:color w:val="000000"/>
      <w:u w:val="none"/>
      <w:vertAlign w:val="superscript"/>
    </w:rPr>
  </w:style>
  <w:style w:type="character" w:customStyle="1" w:styleId="ListLabel615">
    <w:name w:val="ListLabel 615"/>
    <w:qFormat/>
    <w:rPr>
      <w:color w:val="1155CC"/>
      <w:u w:val="single"/>
    </w:rPr>
  </w:style>
  <w:style w:type="character" w:customStyle="1" w:styleId="ListLabel616">
    <w:name w:val="ListLabel 616"/>
    <w:qFormat/>
    <w:rPr>
      <w:color w:val="1155CC"/>
      <w:sz w:val="20"/>
      <w:szCs w:val="20"/>
      <w:u w:val="single"/>
    </w:rPr>
  </w:style>
  <w:style w:type="character" w:customStyle="1" w:styleId="ListLabel617">
    <w:name w:val="ListLabel 617"/>
    <w:qFormat/>
    <w:rPr>
      <w:b w:val="0"/>
      <w:color w:val="000000"/>
      <w:sz w:val="20"/>
      <w:szCs w:val="20"/>
      <w:u w:val="none"/>
      <w:vertAlign w:val="superscript"/>
    </w:rPr>
  </w:style>
  <w:style w:type="character" w:customStyle="1" w:styleId="ListLabel618">
    <w:name w:val="ListLabel 618"/>
    <w:qFormat/>
    <w:rPr>
      <w:b w:val="0"/>
      <w:i w:val="0"/>
      <w:color w:val="000000"/>
      <w:sz w:val="22"/>
      <w:szCs w:val="22"/>
      <w:u w:val="none"/>
    </w:rPr>
  </w:style>
  <w:style w:type="character" w:customStyle="1" w:styleId="ListLabel619">
    <w:name w:val="ListLabel 619"/>
    <w:qFormat/>
    <w:rPr>
      <w:b w:val="0"/>
      <w:i/>
      <w:color w:val="000000"/>
      <w:sz w:val="22"/>
      <w:szCs w:val="22"/>
      <w:u w:val="none"/>
    </w:rPr>
  </w:style>
  <w:style w:type="character" w:customStyle="1" w:styleId="ListLabel620">
    <w:name w:val="ListLabel 620"/>
    <w:qFormat/>
    <w:rPr>
      <w:b/>
      <w:i w:val="0"/>
      <w:color w:val="000000"/>
      <w:sz w:val="22"/>
      <w:szCs w:val="22"/>
      <w:u w:val="none"/>
    </w:rPr>
  </w:style>
  <w:style w:type="character" w:customStyle="1" w:styleId="ListLabel621">
    <w:name w:val="ListLabel 621"/>
    <w:qFormat/>
    <w:rPr>
      <w:rFonts w:cs="OpenSymbol"/>
      <w:sz w:val="20"/>
      <w:u w:val="none"/>
    </w:rPr>
  </w:style>
  <w:style w:type="character" w:customStyle="1" w:styleId="ListLabel622">
    <w:name w:val="ListLabel 622"/>
    <w:qFormat/>
    <w:rPr>
      <w:rFonts w:cs="OpenSymbol"/>
      <w:u w:val="none"/>
    </w:rPr>
  </w:style>
  <w:style w:type="character" w:customStyle="1" w:styleId="ListLabel623">
    <w:name w:val="ListLabel 623"/>
    <w:qFormat/>
    <w:rPr>
      <w:rFonts w:cs="OpenSymbol"/>
      <w:u w:val="none"/>
    </w:rPr>
  </w:style>
  <w:style w:type="character" w:customStyle="1" w:styleId="ListLabel624">
    <w:name w:val="ListLabel 624"/>
    <w:qFormat/>
    <w:rPr>
      <w:rFonts w:cs="OpenSymbol"/>
      <w:u w:val="none"/>
    </w:rPr>
  </w:style>
  <w:style w:type="character" w:customStyle="1" w:styleId="ListLabel625">
    <w:name w:val="ListLabel 625"/>
    <w:qFormat/>
    <w:rPr>
      <w:rFonts w:cs="OpenSymbol"/>
      <w:u w:val="none"/>
    </w:rPr>
  </w:style>
  <w:style w:type="character" w:customStyle="1" w:styleId="ListLabel626">
    <w:name w:val="ListLabel 626"/>
    <w:qFormat/>
    <w:rPr>
      <w:rFonts w:cs="OpenSymbol"/>
      <w:u w:val="none"/>
    </w:rPr>
  </w:style>
  <w:style w:type="character" w:customStyle="1" w:styleId="ListLabel627">
    <w:name w:val="ListLabel 627"/>
    <w:qFormat/>
    <w:rPr>
      <w:rFonts w:cs="OpenSymbol"/>
      <w:u w:val="none"/>
    </w:rPr>
  </w:style>
  <w:style w:type="character" w:customStyle="1" w:styleId="ListLabel628">
    <w:name w:val="ListLabel 628"/>
    <w:qFormat/>
    <w:rPr>
      <w:rFonts w:cs="OpenSymbol"/>
      <w:u w:val="none"/>
    </w:rPr>
  </w:style>
  <w:style w:type="character" w:customStyle="1" w:styleId="ListLabel629">
    <w:name w:val="ListLabel 629"/>
    <w:qFormat/>
    <w:rPr>
      <w:rFonts w:cs="OpenSymbol"/>
      <w:u w:val="none"/>
    </w:rPr>
  </w:style>
  <w:style w:type="character" w:customStyle="1" w:styleId="ListLabel630">
    <w:name w:val="ListLabel 630"/>
    <w:qFormat/>
    <w:rPr>
      <w:rFonts w:cs="OpenSymbol"/>
      <w:sz w:val="20"/>
      <w:u w:val="none"/>
    </w:rPr>
  </w:style>
  <w:style w:type="character" w:customStyle="1" w:styleId="ListLabel631">
    <w:name w:val="ListLabel 631"/>
    <w:qFormat/>
    <w:rPr>
      <w:rFonts w:cs="OpenSymbol"/>
      <w:u w:val="none"/>
    </w:rPr>
  </w:style>
  <w:style w:type="character" w:customStyle="1" w:styleId="ListLabel632">
    <w:name w:val="ListLabel 632"/>
    <w:qFormat/>
    <w:rPr>
      <w:rFonts w:cs="OpenSymbol"/>
      <w:u w:val="none"/>
    </w:rPr>
  </w:style>
  <w:style w:type="character" w:customStyle="1" w:styleId="ListLabel633">
    <w:name w:val="ListLabel 633"/>
    <w:qFormat/>
    <w:rPr>
      <w:rFonts w:cs="OpenSymbol"/>
      <w:u w:val="none"/>
    </w:rPr>
  </w:style>
  <w:style w:type="character" w:customStyle="1" w:styleId="ListLabel634">
    <w:name w:val="ListLabel 634"/>
    <w:qFormat/>
    <w:rPr>
      <w:rFonts w:cs="OpenSymbol"/>
      <w:u w:val="none"/>
    </w:rPr>
  </w:style>
  <w:style w:type="character" w:customStyle="1" w:styleId="ListLabel635">
    <w:name w:val="ListLabel 635"/>
    <w:qFormat/>
    <w:rPr>
      <w:rFonts w:cs="OpenSymbol"/>
      <w:u w:val="none"/>
    </w:rPr>
  </w:style>
  <w:style w:type="character" w:customStyle="1" w:styleId="ListLabel636">
    <w:name w:val="ListLabel 636"/>
    <w:qFormat/>
    <w:rPr>
      <w:rFonts w:cs="OpenSymbol"/>
      <w:u w:val="none"/>
    </w:rPr>
  </w:style>
  <w:style w:type="character" w:customStyle="1" w:styleId="ListLabel637">
    <w:name w:val="ListLabel 637"/>
    <w:qFormat/>
    <w:rPr>
      <w:rFonts w:cs="OpenSymbol"/>
      <w:u w:val="none"/>
    </w:rPr>
  </w:style>
  <w:style w:type="character" w:customStyle="1" w:styleId="ListLabel638">
    <w:name w:val="ListLabel 638"/>
    <w:qFormat/>
    <w:rPr>
      <w:rFonts w:cs="OpenSymbol"/>
      <w:u w:val="none"/>
    </w:rPr>
  </w:style>
  <w:style w:type="character" w:customStyle="1" w:styleId="ListLabel639">
    <w:name w:val="ListLabel 639"/>
    <w:qFormat/>
    <w:rPr>
      <w:rFonts w:cs="OpenSymbol"/>
      <w:sz w:val="20"/>
      <w:u w:val="none"/>
    </w:rPr>
  </w:style>
  <w:style w:type="character" w:customStyle="1" w:styleId="ListLabel640">
    <w:name w:val="ListLabel 640"/>
    <w:qFormat/>
    <w:rPr>
      <w:rFonts w:cs="OpenSymbol"/>
      <w:u w:val="none"/>
    </w:rPr>
  </w:style>
  <w:style w:type="character" w:customStyle="1" w:styleId="ListLabel641">
    <w:name w:val="ListLabel 641"/>
    <w:qFormat/>
    <w:rPr>
      <w:rFonts w:cs="OpenSymbol"/>
      <w:u w:val="none"/>
    </w:rPr>
  </w:style>
  <w:style w:type="character" w:customStyle="1" w:styleId="ListLabel642">
    <w:name w:val="ListLabel 642"/>
    <w:qFormat/>
    <w:rPr>
      <w:rFonts w:cs="OpenSymbol"/>
      <w:u w:val="none"/>
    </w:rPr>
  </w:style>
  <w:style w:type="character" w:customStyle="1" w:styleId="ListLabel643">
    <w:name w:val="ListLabel 643"/>
    <w:qFormat/>
    <w:rPr>
      <w:rFonts w:cs="OpenSymbol"/>
      <w:u w:val="none"/>
    </w:rPr>
  </w:style>
  <w:style w:type="character" w:customStyle="1" w:styleId="ListLabel644">
    <w:name w:val="ListLabel 644"/>
    <w:qFormat/>
    <w:rPr>
      <w:rFonts w:cs="OpenSymbol"/>
      <w:u w:val="none"/>
    </w:rPr>
  </w:style>
  <w:style w:type="character" w:customStyle="1" w:styleId="ListLabel645">
    <w:name w:val="ListLabel 645"/>
    <w:qFormat/>
    <w:rPr>
      <w:rFonts w:cs="OpenSymbol"/>
      <w:u w:val="none"/>
    </w:rPr>
  </w:style>
  <w:style w:type="character" w:customStyle="1" w:styleId="ListLabel646">
    <w:name w:val="ListLabel 646"/>
    <w:qFormat/>
    <w:rPr>
      <w:rFonts w:cs="OpenSymbol"/>
      <w:u w:val="none"/>
    </w:rPr>
  </w:style>
  <w:style w:type="character" w:customStyle="1" w:styleId="ListLabel647">
    <w:name w:val="ListLabel 647"/>
    <w:qFormat/>
    <w:rPr>
      <w:rFonts w:cs="OpenSymbol"/>
      <w:u w:val="none"/>
    </w:rPr>
  </w:style>
  <w:style w:type="character" w:customStyle="1" w:styleId="ListLabel648">
    <w:name w:val="ListLabel 648"/>
    <w:qFormat/>
    <w:rPr>
      <w:rFonts w:cs="OpenSymbol"/>
      <w:sz w:val="20"/>
      <w:u w:val="none"/>
    </w:rPr>
  </w:style>
  <w:style w:type="character" w:customStyle="1" w:styleId="ListLabel649">
    <w:name w:val="ListLabel 649"/>
    <w:qFormat/>
    <w:rPr>
      <w:rFonts w:cs="OpenSymbol"/>
      <w:u w:val="none"/>
    </w:rPr>
  </w:style>
  <w:style w:type="character" w:customStyle="1" w:styleId="ListLabel650">
    <w:name w:val="ListLabel 650"/>
    <w:qFormat/>
    <w:rPr>
      <w:rFonts w:cs="OpenSymbol"/>
      <w:u w:val="none"/>
    </w:rPr>
  </w:style>
  <w:style w:type="character" w:customStyle="1" w:styleId="ListLabel651">
    <w:name w:val="ListLabel 651"/>
    <w:qFormat/>
    <w:rPr>
      <w:rFonts w:cs="OpenSymbol"/>
      <w:u w:val="none"/>
    </w:rPr>
  </w:style>
  <w:style w:type="character" w:customStyle="1" w:styleId="ListLabel652">
    <w:name w:val="ListLabel 652"/>
    <w:qFormat/>
    <w:rPr>
      <w:rFonts w:cs="OpenSymbol"/>
      <w:u w:val="none"/>
    </w:rPr>
  </w:style>
  <w:style w:type="character" w:customStyle="1" w:styleId="ListLabel653">
    <w:name w:val="ListLabel 653"/>
    <w:qFormat/>
    <w:rPr>
      <w:rFonts w:cs="OpenSymbol"/>
      <w:u w:val="none"/>
    </w:rPr>
  </w:style>
  <w:style w:type="character" w:customStyle="1" w:styleId="ListLabel654">
    <w:name w:val="ListLabel 654"/>
    <w:qFormat/>
    <w:rPr>
      <w:rFonts w:cs="OpenSymbol"/>
      <w:u w:val="none"/>
    </w:rPr>
  </w:style>
  <w:style w:type="character" w:customStyle="1" w:styleId="ListLabel655">
    <w:name w:val="ListLabel 655"/>
    <w:qFormat/>
    <w:rPr>
      <w:rFonts w:cs="OpenSymbol"/>
      <w:u w:val="none"/>
    </w:rPr>
  </w:style>
  <w:style w:type="character" w:customStyle="1" w:styleId="ListLabel656">
    <w:name w:val="ListLabel 656"/>
    <w:qFormat/>
    <w:rPr>
      <w:rFonts w:cs="OpenSymbol"/>
      <w:u w:val="none"/>
    </w:rPr>
  </w:style>
  <w:style w:type="character" w:customStyle="1" w:styleId="ListLabel657">
    <w:name w:val="ListLabel 657"/>
    <w:qFormat/>
    <w:rPr>
      <w:rFonts w:cs="OpenSymbol"/>
      <w:sz w:val="20"/>
      <w:u w:val="none"/>
    </w:rPr>
  </w:style>
  <w:style w:type="character" w:customStyle="1" w:styleId="ListLabel658">
    <w:name w:val="ListLabel 658"/>
    <w:qFormat/>
    <w:rPr>
      <w:rFonts w:cs="OpenSymbol"/>
      <w:u w:val="none"/>
    </w:rPr>
  </w:style>
  <w:style w:type="character" w:customStyle="1" w:styleId="ListLabel659">
    <w:name w:val="ListLabel 659"/>
    <w:qFormat/>
    <w:rPr>
      <w:rFonts w:cs="OpenSymbol"/>
      <w:u w:val="none"/>
    </w:rPr>
  </w:style>
  <w:style w:type="character" w:customStyle="1" w:styleId="ListLabel660">
    <w:name w:val="ListLabel 660"/>
    <w:qFormat/>
    <w:rPr>
      <w:rFonts w:cs="OpenSymbol"/>
      <w:u w:val="none"/>
    </w:rPr>
  </w:style>
  <w:style w:type="character" w:customStyle="1" w:styleId="ListLabel661">
    <w:name w:val="ListLabel 661"/>
    <w:qFormat/>
    <w:rPr>
      <w:rFonts w:cs="OpenSymbol"/>
      <w:u w:val="none"/>
    </w:rPr>
  </w:style>
  <w:style w:type="character" w:customStyle="1" w:styleId="ListLabel662">
    <w:name w:val="ListLabel 662"/>
    <w:qFormat/>
    <w:rPr>
      <w:rFonts w:cs="OpenSymbol"/>
      <w:u w:val="none"/>
    </w:rPr>
  </w:style>
  <w:style w:type="character" w:customStyle="1" w:styleId="ListLabel663">
    <w:name w:val="ListLabel 663"/>
    <w:qFormat/>
    <w:rPr>
      <w:rFonts w:cs="OpenSymbol"/>
      <w:u w:val="none"/>
    </w:rPr>
  </w:style>
  <w:style w:type="character" w:customStyle="1" w:styleId="ListLabel664">
    <w:name w:val="ListLabel 664"/>
    <w:qFormat/>
    <w:rPr>
      <w:rFonts w:cs="OpenSymbol"/>
      <w:u w:val="none"/>
    </w:rPr>
  </w:style>
  <w:style w:type="character" w:customStyle="1" w:styleId="ListLabel665">
    <w:name w:val="ListLabel 665"/>
    <w:qFormat/>
    <w:rPr>
      <w:rFonts w:cs="OpenSymbol"/>
      <w:u w:val="none"/>
    </w:rPr>
  </w:style>
  <w:style w:type="character" w:customStyle="1" w:styleId="ListLabel666">
    <w:name w:val="ListLabel 666"/>
    <w:qFormat/>
    <w:rPr>
      <w:rFonts w:cs="OpenSymbol"/>
      <w:sz w:val="20"/>
      <w:u w:val="none"/>
    </w:rPr>
  </w:style>
  <w:style w:type="character" w:customStyle="1" w:styleId="ListLabel667">
    <w:name w:val="ListLabel 667"/>
    <w:qFormat/>
    <w:rPr>
      <w:rFonts w:cs="OpenSymbol"/>
      <w:u w:val="none"/>
    </w:rPr>
  </w:style>
  <w:style w:type="character" w:customStyle="1" w:styleId="ListLabel668">
    <w:name w:val="ListLabel 668"/>
    <w:qFormat/>
    <w:rPr>
      <w:rFonts w:cs="OpenSymbol"/>
      <w:u w:val="none"/>
    </w:rPr>
  </w:style>
  <w:style w:type="character" w:customStyle="1" w:styleId="ListLabel669">
    <w:name w:val="ListLabel 669"/>
    <w:qFormat/>
    <w:rPr>
      <w:rFonts w:cs="OpenSymbol"/>
      <w:u w:val="none"/>
    </w:rPr>
  </w:style>
  <w:style w:type="character" w:customStyle="1" w:styleId="ListLabel670">
    <w:name w:val="ListLabel 670"/>
    <w:qFormat/>
    <w:rPr>
      <w:rFonts w:cs="OpenSymbol"/>
      <w:u w:val="none"/>
    </w:rPr>
  </w:style>
  <w:style w:type="character" w:customStyle="1" w:styleId="ListLabel671">
    <w:name w:val="ListLabel 671"/>
    <w:qFormat/>
    <w:rPr>
      <w:rFonts w:cs="OpenSymbol"/>
      <w:u w:val="none"/>
    </w:rPr>
  </w:style>
  <w:style w:type="character" w:customStyle="1" w:styleId="ListLabel672">
    <w:name w:val="ListLabel 672"/>
    <w:qFormat/>
    <w:rPr>
      <w:rFonts w:cs="OpenSymbol"/>
      <w:u w:val="none"/>
    </w:rPr>
  </w:style>
  <w:style w:type="character" w:customStyle="1" w:styleId="ListLabel673">
    <w:name w:val="ListLabel 673"/>
    <w:qFormat/>
    <w:rPr>
      <w:rFonts w:cs="OpenSymbol"/>
      <w:u w:val="none"/>
    </w:rPr>
  </w:style>
  <w:style w:type="character" w:customStyle="1" w:styleId="ListLabel674">
    <w:name w:val="ListLabel 674"/>
    <w:qFormat/>
    <w:rPr>
      <w:rFonts w:cs="OpenSymbol"/>
      <w:u w:val="none"/>
    </w:rPr>
  </w:style>
  <w:style w:type="character" w:customStyle="1" w:styleId="ListLabel675">
    <w:name w:val="ListLabel 675"/>
    <w:qFormat/>
    <w:rPr>
      <w:rFonts w:cs="OpenSymbol"/>
      <w:sz w:val="20"/>
      <w:u w:val="none"/>
    </w:rPr>
  </w:style>
  <w:style w:type="character" w:customStyle="1" w:styleId="ListLabel676">
    <w:name w:val="ListLabel 676"/>
    <w:qFormat/>
    <w:rPr>
      <w:rFonts w:cs="OpenSymbol"/>
      <w:u w:val="none"/>
    </w:rPr>
  </w:style>
  <w:style w:type="character" w:customStyle="1" w:styleId="ListLabel677">
    <w:name w:val="ListLabel 677"/>
    <w:qFormat/>
    <w:rPr>
      <w:rFonts w:cs="OpenSymbol"/>
      <w:u w:val="none"/>
    </w:rPr>
  </w:style>
  <w:style w:type="character" w:customStyle="1" w:styleId="ListLabel678">
    <w:name w:val="ListLabel 678"/>
    <w:qFormat/>
    <w:rPr>
      <w:rFonts w:cs="OpenSymbol"/>
      <w:u w:val="none"/>
    </w:rPr>
  </w:style>
  <w:style w:type="character" w:customStyle="1" w:styleId="ListLabel679">
    <w:name w:val="ListLabel 679"/>
    <w:qFormat/>
    <w:rPr>
      <w:rFonts w:cs="OpenSymbol"/>
      <w:u w:val="none"/>
    </w:rPr>
  </w:style>
  <w:style w:type="character" w:customStyle="1" w:styleId="ListLabel680">
    <w:name w:val="ListLabel 680"/>
    <w:qFormat/>
    <w:rPr>
      <w:rFonts w:cs="OpenSymbol"/>
      <w:u w:val="none"/>
    </w:rPr>
  </w:style>
  <w:style w:type="character" w:customStyle="1" w:styleId="ListLabel681">
    <w:name w:val="ListLabel 681"/>
    <w:qFormat/>
    <w:rPr>
      <w:rFonts w:cs="OpenSymbol"/>
      <w:u w:val="none"/>
    </w:rPr>
  </w:style>
  <w:style w:type="character" w:customStyle="1" w:styleId="ListLabel682">
    <w:name w:val="ListLabel 682"/>
    <w:qFormat/>
    <w:rPr>
      <w:rFonts w:cs="OpenSymbol"/>
      <w:u w:val="none"/>
    </w:rPr>
  </w:style>
  <w:style w:type="character" w:customStyle="1" w:styleId="ListLabel683">
    <w:name w:val="ListLabel 683"/>
    <w:qFormat/>
    <w:rPr>
      <w:rFonts w:cs="OpenSymbol"/>
      <w:u w:val="none"/>
    </w:rPr>
  </w:style>
  <w:style w:type="character" w:customStyle="1" w:styleId="ListLabel684">
    <w:name w:val="ListLabel 684"/>
    <w:qFormat/>
    <w:rPr>
      <w:rFonts w:cs="OpenSymbol"/>
      <w:sz w:val="20"/>
      <w:u w:val="none"/>
    </w:rPr>
  </w:style>
  <w:style w:type="character" w:customStyle="1" w:styleId="ListLabel685">
    <w:name w:val="ListLabel 685"/>
    <w:qFormat/>
    <w:rPr>
      <w:rFonts w:cs="OpenSymbol"/>
      <w:u w:val="none"/>
    </w:rPr>
  </w:style>
  <w:style w:type="character" w:customStyle="1" w:styleId="ListLabel686">
    <w:name w:val="ListLabel 686"/>
    <w:qFormat/>
    <w:rPr>
      <w:rFonts w:cs="OpenSymbol"/>
      <w:u w:val="none"/>
    </w:rPr>
  </w:style>
  <w:style w:type="character" w:customStyle="1" w:styleId="ListLabel687">
    <w:name w:val="ListLabel 687"/>
    <w:qFormat/>
    <w:rPr>
      <w:rFonts w:cs="OpenSymbol"/>
      <w:u w:val="none"/>
    </w:rPr>
  </w:style>
  <w:style w:type="character" w:customStyle="1" w:styleId="ListLabel688">
    <w:name w:val="ListLabel 688"/>
    <w:qFormat/>
    <w:rPr>
      <w:rFonts w:cs="OpenSymbol"/>
      <w:u w:val="none"/>
    </w:rPr>
  </w:style>
  <w:style w:type="character" w:customStyle="1" w:styleId="ListLabel689">
    <w:name w:val="ListLabel 689"/>
    <w:qFormat/>
    <w:rPr>
      <w:rFonts w:cs="OpenSymbol"/>
      <w:u w:val="none"/>
    </w:rPr>
  </w:style>
  <w:style w:type="character" w:customStyle="1" w:styleId="ListLabel690">
    <w:name w:val="ListLabel 690"/>
    <w:qFormat/>
    <w:rPr>
      <w:rFonts w:cs="OpenSymbol"/>
      <w:u w:val="none"/>
    </w:rPr>
  </w:style>
  <w:style w:type="character" w:customStyle="1" w:styleId="ListLabel691">
    <w:name w:val="ListLabel 691"/>
    <w:qFormat/>
    <w:rPr>
      <w:rFonts w:cs="OpenSymbol"/>
      <w:u w:val="none"/>
    </w:rPr>
  </w:style>
  <w:style w:type="character" w:customStyle="1" w:styleId="ListLabel692">
    <w:name w:val="ListLabel 692"/>
    <w:qFormat/>
    <w:rPr>
      <w:rFonts w:cs="OpenSymbol"/>
      <w:u w:val="none"/>
    </w:rPr>
  </w:style>
  <w:style w:type="character" w:customStyle="1" w:styleId="ListLabel693">
    <w:name w:val="ListLabel 693"/>
    <w:qFormat/>
    <w:rPr>
      <w:rFonts w:cs="OpenSymbol"/>
      <w:sz w:val="20"/>
      <w:u w:val="none"/>
    </w:rPr>
  </w:style>
  <w:style w:type="character" w:customStyle="1" w:styleId="ListLabel694">
    <w:name w:val="ListLabel 694"/>
    <w:qFormat/>
    <w:rPr>
      <w:rFonts w:cs="OpenSymbol"/>
      <w:u w:val="none"/>
    </w:rPr>
  </w:style>
  <w:style w:type="character" w:customStyle="1" w:styleId="ListLabel695">
    <w:name w:val="ListLabel 695"/>
    <w:qFormat/>
    <w:rPr>
      <w:rFonts w:cs="OpenSymbol"/>
      <w:u w:val="none"/>
    </w:rPr>
  </w:style>
  <w:style w:type="character" w:customStyle="1" w:styleId="ListLabel696">
    <w:name w:val="ListLabel 696"/>
    <w:qFormat/>
    <w:rPr>
      <w:rFonts w:cs="OpenSymbol"/>
      <w:u w:val="none"/>
    </w:rPr>
  </w:style>
  <w:style w:type="character" w:customStyle="1" w:styleId="ListLabel697">
    <w:name w:val="ListLabel 697"/>
    <w:qFormat/>
    <w:rPr>
      <w:rFonts w:cs="OpenSymbol"/>
      <w:u w:val="none"/>
    </w:rPr>
  </w:style>
  <w:style w:type="character" w:customStyle="1" w:styleId="ListLabel698">
    <w:name w:val="ListLabel 698"/>
    <w:qFormat/>
    <w:rPr>
      <w:rFonts w:cs="OpenSymbol"/>
      <w:u w:val="none"/>
    </w:rPr>
  </w:style>
  <w:style w:type="character" w:customStyle="1" w:styleId="ListLabel699">
    <w:name w:val="ListLabel 699"/>
    <w:qFormat/>
    <w:rPr>
      <w:rFonts w:cs="OpenSymbol"/>
      <w:u w:val="none"/>
    </w:rPr>
  </w:style>
  <w:style w:type="character" w:customStyle="1" w:styleId="ListLabel700">
    <w:name w:val="ListLabel 700"/>
    <w:qFormat/>
    <w:rPr>
      <w:rFonts w:cs="OpenSymbol"/>
      <w:u w:val="none"/>
    </w:rPr>
  </w:style>
  <w:style w:type="character" w:customStyle="1" w:styleId="ListLabel701">
    <w:name w:val="ListLabel 701"/>
    <w:qFormat/>
    <w:rPr>
      <w:rFonts w:cs="OpenSymbol"/>
      <w:u w:val="none"/>
    </w:rPr>
  </w:style>
  <w:style w:type="character" w:customStyle="1" w:styleId="ListLabel702">
    <w:name w:val="ListLabel 702"/>
    <w:qFormat/>
    <w:rPr>
      <w:rFonts w:cs="OpenSymbol"/>
      <w:sz w:val="20"/>
      <w:u w:val="none"/>
    </w:rPr>
  </w:style>
  <w:style w:type="character" w:customStyle="1" w:styleId="ListLabel703">
    <w:name w:val="ListLabel 703"/>
    <w:qFormat/>
    <w:rPr>
      <w:rFonts w:cs="OpenSymbol"/>
      <w:u w:val="none"/>
    </w:rPr>
  </w:style>
  <w:style w:type="character" w:customStyle="1" w:styleId="ListLabel704">
    <w:name w:val="ListLabel 704"/>
    <w:qFormat/>
    <w:rPr>
      <w:rFonts w:cs="OpenSymbol"/>
      <w:u w:val="none"/>
    </w:rPr>
  </w:style>
  <w:style w:type="character" w:customStyle="1" w:styleId="ListLabel705">
    <w:name w:val="ListLabel 705"/>
    <w:qFormat/>
    <w:rPr>
      <w:rFonts w:cs="OpenSymbol"/>
      <w:u w:val="none"/>
    </w:rPr>
  </w:style>
  <w:style w:type="character" w:customStyle="1" w:styleId="ListLabel706">
    <w:name w:val="ListLabel 706"/>
    <w:qFormat/>
    <w:rPr>
      <w:rFonts w:cs="OpenSymbol"/>
      <w:u w:val="none"/>
    </w:rPr>
  </w:style>
  <w:style w:type="character" w:customStyle="1" w:styleId="ListLabel707">
    <w:name w:val="ListLabel 707"/>
    <w:qFormat/>
    <w:rPr>
      <w:rFonts w:cs="OpenSymbol"/>
      <w:u w:val="none"/>
    </w:rPr>
  </w:style>
  <w:style w:type="character" w:customStyle="1" w:styleId="ListLabel708">
    <w:name w:val="ListLabel 708"/>
    <w:qFormat/>
    <w:rPr>
      <w:rFonts w:cs="OpenSymbol"/>
      <w:u w:val="none"/>
    </w:rPr>
  </w:style>
  <w:style w:type="character" w:customStyle="1" w:styleId="ListLabel709">
    <w:name w:val="ListLabel 709"/>
    <w:qFormat/>
    <w:rPr>
      <w:rFonts w:cs="OpenSymbol"/>
      <w:u w:val="none"/>
    </w:rPr>
  </w:style>
  <w:style w:type="character" w:customStyle="1" w:styleId="ListLabel710">
    <w:name w:val="ListLabel 710"/>
    <w:qFormat/>
    <w:rPr>
      <w:rFonts w:cs="OpenSymbol"/>
      <w:u w:val="none"/>
    </w:rPr>
  </w:style>
  <w:style w:type="character" w:customStyle="1" w:styleId="ListLabel711">
    <w:name w:val="ListLabel 711"/>
    <w:qFormat/>
    <w:rPr>
      <w:rFonts w:cs="OpenSymbol"/>
      <w:sz w:val="20"/>
      <w:u w:val="none"/>
    </w:rPr>
  </w:style>
  <w:style w:type="character" w:customStyle="1" w:styleId="ListLabel712">
    <w:name w:val="ListLabel 712"/>
    <w:qFormat/>
    <w:rPr>
      <w:rFonts w:cs="OpenSymbol"/>
      <w:u w:val="none"/>
    </w:rPr>
  </w:style>
  <w:style w:type="character" w:customStyle="1" w:styleId="ListLabel713">
    <w:name w:val="ListLabel 713"/>
    <w:qFormat/>
    <w:rPr>
      <w:rFonts w:cs="OpenSymbol"/>
      <w:u w:val="none"/>
    </w:rPr>
  </w:style>
  <w:style w:type="character" w:customStyle="1" w:styleId="ListLabel714">
    <w:name w:val="ListLabel 714"/>
    <w:qFormat/>
    <w:rPr>
      <w:rFonts w:cs="OpenSymbol"/>
      <w:u w:val="none"/>
    </w:rPr>
  </w:style>
  <w:style w:type="character" w:customStyle="1" w:styleId="ListLabel715">
    <w:name w:val="ListLabel 715"/>
    <w:qFormat/>
    <w:rPr>
      <w:rFonts w:cs="OpenSymbol"/>
      <w:u w:val="none"/>
    </w:rPr>
  </w:style>
  <w:style w:type="character" w:customStyle="1" w:styleId="ListLabel716">
    <w:name w:val="ListLabel 716"/>
    <w:qFormat/>
    <w:rPr>
      <w:rFonts w:cs="OpenSymbol"/>
      <w:u w:val="none"/>
    </w:rPr>
  </w:style>
  <w:style w:type="character" w:customStyle="1" w:styleId="ListLabel717">
    <w:name w:val="ListLabel 717"/>
    <w:qFormat/>
    <w:rPr>
      <w:rFonts w:cs="OpenSymbol"/>
      <w:u w:val="none"/>
    </w:rPr>
  </w:style>
  <w:style w:type="character" w:customStyle="1" w:styleId="ListLabel718">
    <w:name w:val="ListLabel 718"/>
    <w:qFormat/>
    <w:rPr>
      <w:rFonts w:cs="OpenSymbol"/>
      <w:u w:val="none"/>
    </w:rPr>
  </w:style>
  <w:style w:type="character" w:customStyle="1" w:styleId="ListLabel719">
    <w:name w:val="ListLabel 719"/>
    <w:qFormat/>
    <w:rPr>
      <w:rFonts w:cs="OpenSymbol"/>
      <w:u w:val="none"/>
    </w:rPr>
  </w:style>
  <w:style w:type="character" w:customStyle="1" w:styleId="ListLabel720">
    <w:name w:val="ListLabel 720"/>
    <w:qFormat/>
    <w:rPr>
      <w:rFonts w:cs="OpenSymbol"/>
      <w:sz w:val="20"/>
      <w:u w:val="none"/>
    </w:rPr>
  </w:style>
  <w:style w:type="character" w:customStyle="1" w:styleId="ListLabel721">
    <w:name w:val="ListLabel 721"/>
    <w:qFormat/>
    <w:rPr>
      <w:rFonts w:cs="OpenSymbol"/>
      <w:u w:val="none"/>
    </w:rPr>
  </w:style>
  <w:style w:type="character" w:customStyle="1" w:styleId="ListLabel722">
    <w:name w:val="ListLabel 722"/>
    <w:qFormat/>
    <w:rPr>
      <w:rFonts w:cs="OpenSymbol"/>
      <w:u w:val="none"/>
    </w:rPr>
  </w:style>
  <w:style w:type="character" w:customStyle="1" w:styleId="ListLabel723">
    <w:name w:val="ListLabel 723"/>
    <w:qFormat/>
    <w:rPr>
      <w:rFonts w:cs="OpenSymbol"/>
      <w:u w:val="none"/>
    </w:rPr>
  </w:style>
  <w:style w:type="character" w:customStyle="1" w:styleId="ListLabel724">
    <w:name w:val="ListLabel 724"/>
    <w:qFormat/>
    <w:rPr>
      <w:rFonts w:cs="OpenSymbol"/>
      <w:u w:val="none"/>
    </w:rPr>
  </w:style>
  <w:style w:type="character" w:customStyle="1" w:styleId="ListLabel725">
    <w:name w:val="ListLabel 725"/>
    <w:qFormat/>
    <w:rPr>
      <w:rFonts w:cs="OpenSymbol"/>
      <w:u w:val="none"/>
    </w:rPr>
  </w:style>
  <w:style w:type="character" w:customStyle="1" w:styleId="ListLabel726">
    <w:name w:val="ListLabel 726"/>
    <w:qFormat/>
    <w:rPr>
      <w:rFonts w:cs="OpenSymbol"/>
      <w:u w:val="none"/>
    </w:rPr>
  </w:style>
  <w:style w:type="character" w:customStyle="1" w:styleId="ListLabel727">
    <w:name w:val="ListLabel 727"/>
    <w:qFormat/>
    <w:rPr>
      <w:rFonts w:cs="OpenSymbol"/>
      <w:u w:val="none"/>
    </w:rPr>
  </w:style>
  <w:style w:type="character" w:customStyle="1" w:styleId="ListLabel728">
    <w:name w:val="ListLabel 728"/>
    <w:qFormat/>
    <w:rPr>
      <w:rFonts w:cs="OpenSymbol"/>
      <w:u w:val="none"/>
    </w:rPr>
  </w:style>
  <w:style w:type="character" w:customStyle="1" w:styleId="ListLabel729">
    <w:name w:val="ListLabel 729"/>
    <w:qFormat/>
    <w:rPr>
      <w:rFonts w:cs="OpenSymbol"/>
      <w:sz w:val="20"/>
      <w:u w:val="none"/>
    </w:rPr>
  </w:style>
  <w:style w:type="character" w:customStyle="1" w:styleId="ListLabel730">
    <w:name w:val="ListLabel 730"/>
    <w:qFormat/>
    <w:rPr>
      <w:rFonts w:cs="OpenSymbol"/>
      <w:u w:val="none"/>
    </w:rPr>
  </w:style>
  <w:style w:type="character" w:customStyle="1" w:styleId="ListLabel731">
    <w:name w:val="ListLabel 731"/>
    <w:qFormat/>
    <w:rPr>
      <w:rFonts w:cs="OpenSymbol"/>
      <w:u w:val="none"/>
    </w:rPr>
  </w:style>
  <w:style w:type="character" w:customStyle="1" w:styleId="ListLabel732">
    <w:name w:val="ListLabel 732"/>
    <w:qFormat/>
    <w:rPr>
      <w:rFonts w:cs="OpenSymbol"/>
      <w:u w:val="none"/>
    </w:rPr>
  </w:style>
  <w:style w:type="character" w:customStyle="1" w:styleId="ListLabel733">
    <w:name w:val="ListLabel 733"/>
    <w:qFormat/>
    <w:rPr>
      <w:rFonts w:cs="OpenSymbol"/>
      <w:u w:val="none"/>
    </w:rPr>
  </w:style>
  <w:style w:type="character" w:customStyle="1" w:styleId="ListLabel734">
    <w:name w:val="ListLabel 734"/>
    <w:qFormat/>
    <w:rPr>
      <w:rFonts w:cs="OpenSymbol"/>
      <w:u w:val="none"/>
    </w:rPr>
  </w:style>
  <w:style w:type="character" w:customStyle="1" w:styleId="ListLabel735">
    <w:name w:val="ListLabel 735"/>
    <w:qFormat/>
    <w:rPr>
      <w:rFonts w:cs="OpenSymbol"/>
      <w:u w:val="none"/>
    </w:rPr>
  </w:style>
  <w:style w:type="character" w:customStyle="1" w:styleId="ListLabel736">
    <w:name w:val="ListLabel 736"/>
    <w:qFormat/>
    <w:rPr>
      <w:rFonts w:cs="OpenSymbol"/>
      <w:u w:val="none"/>
    </w:rPr>
  </w:style>
  <w:style w:type="character" w:customStyle="1" w:styleId="ListLabel737">
    <w:name w:val="ListLabel 737"/>
    <w:qFormat/>
    <w:rPr>
      <w:rFonts w:cs="OpenSymbol"/>
      <w:u w:val="none"/>
    </w:rPr>
  </w:style>
  <w:style w:type="character" w:customStyle="1" w:styleId="ListLabel738">
    <w:name w:val="ListLabel 738"/>
    <w:qFormat/>
    <w:rPr>
      <w:sz w:val="28"/>
      <w:szCs w:val="28"/>
    </w:rPr>
  </w:style>
  <w:style w:type="character" w:customStyle="1" w:styleId="ListLabel739">
    <w:name w:val="ListLabel 739"/>
    <w:qFormat/>
    <w:rPr>
      <w:sz w:val="28"/>
      <w:szCs w:val="28"/>
    </w:rPr>
  </w:style>
  <w:style w:type="character" w:customStyle="1" w:styleId="ListLabel740">
    <w:name w:val="ListLabel 740"/>
    <w:qFormat/>
    <w:rPr>
      <w:b w:val="0"/>
      <w:color w:val="000000"/>
      <w:u w:val="none"/>
      <w:vertAlign w:val="superscript"/>
    </w:rPr>
  </w:style>
  <w:style w:type="character" w:customStyle="1" w:styleId="ListLabel741">
    <w:name w:val="ListLabel 741"/>
    <w:qFormat/>
    <w:rPr>
      <w:color w:val="1155CC"/>
      <w:u w:val="single"/>
    </w:rPr>
  </w:style>
  <w:style w:type="character" w:customStyle="1" w:styleId="ListLabel742">
    <w:name w:val="ListLabel 742"/>
    <w:qFormat/>
    <w:rPr>
      <w:color w:val="1155CC"/>
      <w:sz w:val="20"/>
      <w:szCs w:val="20"/>
      <w:u w:val="single"/>
    </w:rPr>
  </w:style>
  <w:style w:type="character" w:customStyle="1" w:styleId="ListLabel743">
    <w:name w:val="ListLabel 743"/>
    <w:qFormat/>
    <w:rPr>
      <w:b w:val="0"/>
      <w:color w:val="000000"/>
      <w:sz w:val="20"/>
      <w:szCs w:val="20"/>
      <w:u w:val="none"/>
      <w:vertAlign w:val="superscript"/>
    </w:rPr>
  </w:style>
  <w:style w:type="character" w:customStyle="1" w:styleId="ListLabel744">
    <w:name w:val="ListLabel 744"/>
    <w:qFormat/>
    <w:rPr>
      <w:b w:val="0"/>
      <w:i w:val="0"/>
      <w:color w:val="000000"/>
      <w:sz w:val="22"/>
      <w:szCs w:val="22"/>
      <w:u w:val="none"/>
    </w:rPr>
  </w:style>
  <w:style w:type="character" w:customStyle="1" w:styleId="ListLabel745">
    <w:name w:val="ListLabel 745"/>
    <w:qFormat/>
    <w:rPr>
      <w:b w:val="0"/>
      <w:i/>
      <w:color w:val="000000"/>
      <w:sz w:val="22"/>
      <w:szCs w:val="22"/>
      <w:u w:val="none"/>
    </w:rPr>
  </w:style>
  <w:style w:type="character" w:customStyle="1" w:styleId="ListLabel746">
    <w:name w:val="ListLabel 746"/>
    <w:qFormat/>
    <w:rPr>
      <w:b/>
      <w:i w:val="0"/>
      <w:color w:val="000000"/>
      <w:sz w:val="22"/>
      <w:szCs w:val="22"/>
      <w:u w:val="none"/>
    </w:rPr>
  </w:style>
  <w:style w:type="character" w:customStyle="1" w:styleId="ListLabel747">
    <w:name w:val="ListLabel 747"/>
    <w:qFormat/>
    <w:rPr>
      <w:rFonts w:cs="OpenSymbol"/>
      <w:sz w:val="20"/>
      <w:u w:val="none"/>
    </w:rPr>
  </w:style>
  <w:style w:type="character" w:customStyle="1" w:styleId="ListLabel748">
    <w:name w:val="ListLabel 748"/>
    <w:qFormat/>
    <w:rPr>
      <w:rFonts w:cs="OpenSymbol"/>
      <w:u w:val="none"/>
    </w:rPr>
  </w:style>
  <w:style w:type="character" w:customStyle="1" w:styleId="ListLabel749">
    <w:name w:val="ListLabel 749"/>
    <w:qFormat/>
    <w:rPr>
      <w:rFonts w:cs="OpenSymbol"/>
      <w:u w:val="none"/>
    </w:rPr>
  </w:style>
  <w:style w:type="character" w:customStyle="1" w:styleId="ListLabel750">
    <w:name w:val="ListLabel 750"/>
    <w:qFormat/>
    <w:rPr>
      <w:rFonts w:cs="OpenSymbol"/>
      <w:u w:val="none"/>
    </w:rPr>
  </w:style>
  <w:style w:type="character" w:customStyle="1" w:styleId="ListLabel751">
    <w:name w:val="ListLabel 751"/>
    <w:qFormat/>
    <w:rPr>
      <w:rFonts w:cs="OpenSymbol"/>
      <w:u w:val="none"/>
    </w:rPr>
  </w:style>
  <w:style w:type="character" w:customStyle="1" w:styleId="ListLabel752">
    <w:name w:val="ListLabel 752"/>
    <w:qFormat/>
    <w:rPr>
      <w:rFonts w:cs="OpenSymbol"/>
      <w:u w:val="none"/>
    </w:rPr>
  </w:style>
  <w:style w:type="character" w:customStyle="1" w:styleId="ListLabel753">
    <w:name w:val="ListLabel 753"/>
    <w:qFormat/>
    <w:rPr>
      <w:rFonts w:cs="OpenSymbol"/>
      <w:u w:val="none"/>
    </w:rPr>
  </w:style>
  <w:style w:type="character" w:customStyle="1" w:styleId="ListLabel754">
    <w:name w:val="ListLabel 754"/>
    <w:qFormat/>
    <w:rPr>
      <w:rFonts w:cs="OpenSymbol"/>
      <w:u w:val="none"/>
    </w:rPr>
  </w:style>
  <w:style w:type="character" w:customStyle="1" w:styleId="ListLabel755">
    <w:name w:val="ListLabel 755"/>
    <w:qFormat/>
    <w:rPr>
      <w:rFonts w:cs="OpenSymbol"/>
      <w:u w:val="none"/>
    </w:rPr>
  </w:style>
  <w:style w:type="character" w:customStyle="1" w:styleId="ListLabel756">
    <w:name w:val="ListLabel 756"/>
    <w:qFormat/>
    <w:rPr>
      <w:rFonts w:cs="OpenSymbol"/>
      <w:sz w:val="20"/>
      <w:u w:val="none"/>
    </w:rPr>
  </w:style>
  <w:style w:type="character" w:customStyle="1" w:styleId="ListLabel757">
    <w:name w:val="ListLabel 757"/>
    <w:qFormat/>
    <w:rPr>
      <w:rFonts w:cs="OpenSymbol"/>
      <w:u w:val="none"/>
    </w:rPr>
  </w:style>
  <w:style w:type="character" w:customStyle="1" w:styleId="ListLabel758">
    <w:name w:val="ListLabel 758"/>
    <w:qFormat/>
    <w:rPr>
      <w:rFonts w:cs="OpenSymbol"/>
      <w:u w:val="none"/>
    </w:rPr>
  </w:style>
  <w:style w:type="character" w:customStyle="1" w:styleId="ListLabel759">
    <w:name w:val="ListLabel 759"/>
    <w:qFormat/>
    <w:rPr>
      <w:rFonts w:cs="OpenSymbol"/>
      <w:u w:val="none"/>
    </w:rPr>
  </w:style>
  <w:style w:type="character" w:customStyle="1" w:styleId="ListLabel760">
    <w:name w:val="ListLabel 760"/>
    <w:qFormat/>
    <w:rPr>
      <w:rFonts w:cs="OpenSymbol"/>
      <w:u w:val="none"/>
    </w:rPr>
  </w:style>
  <w:style w:type="character" w:customStyle="1" w:styleId="ListLabel761">
    <w:name w:val="ListLabel 761"/>
    <w:qFormat/>
    <w:rPr>
      <w:rFonts w:cs="OpenSymbol"/>
      <w:u w:val="none"/>
    </w:rPr>
  </w:style>
  <w:style w:type="character" w:customStyle="1" w:styleId="ListLabel762">
    <w:name w:val="ListLabel 762"/>
    <w:qFormat/>
    <w:rPr>
      <w:rFonts w:cs="OpenSymbol"/>
      <w:u w:val="none"/>
    </w:rPr>
  </w:style>
  <w:style w:type="character" w:customStyle="1" w:styleId="ListLabel763">
    <w:name w:val="ListLabel 763"/>
    <w:qFormat/>
    <w:rPr>
      <w:rFonts w:cs="OpenSymbol"/>
      <w:u w:val="none"/>
    </w:rPr>
  </w:style>
  <w:style w:type="character" w:customStyle="1" w:styleId="ListLabel764">
    <w:name w:val="ListLabel 764"/>
    <w:qFormat/>
    <w:rPr>
      <w:rFonts w:cs="OpenSymbol"/>
      <w:u w:val="none"/>
    </w:rPr>
  </w:style>
  <w:style w:type="character" w:customStyle="1" w:styleId="ListLabel765">
    <w:name w:val="ListLabel 765"/>
    <w:qFormat/>
    <w:rPr>
      <w:rFonts w:cs="OpenSymbol"/>
      <w:sz w:val="20"/>
      <w:u w:val="none"/>
    </w:rPr>
  </w:style>
  <w:style w:type="character" w:customStyle="1" w:styleId="ListLabel766">
    <w:name w:val="ListLabel 766"/>
    <w:qFormat/>
    <w:rPr>
      <w:rFonts w:cs="OpenSymbol"/>
      <w:u w:val="none"/>
    </w:rPr>
  </w:style>
  <w:style w:type="character" w:customStyle="1" w:styleId="ListLabel767">
    <w:name w:val="ListLabel 767"/>
    <w:qFormat/>
    <w:rPr>
      <w:rFonts w:cs="OpenSymbol"/>
      <w:u w:val="none"/>
    </w:rPr>
  </w:style>
  <w:style w:type="character" w:customStyle="1" w:styleId="ListLabel768">
    <w:name w:val="ListLabel 768"/>
    <w:qFormat/>
    <w:rPr>
      <w:rFonts w:cs="OpenSymbol"/>
      <w:u w:val="none"/>
    </w:rPr>
  </w:style>
  <w:style w:type="character" w:customStyle="1" w:styleId="ListLabel769">
    <w:name w:val="ListLabel 769"/>
    <w:qFormat/>
    <w:rPr>
      <w:rFonts w:cs="OpenSymbol"/>
      <w:u w:val="none"/>
    </w:rPr>
  </w:style>
  <w:style w:type="character" w:customStyle="1" w:styleId="ListLabel770">
    <w:name w:val="ListLabel 770"/>
    <w:qFormat/>
    <w:rPr>
      <w:rFonts w:cs="OpenSymbol"/>
      <w:u w:val="none"/>
    </w:rPr>
  </w:style>
  <w:style w:type="character" w:customStyle="1" w:styleId="ListLabel771">
    <w:name w:val="ListLabel 771"/>
    <w:qFormat/>
    <w:rPr>
      <w:rFonts w:cs="OpenSymbol"/>
      <w:u w:val="none"/>
    </w:rPr>
  </w:style>
  <w:style w:type="character" w:customStyle="1" w:styleId="ListLabel772">
    <w:name w:val="ListLabel 772"/>
    <w:qFormat/>
    <w:rPr>
      <w:rFonts w:cs="OpenSymbol"/>
      <w:u w:val="none"/>
    </w:rPr>
  </w:style>
  <w:style w:type="character" w:customStyle="1" w:styleId="ListLabel773">
    <w:name w:val="ListLabel 773"/>
    <w:qFormat/>
    <w:rPr>
      <w:rFonts w:cs="OpenSymbol"/>
      <w:u w:val="none"/>
    </w:rPr>
  </w:style>
  <w:style w:type="character" w:customStyle="1" w:styleId="ListLabel774">
    <w:name w:val="ListLabel 774"/>
    <w:qFormat/>
    <w:rPr>
      <w:rFonts w:cs="OpenSymbol"/>
      <w:sz w:val="20"/>
      <w:u w:val="none"/>
    </w:rPr>
  </w:style>
  <w:style w:type="character" w:customStyle="1" w:styleId="ListLabel775">
    <w:name w:val="ListLabel 775"/>
    <w:qFormat/>
    <w:rPr>
      <w:rFonts w:cs="OpenSymbol"/>
      <w:u w:val="none"/>
    </w:rPr>
  </w:style>
  <w:style w:type="character" w:customStyle="1" w:styleId="ListLabel776">
    <w:name w:val="ListLabel 776"/>
    <w:qFormat/>
    <w:rPr>
      <w:rFonts w:cs="OpenSymbol"/>
      <w:u w:val="none"/>
    </w:rPr>
  </w:style>
  <w:style w:type="character" w:customStyle="1" w:styleId="ListLabel777">
    <w:name w:val="ListLabel 777"/>
    <w:qFormat/>
    <w:rPr>
      <w:rFonts w:cs="OpenSymbol"/>
      <w:u w:val="none"/>
    </w:rPr>
  </w:style>
  <w:style w:type="character" w:customStyle="1" w:styleId="ListLabel778">
    <w:name w:val="ListLabel 778"/>
    <w:qFormat/>
    <w:rPr>
      <w:rFonts w:cs="OpenSymbol"/>
      <w:u w:val="none"/>
    </w:rPr>
  </w:style>
  <w:style w:type="character" w:customStyle="1" w:styleId="ListLabel779">
    <w:name w:val="ListLabel 779"/>
    <w:qFormat/>
    <w:rPr>
      <w:rFonts w:cs="OpenSymbol"/>
      <w:u w:val="none"/>
    </w:rPr>
  </w:style>
  <w:style w:type="character" w:customStyle="1" w:styleId="ListLabel780">
    <w:name w:val="ListLabel 780"/>
    <w:qFormat/>
    <w:rPr>
      <w:rFonts w:cs="OpenSymbol"/>
      <w:u w:val="none"/>
    </w:rPr>
  </w:style>
  <w:style w:type="character" w:customStyle="1" w:styleId="ListLabel781">
    <w:name w:val="ListLabel 781"/>
    <w:qFormat/>
    <w:rPr>
      <w:rFonts w:cs="OpenSymbol"/>
      <w:u w:val="none"/>
    </w:rPr>
  </w:style>
  <w:style w:type="character" w:customStyle="1" w:styleId="ListLabel782">
    <w:name w:val="ListLabel 782"/>
    <w:qFormat/>
    <w:rPr>
      <w:rFonts w:cs="OpenSymbol"/>
      <w:u w:val="none"/>
    </w:rPr>
  </w:style>
  <w:style w:type="character" w:customStyle="1" w:styleId="ListLabel783">
    <w:name w:val="ListLabel 783"/>
    <w:qFormat/>
    <w:rPr>
      <w:rFonts w:cs="OpenSymbol"/>
      <w:sz w:val="20"/>
      <w:u w:val="none"/>
    </w:rPr>
  </w:style>
  <w:style w:type="character" w:customStyle="1" w:styleId="ListLabel784">
    <w:name w:val="ListLabel 784"/>
    <w:qFormat/>
    <w:rPr>
      <w:rFonts w:cs="OpenSymbol"/>
      <w:u w:val="none"/>
    </w:rPr>
  </w:style>
  <w:style w:type="character" w:customStyle="1" w:styleId="ListLabel785">
    <w:name w:val="ListLabel 785"/>
    <w:qFormat/>
    <w:rPr>
      <w:rFonts w:cs="OpenSymbol"/>
      <w:u w:val="none"/>
    </w:rPr>
  </w:style>
  <w:style w:type="character" w:customStyle="1" w:styleId="ListLabel786">
    <w:name w:val="ListLabel 786"/>
    <w:qFormat/>
    <w:rPr>
      <w:rFonts w:cs="OpenSymbol"/>
      <w:u w:val="none"/>
    </w:rPr>
  </w:style>
  <w:style w:type="character" w:customStyle="1" w:styleId="ListLabel787">
    <w:name w:val="ListLabel 787"/>
    <w:qFormat/>
    <w:rPr>
      <w:rFonts w:cs="OpenSymbol"/>
      <w:u w:val="none"/>
    </w:rPr>
  </w:style>
  <w:style w:type="character" w:customStyle="1" w:styleId="ListLabel788">
    <w:name w:val="ListLabel 788"/>
    <w:qFormat/>
    <w:rPr>
      <w:rFonts w:cs="OpenSymbol"/>
      <w:u w:val="none"/>
    </w:rPr>
  </w:style>
  <w:style w:type="character" w:customStyle="1" w:styleId="ListLabel789">
    <w:name w:val="ListLabel 789"/>
    <w:qFormat/>
    <w:rPr>
      <w:rFonts w:cs="OpenSymbol"/>
      <w:u w:val="none"/>
    </w:rPr>
  </w:style>
  <w:style w:type="character" w:customStyle="1" w:styleId="ListLabel790">
    <w:name w:val="ListLabel 790"/>
    <w:qFormat/>
    <w:rPr>
      <w:rFonts w:cs="OpenSymbol"/>
      <w:u w:val="none"/>
    </w:rPr>
  </w:style>
  <w:style w:type="character" w:customStyle="1" w:styleId="ListLabel791">
    <w:name w:val="ListLabel 791"/>
    <w:qFormat/>
    <w:rPr>
      <w:rFonts w:cs="OpenSymbol"/>
      <w:u w:val="none"/>
    </w:rPr>
  </w:style>
  <w:style w:type="character" w:customStyle="1" w:styleId="ListLabel792">
    <w:name w:val="ListLabel 792"/>
    <w:qFormat/>
    <w:rPr>
      <w:rFonts w:cs="OpenSymbol"/>
      <w:sz w:val="20"/>
      <w:u w:val="none"/>
    </w:rPr>
  </w:style>
  <w:style w:type="character" w:customStyle="1" w:styleId="ListLabel793">
    <w:name w:val="ListLabel 793"/>
    <w:qFormat/>
    <w:rPr>
      <w:rFonts w:cs="OpenSymbol"/>
      <w:u w:val="none"/>
    </w:rPr>
  </w:style>
  <w:style w:type="character" w:customStyle="1" w:styleId="ListLabel794">
    <w:name w:val="ListLabel 794"/>
    <w:qFormat/>
    <w:rPr>
      <w:rFonts w:cs="OpenSymbol"/>
      <w:u w:val="none"/>
    </w:rPr>
  </w:style>
  <w:style w:type="character" w:customStyle="1" w:styleId="ListLabel795">
    <w:name w:val="ListLabel 795"/>
    <w:qFormat/>
    <w:rPr>
      <w:rFonts w:cs="OpenSymbol"/>
      <w:u w:val="none"/>
    </w:rPr>
  </w:style>
  <w:style w:type="character" w:customStyle="1" w:styleId="ListLabel796">
    <w:name w:val="ListLabel 796"/>
    <w:qFormat/>
    <w:rPr>
      <w:rFonts w:cs="OpenSymbol"/>
      <w:u w:val="none"/>
    </w:rPr>
  </w:style>
  <w:style w:type="character" w:customStyle="1" w:styleId="ListLabel797">
    <w:name w:val="ListLabel 797"/>
    <w:qFormat/>
    <w:rPr>
      <w:rFonts w:cs="OpenSymbol"/>
      <w:u w:val="none"/>
    </w:rPr>
  </w:style>
  <w:style w:type="character" w:customStyle="1" w:styleId="ListLabel798">
    <w:name w:val="ListLabel 798"/>
    <w:qFormat/>
    <w:rPr>
      <w:rFonts w:cs="OpenSymbol"/>
      <w:u w:val="none"/>
    </w:rPr>
  </w:style>
  <w:style w:type="character" w:customStyle="1" w:styleId="ListLabel799">
    <w:name w:val="ListLabel 799"/>
    <w:qFormat/>
    <w:rPr>
      <w:rFonts w:cs="OpenSymbol"/>
      <w:u w:val="none"/>
    </w:rPr>
  </w:style>
  <w:style w:type="character" w:customStyle="1" w:styleId="ListLabel800">
    <w:name w:val="ListLabel 800"/>
    <w:qFormat/>
    <w:rPr>
      <w:rFonts w:cs="OpenSymbol"/>
      <w:u w:val="none"/>
    </w:rPr>
  </w:style>
  <w:style w:type="character" w:customStyle="1" w:styleId="ListLabel801">
    <w:name w:val="ListLabel 801"/>
    <w:qFormat/>
    <w:rPr>
      <w:rFonts w:cs="OpenSymbol"/>
      <w:sz w:val="20"/>
      <w:u w:val="none"/>
    </w:rPr>
  </w:style>
  <w:style w:type="character" w:customStyle="1" w:styleId="ListLabel802">
    <w:name w:val="ListLabel 802"/>
    <w:qFormat/>
    <w:rPr>
      <w:rFonts w:cs="OpenSymbol"/>
      <w:u w:val="none"/>
    </w:rPr>
  </w:style>
  <w:style w:type="character" w:customStyle="1" w:styleId="ListLabel803">
    <w:name w:val="ListLabel 803"/>
    <w:qFormat/>
    <w:rPr>
      <w:rFonts w:cs="OpenSymbol"/>
      <w:u w:val="none"/>
    </w:rPr>
  </w:style>
  <w:style w:type="character" w:customStyle="1" w:styleId="ListLabel804">
    <w:name w:val="ListLabel 804"/>
    <w:qFormat/>
    <w:rPr>
      <w:rFonts w:cs="OpenSymbol"/>
      <w:u w:val="none"/>
    </w:rPr>
  </w:style>
  <w:style w:type="character" w:customStyle="1" w:styleId="ListLabel805">
    <w:name w:val="ListLabel 805"/>
    <w:qFormat/>
    <w:rPr>
      <w:rFonts w:cs="OpenSymbol"/>
      <w:u w:val="none"/>
    </w:rPr>
  </w:style>
  <w:style w:type="character" w:customStyle="1" w:styleId="ListLabel806">
    <w:name w:val="ListLabel 806"/>
    <w:qFormat/>
    <w:rPr>
      <w:rFonts w:cs="OpenSymbol"/>
      <w:u w:val="none"/>
    </w:rPr>
  </w:style>
  <w:style w:type="character" w:customStyle="1" w:styleId="ListLabel807">
    <w:name w:val="ListLabel 807"/>
    <w:qFormat/>
    <w:rPr>
      <w:rFonts w:cs="OpenSymbol"/>
      <w:u w:val="none"/>
    </w:rPr>
  </w:style>
  <w:style w:type="character" w:customStyle="1" w:styleId="ListLabel808">
    <w:name w:val="ListLabel 808"/>
    <w:qFormat/>
    <w:rPr>
      <w:rFonts w:cs="OpenSymbol"/>
      <w:u w:val="none"/>
    </w:rPr>
  </w:style>
  <w:style w:type="character" w:customStyle="1" w:styleId="ListLabel809">
    <w:name w:val="ListLabel 809"/>
    <w:qFormat/>
    <w:rPr>
      <w:rFonts w:cs="OpenSymbol"/>
      <w:u w:val="none"/>
    </w:rPr>
  </w:style>
  <w:style w:type="character" w:customStyle="1" w:styleId="ListLabel810">
    <w:name w:val="ListLabel 810"/>
    <w:qFormat/>
    <w:rPr>
      <w:rFonts w:cs="OpenSymbol"/>
      <w:sz w:val="20"/>
      <w:u w:val="none"/>
    </w:rPr>
  </w:style>
  <w:style w:type="character" w:customStyle="1" w:styleId="ListLabel811">
    <w:name w:val="ListLabel 811"/>
    <w:qFormat/>
    <w:rPr>
      <w:rFonts w:cs="OpenSymbol"/>
      <w:u w:val="none"/>
    </w:rPr>
  </w:style>
  <w:style w:type="character" w:customStyle="1" w:styleId="ListLabel812">
    <w:name w:val="ListLabel 812"/>
    <w:qFormat/>
    <w:rPr>
      <w:rFonts w:cs="OpenSymbol"/>
      <w:u w:val="none"/>
    </w:rPr>
  </w:style>
  <w:style w:type="character" w:customStyle="1" w:styleId="ListLabel813">
    <w:name w:val="ListLabel 813"/>
    <w:qFormat/>
    <w:rPr>
      <w:rFonts w:cs="OpenSymbol"/>
      <w:u w:val="none"/>
    </w:rPr>
  </w:style>
  <w:style w:type="character" w:customStyle="1" w:styleId="ListLabel814">
    <w:name w:val="ListLabel 814"/>
    <w:qFormat/>
    <w:rPr>
      <w:rFonts w:cs="OpenSymbol"/>
      <w:u w:val="none"/>
    </w:rPr>
  </w:style>
  <w:style w:type="character" w:customStyle="1" w:styleId="ListLabel815">
    <w:name w:val="ListLabel 815"/>
    <w:qFormat/>
    <w:rPr>
      <w:rFonts w:cs="OpenSymbol"/>
      <w:u w:val="none"/>
    </w:rPr>
  </w:style>
  <w:style w:type="character" w:customStyle="1" w:styleId="ListLabel816">
    <w:name w:val="ListLabel 816"/>
    <w:qFormat/>
    <w:rPr>
      <w:rFonts w:cs="OpenSymbol"/>
      <w:u w:val="none"/>
    </w:rPr>
  </w:style>
  <w:style w:type="character" w:customStyle="1" w:styleId="ListLabel817">
    <w:name w:val="ListLabel 817"/>
    <w:qFormat/>
    <w:rPr>
      <w:rFonts w:cs="OpenSymbol"/>
      <w:u w:val="none"/>
    </w:rPr>
  </w:style>
  <w:style w:type="character" w:customStyle="1" w:styleId="ListLabel818">
    <w:name w:val="ListLabel 818"/>
    <w:qFormat/>
    <w:rPr>
      <w:rFonts w:cs="OpenSymbol"/>
      <w:u w:val="none"/>
    </w:rPr>
  </w:style>
  <w:style w:type="character" w:customStyle="1" w:styleId="ListLabel819">
    <w:name w:val="ListLabel 819"/>
    <w:qFormat/>
    <w:rPr>
      <w:rFonts w:cs="OpenSymbol"/>
      <w:sz w:val="20"/>
      <w:u w:val="none"/>
    </w:rPr>
  </w:style>
  <w:style w:type="character" w:customStyle="1" w:styleId="ListLabel820">
    <w:name w:val="ListLabel 820"/>
    <w:qFormat/>
    <w:rPr>
      <w:rFonts w:cs="OpenSymbol"/>
      <w:u w:val="none"/>
    </w:rPr>
  </w:style>
  <w:style w:type="character" w:customStyle="1" w:styleId="ListLabel821">
    <w:name w:val="ListLabel 821"/>
    <w:qFormat/>
    <w:rPr>
      <w:rFonts w:cs="OpenSymbol"/>
      <w:u w:val="none"/>
    </w:rPr>
  </w:style>
  <w:style w:type="character" w:customStyle="1" w:styleId="ListLabel822">
    <w:name w:val="ListLabel 822"/>
    <w:qFormat/>
    <w:rPr>
      <w:rFonts w:cs="OpenSymbol"/>
      <w:u w:val="none"/>
    </w:rPr>
  </w:style>
  <w:style w:type="character" w:customStyle="1" w:styleId="ListLabel823">
    <w:name w:val="ListLabel 823"/>
    <w:qFormat/>
    <w:rPr>
      <w:rFonts w:cs="OpenSymbol"/>
      <w:u w:val="none"/>
    </w:rPr>
  </w:style>
  <w:style w:type="character" w:customStyle="1" w:styleId="ListLabel824">
    <w:name w:val="ListLabel 824"/>
    <w:qFormat/>
    <w:rPr>
      <w:rFonts w:cs="OpenSymbol"/>
      <w:u w:val="none"/>
    </w:rPr>
  </w:style>
  <w:style w:type="character" w:customStyle="1" w:styleId="ListLabel825">
    <w:name w:val="ListLabel 825"/>
    <w:qFormat/>
    <w:rPr>
      <w:rFonts w:cs="OpenSymbol"/>
      <w:u w:val="none"/>
    </w:rPr>
  </w:style>
  <w:style w:type="character" w:customStyle="1" w:styleId="ListLabel826">
    <w:name w:val="ListLabel 826"/>
    <w:qFormat/>
    <w:rPr>
      <w:rFonts w:cs="OpenSymbol"/>
      <w:u w:val="none"/>
    </w:rPr>
  </w:style>
  <w:style w:type="character" w:customStyle="1" w:styleId="ListLabel827">
    <w:name w:val="ListLabel 827"/>
    <w:qFormat/>
    <w:rPr>
      <w:rFonts w:cs="OpenSymbol"/>
      <w:u w:val="none"/>
    </w:rPr>
  </w:style>
  <w:style w:type="character" w:customStyle="1" w:styleId="ListLabel828">
    <w:name w:val="ListLabel 828"/>
    <w:qFormat/>
    <w:rPr>
      <w:rFonts w:cs="OpenSymbol"/>
      <w:sz w:val="20"/>
      <w:u w:val="none"/>
    </w:rPr>
  </w:style>
  <w:style w:type="character" w:customStyle="1" w:styleId="ListLabel829">
    <w:name w:val="ListLabel 829"/>
    <w:qFormat/>
    <w:rPr>
      <w:rFonts w:cs="OpenSymbol"/>
      <w:u w:val="none"/>
    </w:rPr>
  </w:style>
  <w:style w:type="character" w:customStyle="1" w:styleId="ListLabel830">
    <w:name w:val="ListLabel 830"/>
    <w:qFormat/>
    <w:rPr>
      <w:rFonts w:cs="OpenSymbol"/>
      <w:u w:val="none"/>
    </w:rPr>
  </w:style>
  <w:style w:type="character" w:customStyle="1" w:styleId="ListLabel831">
    <w:name w:val="ListLabel 831"/>
    <w:qFormat/>
    <w:rPr>
      <w:rFonts w:cs="OpenSymbol"/>
      <w:u w:val="none"/>
    </w:rPr>
  </w:style>
  <w:style w:type="character" w:customStyle="1" w:styleId="ListLabel832">
    <w:name w:val="ListLabel 832"/>
    <w:qFormat/>
    <w:rPr>
      <w:rFonts w:cs="OpenSymbol"/>
      <w:u w:val="none"/>
    </w:rPr>
  </w:style>
  <w:style w:type="character" w:customStyle="1" w:styleId="ListLabel833">
    <w:name w:val="ListLabel 833"/>
    <w:qFormat/>
    <w:rPr>
      <w:rFonts w:cs="OpenSymbol"/>
      <w:u w:val="none"/>
    </w:rPr>
  </w:style>
  <w:style w:type="character" w:customStyle="1" w:styleId="ListLabel834">
    <w:name w:val="ListLabel 834"/>
    <w:qFormat/>
    <w:rPr>
      <w:rFonts w:cs="OpenSymbol"/>
      <w:u w:val="none"/>
    </w:rPr>
  </w:style>
  <w:style w:type="character" w:customStyle="1" w:styleId="ListLabel835">
    <w:name w:val="ListLabel 835"/>
    <w:qFormat/>
    <w:rPr>
      <w:rFonts w:cs="OpenSymbol"/>
      <w:u w:val="none"/>
    </w:rPr>
  </w:style>
  <w:style w:type="character" w:customStyle="1" w:styleId="ListLabel836">
    <w:name w:val="ListLabel 836"/>
    <w:qFormat/>
    <w:rPr>
      <w:rFonts w:cs="OpenSymbol"/>
      <w:u w:val="none"/>
    </w:rPr>
  </w:style>
  <w:style w:type="character" w:customStyle="1" w:styleId="ListLabel837">
    <w:name w:val="ListLabel 837"/>
    <w:qFormat/>
    <w:rPr>
      <w:rFonts w:cs="OpenSymbol"/>
      <w:sz w:val="20"/>
      <w:u w:val="none"/>
    </w:rPr>
  </w:style>
  <w:style w:type="character" w:customStyle="1" w:styleId="ListLabel838">
    <w:name w:val="ListLabel 838"/>
    <w:qFormat/>
    <w:rPr>
      <w:rFonts w:cs="OpenSymbol"/>
      <w:u w:val="none"/>
    </w:rPr>
  </w:style>
  <w:style w:type="character" w:customStyle="1" w:styleId="ListLabel839">
    <w:name w:val="ListLabel 839"/>
    <w:qFormat/>
    <w:rPr>
      <w:rFonts w:cs="OpenSymbol"/>
      <w:u w:val="none"/>
    </w:rPr>
  </w:style>
  <w:style w:type="character" w:customStyle="1" w:styleId="ListLabel840">
    <w:name w:val="ListLabel 840"/>
    <w:qFormat/>
    <w:rPr>
      <w:rFonts w:cs="OpenSymbol"/>
      <w:u w:val="none"/>
    </w:rPr>
  </w:style>
  <w:style w:type="character" w:customStyle="1" w:styleId="ListLabel841">
    <w:name w:val="ListLabel 841"/>
    <w:qFormat/>
    <w:rPr>
      <w:rFonts w:cs="OpenSymbol"/>
      <w:u w:val="none"/>
    </w:rPr>
  </w:style>
  <w:style w:type="character" w:customStyle="1" w:styleId="ListLabel842">
    <w:name w:val="ListLabel 842"/>
    <w:qFormat/>
    <w:rPr>
      <w:rFonts w:cs="OpenSymbol"/>
      <w:u w:val="none"/>
    </w:rPr>
  </w:style>
  <w:style w:type="character" w:customStyle="1" w:styleId="ListLabel843">
    <w:name w:val="ListLabel 843"/>
    <w:qFormat/>
    <w:rPr>
      <w:rFonts w:cs="OpenSymbol"/>
      <w:u w:val="none"/>
    </w:rPr>
  </w:style>
  <w:style w:type="character" w:customStyle="1" w:styleId="ListLabel844">
    <w:name w:val="ListLabel 844"/>
    <w:qFormat/>
    <w:rPr>
      <w:rFonts w:cs="OpenSymbol"/>
      <w:u w:val="none"/>
    </w:rPr>
  </w:style>
  <w:style w:type="character" w:customStyle="1" w:styleId="ListLabel845">
    <w:name w:val="ListLabel 845"/>
    <w:qFormat/>
    <w:rPr>
      <w:rFonts w:cs="OpenSymbol"/>
      <w:u w:val="none"/>
    </w:rPr>
  </w:style>
  <w:style w:type="character" w:customStyle="1" w:styleId="ListLabel846">
    <w:name w:val="ListLabel 846"/>
    <w:qFormat/>
    <w:rPr>
      <w:rFonts w:cs="OpenSymbol"/>
      <w:sz w:val="20"/>
      <w:u w:val="none"/>
    </w:rPr>
  </w:style>
  <w:style w:type="character" w:customStyle="1" w:styleId="ListLabel847">
    <w:name w:val="ListLabel 847"/>
    <w:qFormat/>
    <w:rPr>
      <w:rFonts w:cs="OpenSymbol"/>
      <w:u w:val="none"/>
    </w:rPr>
  </w:style>
  <w:style w:type="character" w:customStyle="1" w:styleId="ListLabel848">
    <w:name w:val="ListLabel 848"/>
    <w:qFormat/>
    <w:rPr>
      <w:rFonts w:cs="OpenSymbol"/>
      <w:u w:val="none"/>
    </w:rPr>
  </w:style>
  <w:style w:type="character" w:customStyle="1" w:styleId="ListLabel849">
    <w:name w:val="ListLabel 849"/>
    <w:qFormat/>
    <w:rPr>
      <w:rFonts w:cs="OpenSymbol"/>
      <w:u w:val="none"/>
    </w:rPr>
  </w:style>
  <w:style w:type="character" w:customStyle="1" w:styleId="ListLabel850">
    <w:name w:val="ListLabel 850"/>
    <w:qFormat/>
    <w:rPr>
      <w:rFonts w:cs="OpenSymbol"/>
      <w:u w:val="none"/>
    </w:rPr>
  </w:style>
  <w:style w:type="character" w:customStyle="1" w:styleId="ListLabel851">
    <w:name w:val="ListLabel 851"/>
    <w:qFormat/>
    <w:rPr>
      <w:rFonts w:cs="OpenSymbol"/>
      <w:u w:val="none"/>
    </w:rPr>
  </w:style>
  <w:style w:type="character" w:customStyle="1" w:styleId="ListLabel852">
    <w:name w:val="ListLabel 852"/>
    <w:qFormat/>
    <w:rPr>
      <w:rFonts w:cs="OpenSymbol"/>
      <w:u w:val="none"/>
    </w:rPr>
  </w:style>
  <w:style w:type="character" w:customStyle="1" w:styleId="ListLabel853">
    <w:name w:val="ListLabel 853"/>
    <w:qFormat/>
    <w:rPr>
      <w:rFonts w:cs="OpenSymbol"/>
      <w:u w:val="none"/>
    </w:rPr>
  </w:style>
  <w:style w:type="character" w:customStyle="1" w:styleId="ListLabel854">
    <w:name w:val="ListLabel 854"/>
    <w:qFormat/>
    <w:rPr>
      <w:rFonts w:cs="OpenSymbol"/>
      <w:u w:val="none"/>
    </w:rPr>
  </w:style>
  <w:style w:type="character" w:customStyle="1" w:styleId="ListLabel855">
    <w:name w:val="ListLabel 855"/>
    <w:qFormat/>
    <w:rPr>
      <w:rFonts w:cs="OpenSymbol"/>
      <w:sz w:val="20"/>
      <w:u w:val="none"/>
    </w:rPr>
  </w:style>
  <w:style w:type="character" w:customStyle="1" w:styleId="ListLabel856">
    <w:name w:val="ListLabel 856"/>
    <w:qFormat/>
    <w:rPr>
      <w:rFonts w:cs="OpenSymbol"/>
      <w:u w:val="none"/>
    </w:rPr>
  </w:style>
  <w:style w:type="character" w:customStyle="1" w:styleId="ListLabel857">
    <w:name w:val="ListLabel 857"/>
    <w:qFormat/>
    <w:rPr>
      <w:rFonts w:cs="OpenSymbol"/>
      <w:u w:val="none"/>
    </w:rPr>
  </w:style>
  <w:style w:type="character" w:customStyle="1" w:styleId="ListLabel858">
    <w:name w:val="ListLabel 858"/>
    <w:qFormat/>
    <w:rPr>
      <w:rFonts w:cs="OpenSymbol"/>
      <w:u w:val="none"/>
    </w:rPr>
  </w:style>
  <w:style w:type="character" w:customStyle="1" w:styleId="ListLabel859">
    <w:name w:val="ListLabel 859"/>
    <w:qFormat/>
    <w:rPr>
      <w:rFonts w:cs="OpenSymbol"/>
      <w:u w:val="none"/>
    </w:rPr>
  </w:style>
  <w:style w:type="character" w:customStyle="1" w:styleId="ListLabel860">
    <w:name w:val="ListLabel 860"/>
    <w:qFormat/>
    <w:rPr>
      <w:rFonts w:cs="OpenSymbol"/>
      <w:u w:val="none"/>
    </w:rPr>
  </w:style>
  <w:style w:type="character" w:customStyle="1" w:styleId="ListLabel861">
    <w:name w:val="ListLabel 861"/>
    <w:qFormat/>
    <w:rPr>
      <w:rFonts w:cs="OpenSymbol"/>
      <w:u w:val="none"/>
    </w:rPr>
  </w:style>
  <w:style w:type="character" w:customStyle="1" w:styleId="ListLabel862">
    <w:name w:val="ListLabel 862"/>
    <w:qFormat/>
    <w:rPr>
      <w:rFonts w:cs="OpenSymbol"/>
      <w:u w:val="none"/>
    </w:rPr>
  </w:style>
  <w:style w:type="character" w:customStyle="1" w:styleId="ListLabel863">
    <w:name w:val="ListLabel 863"/>
    <w:qFormat/>
    <w:rPr>
      <w:rFonts w:cs="OpenSymbol"/>
      <w:u w:val="none"/>
    </w:rPr>
  </w:style>
  <w:style w:type="character" w:customStyle="1" w:styleId="ListLabel864">
    <w:name w:val="ListLabel 864"/>
    <w:qFormat/>
    <w:rPr>
      <w:sz w:val="28"/>
      <w:szCs w:val="28"/>
    </w:rPr>
  </w:style>
  <w:style w:type="character" w:customStyle="1" w:styleId="ListLabel865">
    <w:name w:val="ListLabel 865"/>
    <w:qFormat/>
    <w:rPr>
      <w:b w:val="0"/>
      <w:color w:val="000000"/>
      <w:u w:val="none"/>
      <w:vertAlign w:val="superscript"/>
    </w:rPr>
  </w:style>
  <w:style w:type="character" w:customStyle="1" w:styleId="ListLabel866">
    <w:name w:val="ListLabel 866"/>
    <w:qFormat/>
    <w:rPr>
      <w:color w:val="1155CC"/>
      <w:u w:val="single"/>
    </w:rPr>
  </w:style>
  <w:style w:type="character" w:customStyle="1" w:styleId="ListLabel867">
    <w:name w:val="ListLabel 867"/>
    <w:qFormat/>
    <w:rPr>
      <w:color w:val="1155CC"/>
      <w:sz w:val="20"/>
      <w:szCs w:val="20"/>
      <w:u w:val="single"/>
    </w:rPr>
  </w:style>
  <w:style w:type="character" w:customStyle="1" w:styleId="ListLabel868">
    <w:name w:val="ListLabel 868"/>
    <w:qFormat/>
    <w:rPr>
      <w:b w:val="0"/>
      <w:color w:val="000000"/>
      <w:sz w:val="20"/>
      <w:szCs w:val="20"/>
      <w:u w:val="none"/>
      <w:vertAlign w:val="superscript"/>
    </w:rPr>
  </w:style>
  <w:style w:type="character" w:customStyle="1" w:styleId="ListLabel869">
    <w:name w:val="ListLabel 869"/>
    <w:qFormat/>
    <w:rPr>
      <w:b w:val="0"/>
      <w:i w:val="0"/>
      <w:color w:val="000000"/>
      <w:sz w:val="22"/>
      <w:szCs w:val="22"/>
      <w:u w:val="none"/>
    </w:rPr>
  </w:style>
  <w:style w:type="character" w:customStyle="1" w:styleId="ListLabel870">
    <w:name w:val="ListLabel 870"/>
    <w:qFormat/>
    <w:rPr>
      <w:b w:val="0"/>
      <w:i/>
      <w:color w:val="000000"/>
      <w:sz w:val="22"/>
      <w:szCs w:val="22"/>
      <w:u w:val="none"/>
    </w:rPr>
  </w:style>
  <w:style w:type="character" w:customStyle="1" w:styleId="ListLabel871">
    <w:name w:val="ListLabel 871"/>
    <w:qFormat/>
    <w:rPr>
      <w:b/>
      <w:i w:val="0"/>
      <w:color w:val="000000"/>
      <w:sz w:val="22"/>
      <w:szCs w:val="22"/>
      <w:u w:val="none"/>
    </w:rPr>
  </w:style>
  <w:style w:type="character" w:customStyle="1" w:styleId="ListLabel872">
    <w:name w:val="ListLabel 872"/>
    <w:qFormat/>
    <w:rPr>
      <w:rFonts w:cs="OpenSymbol"/>
      <w:sz w:val="20"/>
      <w:u w:val="none"/>
    </w:rPr>
  </w:style>
  <w:style w:type="character" w:customStyle="1" w:styleId="ListLabel873">
    <w:name w:val="ListLabel 873"/>
    <w:qFormat/>
    <w:rPr>
      <w:rFonts w:cs="OpenSymbol"/>
      <w:u w:val="none"/>
    </w:rPr>
  </w:style>
  <w:style w:type="character" w:customStyle="1" w:styleId="ListLabel874">
    <w:name w:val="ListLabel 874"/>
    <w:qFormat/>
    <w:rPr>
      <w:rFonts w:cs="OpenSymbol"/>
      <w:u w:val="none"/>
    </w:rPr>
  </w:style>
  <w:style w:type="character" w:customStyle="1" w:styleId="ListLabel875">
    <w:name w:val="ListLabel 875"/>
    <w:qFormat/>
    <w:rPr>
      <w:rFonts w:cs="OpenSymbol"/>
      <w:u w:val="none"/>
    </w:rPr>
  </w:style>
  <w:style w:type="character" w:customStyle="1" w:styleId="ListLabel876">
    <w:name w:val="ListLabel 876"/>
    <w:qFormat/>
    <w:rPr>
      <w:rFonts w:cs="OpenSymbol"/>
      <w:u w:val="none"/>
    </w:rPr>
  </w:style>
  <w:style w:type="character" w:customStyle="1" w:styleId="ListLabel877">
    <w:name w:val="ListLabel 877"/>
    <w:qFormat/>
    <w:rPr>
      <w:rFonts w:cs="OpenSymbol"/>
      <w:u w:val="none"/>
    </w:rPr>
  </w:style>
  <w:style w:type="character" w:customStyle="1" w:styleId="ListLabel878">
    <w:name w:val="ListLabel 878"/>
    <w:qFormat/>
    <w:rPr>
      <w:rFonts w:cs="OpenSymbol"/>
      <w:u w:val="none"/>
    </w:rPr>
  </w:style>
  <w:style w:type="character" w:customStyle="1" w:styleId="ListLabel879">
    <w:name w:val="ListLabel 879"/>
    <w:qFormat/>
    <w:rPr>
      <w:rFonts w:cs="OpenSymbol"/>
      <w:u w:val="none"/>
    </w:rPr>
  </w:style>
  <w:style w:type="character" w:customStyle="1" w:styleId="ListLabel880">
    <w:name w:val="ListLabel 880"/>
    <w:qFormat/>
    <w:rPr>
      <w:rFonts w:cs="OpenSymbol"/>
      <w:u w:val="none"/>
    </w:rPr>
  </w:style>
  <w:style w:type="character" w:customStyle="1" w:styleId="ListLabel881">
    <w:name w:val="ListLabel 881"/>
    <w:qFormat/>
    <w:rPr>
      <w:rFonts w:cs="OpenSymbol"/>
      <w:sz w:val="20"/>
      <w:u w:val="none"/>
    </w:rPr>
  </w:style>
  <w:style w:type="character" w:customStyle="1" w:styleId="ListLabel882">
    <w:name w:val="ListLabel 882"/>
    <w:qFormat/>
    <w:rPr>
      <w:rFonts w:cs="OpenSymbol"/>
      <w:u w:val="none"/>
    </w:rPr>
  </w:style>
  <w:style w:type="character" w:customStyle="1" w:styleId="ListLabel883">
    <w:name w:val="ListLabel 883"/>
    <w:qFormat/>
    <w:rPr>
      <w:rFonts w:cs="OpenSymbol"/>
      <w:u w:val="none"/>
    </w:rPr>
  </w:style>
  <w:style w:type="character" w:customStyle="1" w:styleId="ListLabel884">
    <w:name w:val="ListLabel 884"/>
    <w:qFormat/>
    <w:rPr>
      <w:rFonts w:cs="OpenSymbol"/>
      <w:u w:val="none"/>
    </w:rPr>
  </w:style>
  <w:style w:type="character" w:customStyle="1" w:styleId="ListLabel885">
    <w:name w:val="ListLabel 885"/>
    <w:qFormat/>
    <w:rPr>
      <w:rFonts w:cs="OpenSymbol"/>
      <w:u w:val="none"/>
    </w:rPr>
  </w:style>
  <w:style w:type="character" w:customStyle="1" w:styleId="ListLabel886">
    <w:name w:val="ListLabel 886"/>
    <w:qFormat/>
    <w:rPr>
      <w:rFonts w:cs="OpenSymbol"/>
      <w:u w:val="none"/>
    </w:rPr>
  </w:style>
  <w:style w:type="character" w:customStyle="1" w:styleId="ListLabel887">
    <w:name w:val="ListLabel 887"/>
    <w:qFormat/>
    <w:rPr>
      <w:rFonts w:cs="OpenSymbol"/>
      <w:u w:val="none"/>
    </w:rPr>
  </w:style>
  <w:style w:type="character" w:customStyle="1" w:styleId="ListLabel888">
    <w:name w:val="ListLabel 888"/>
    <w:qFormat/>
    <w:rPr>
      <w:rFonts w:cs="OpenSymbol"/>
      <w:u w:val="none"/>
    </w:rPr>
  </w:style>
  <w:style w:type="character" w:customStyle="1" w:styleId="ListLabel889">
    <w:name w:val="ListLabel 889"/>
    <w:qFormat/>
    <w:rPr>
      <w:rFonts w:cs="OpenSymbol"/>
      <w:u w:val="none"/>
    </w:rPr>
  </w:style>
  <w:style w:type="character" w:customStyle="1" w:styleId="ListLabel890">
    <w:name w:val="ListLabel 890"/>
    <w:qFormat/>
    <w:rPr>
      <w:rFonts w:cs="OpenSymbol"/>
      <w:sz w:val="20"/>
      <w:u w:val="none"/>
    </w:rPr>
  </w:style>
  <w:style w:type="character" w:customStyle="1" w:styleId="ListLabel891">
    <w:name w:val="ListLabel 891"/>
    <w:qFormat/>
    <w:rPr>
      <w:rFonts w:cs="OpenSymbol"/>
      <w:u w:val="none"/>
    </w:rPr>
  </w:style>
  <w:style w:type="character" w:customStyle="1" w:styleId="ListLabel892">
    <w:name w:val="ListLabel 892"/>
    <w:qFormat/>
    <w:rPr>
      <w:rFonts w:cs="OpenSymbol"/>
      <w:u w:val="none"/>
    </w:rPr>
  </w:style>
  <w:style w:type="character" w:customStyle="1" w:styleId="ListLabel893">
    <w:name w:val="ListLabel 893"/>
    <w:qFormat/>
    <w:rPr>
      <w:rFonts w:cs="OpenSymbol"/>
      <w:u w:val="none"/>
    </w:rPr>
  </w:style>
  <w:style w:type="character" w:customStyle="1" w:styleId="ListLabel894">
    <w:name w:val="ListLabel 894"/>
    <w:qFormat/>
    <w:rPr>
      <w:rFonts w:cs="OpenSymbol"/>
      <w:u w:val="none"/>
    </w:rPr>
  </w:style>
  <w:style w:type="character" w:customStyle="1" w:styleId="ListLabel895">
    <w:name w:val="ListLabel 895"/>
    <w:qFormat/>
    <w:rPr>
      <w:rFonts w:cs="OpenSymbol"/>
      <w:u w:val="none"/>
    </w:rPr>
  </w:style>
  <w:style w:type="character" w:customStyle="1" w:styleId="ListLabel896">
    <w:name w:val="ListLabel 896"/>
    <w:qFormat/>
    <w:rPr>
      <w:rFonts w:cs="OpenSymbol"/>
      <w:u w:val="none"/>
    </w:rPr>
  </w:style>
  <w:style w:type="character" w:customStyle="1" w:styleId="ListLabel897">
    <w:name w:val="ListLabel 897"/>
    <w:qFormat/>
    <w:rPr>
      <w:rFonts w:cs="OpenSymbol"/>
      <w:u w:val="none"/>
    </w:rPr>
  </w:style>
  <w:style w:type="character" w:customStyle="1" w:styleId="ListLabel898">
    <w:name w:val="ListLabel 898"/>
    <w:qFormat/>
    <w:rPr>
      <w:rFonts w:cs="OpenSymbol"/>
      <w:u w:val="none"/>
    </w:rPr>
  </w:style>
  <w:style w:type="character" w:customStyle="1" w:styleId="ListLabel899">
    <w:name w:val="ListLabel 899"/>
    <w:qFormat/>
    <w:rPr>
      <w:rFonts w:cs="OpenSymbol"/>
      <w:sz w:val="20"/>
      <w:u w:val="none"/>
    </w:rPr>
  </w:style>
  <w:style w:type="character" w:customStyle="1" w:styleId="ListLabel900">
    <w:name w:val="ListLabel 900"/>
    <w:qFormat/>
    <w:rPr>
      <w:rFonts w:cs="OpenSymbol"/>
      <w:u w:val="none"/>
    </w:rPr>
  </w:style>
  <w:style w:type="character" w:customStyle="1" w:styleId="ListLabel901">
    <w:name w:val="ListLabel 901"/>
    <w:qFormat/>
    <w:rPr>
      <w:rFonts w:cs="OpenSymbol"/>
      <w:u w:val="none"/>
    </w:rPr>
  </w:style>
  <w:style w:type="character" w:customStyle="1" w:styleId="ListLabel902">
    <w:name w:val="ListLabel 902"/>
    <w:qFormat/>
    <w:rPr>
      <w:rFonts w:cs="OpenSymbol"/>
      <w:u w:val="none"/>
    </w:rPr>
  </w:style>
  <w:style w:type="character" w:customStyle="1" w:styleId="ListLabel903">
    <w:name w:val="ListLabel 903"/>
    <w:qFormat/>
    <w:rPr>
      <w:rFonts w:cs="OpenSymbol"/>
      <w:u w:val="none"/>
    </w:rPr>
  </w:style>
  <w:style w:type="character" w:customStyle="1" w:styleId="ListLabel904">
    <w:name w:val="ListLabel 904"/>
    <w:qFormat/>
    <w:rPr>
      <w:rFonts w:cs="OpenSymbol"/>
      <w:u w:val="none"/>
    </w:rPr>
  </w:style>
  <w:style w:type="character" w:customStyle="1" w:styleId="ListLabel905">
    <w:name w:val="ListLabel 905"/>
    <w:qFormat/>
    <w:rPr>
      <w:rFonts w:cs="OpenSymbol"/>
      <w:u w:val="none"/>
    </w:rPr>
  </w:style>
  <w:style w:type="character" w:customStyle="1" w:styleId="ListLabel906">
    <w:name w:val="ListLabel 906"/>
    <w:qFormat/>
    <w:rPr>
      <w:rFonts w:cs="OpenSymbol"/>
      <w:u w:val="none"/>
    </w:rPr>
  </w:style>
  <w:style w:type="character" w:customStyle="1" w:styleId="ListLabel907">
    <w:name w:val="ListLabel 907"/>
    <w:qFormat/>
    <w:rPr>
      <w:rFonts w:cs="OpenSymbol"/>
      <w:u w:val="none"/>
    </w:rPr>
  </w:style>
  <w:style w:type="character" w:customStyle="1" w:styleId="ListLabel908">
    <w:name w:val="ListLabel 908"/>
    <w:qFormat/>
    <w:rPr>
      <w:rFonts w:cs="OpenSymbol"/>
      <w:sz w:val="20"/>
      <w:u w:val="none"/>
    </w:rPr>
  </w:style>
  <w:style w:type="character" w:customStyle="1" w:styleId="ListLabel909">
    <w:name w:val="ListLabel 909"/>
    <w:qFormat/>
    <w:rPr>
      <w:rFonts w:cs="OpenSymbol"/>
      <w:u w:val="none"/>
    </w:rPr>
  </w:style>
  <w:style w:type="character" w:customStyle="1" w:styleId="ListLabel910">
    <w:name w:val="ListLabel 910"/>
    <w:qFormat/>
    <w:rPr>
      <w:rFonts w:cs="OpenSymbol"/>
      <w:u w:val="none"/>
    </w:rPr>
  </w:style>
  <w:style w:type="character" w:customStyle="1" w:styleId="ListLabel911">
    <w:name w:val="ListLabel 911"/>
    <w:qFormat/>
    <w:rPr>
      <w:rFonts w:cs="OpenSymbol"/>
      <w:u w:val="none"/>
    </w:rPr>
  </w:style>
  <w:style w:type="character" w:customStyle="1" w:styleId="ListLabel912">
    <w:name w:val="ListLabel 912"/>
    <w:qFormat/>
    <w:rPr>
      <w:rFonts w:cs="OpenSymbol"/>
      <w:u w:val="none"/>
    </w:rPr>
  </w:style>
  <w:style w:type="character" w:customStyle="1" w:styleId="ListLabel913">
    <w:name w:val="ListLabel 913"/>
    <w:qFormat/>
    <w:rPr>
      <w:rFonts w:cs="OpenSymbol"/>
      <w:u w:val="none"/>
    </w:rPr>
  </w:style>
  <w:style w:type="character" w:customStyle="1" w:styleId="ListLabel914">
    <w:name w:val="ListLabel 914"/>
    <w:qFormat/>
    <w:rPr>
      <w:rFonts w:cs="OpenSymbol"/>
      <w:u w:val="none"/>
    </w:rPr>
  </w:style>
  <w:style w:type="character" w:customStyle="1" w:styleId="ListLabel915">
    <w:name w:val="ListLabel 915"/>
    <w:qFormat/>
    <w:rPr>
      <w:rFonts w:cs="OpenSymbol"/>
      <w:u w:val="none"/>
    </w:rPr>
  </w:style>
  <w:style w:type="character" w:customStyle="1" w:styleId="ListLabel916">
    <w:name w:val="ListLabel 916"/>
    <w:qFormat/>
    <w:rPr>
      <w:rFonts w:cs="OpenSymbol"/>
      <w:u w:val="none"/>
    </w:rPr>
  </w:style>
  <w:style w:type="character" w:customStyle="1" w:styleId="ListLabel917">
    <w:name w:val="ListLabel 917"/>
    <w:qFormat/>
    <w:rPr>
      <w:rFonts w:cs="OpenSymbol"/>
      <w:sz w:val="20"/>
      <w:u w:val="none"/>
    </w:rPr>
  </w:style>
  <w:style w:type="character" w:customStyle="1" w:styleId="ListLabel918">
    <w:name w:val="ListLabel 918"/>
    <w:qFormat/>
    <w:rPr>
      <w:rFonts w:cs="OpenSymbol"/>
      <w:u w:val="none"/>
    </w:rPr>
  </w:style>
  <w:style w:type="character" w:customStyle="1" w:styleId="ListLabel919">
    <w:name w:val="ListLabel 919"/>
    <w:qFormat/>
    <w:rPr>
      <w:rFonts w:cs="OpenSymbol"/>
      <w:u w:val="none"/>
    </w:rPr>
  </w:style>
  <w:style w:type="character" w:customStyle="1" w:styleId="ListLabel920">
    <w:name w:val="ListLabel 920"/>
    <w:qFormat/>
    <w:rPr>
      <w:rFonts w:cs="OpenSymbol"/>
      <w:u w:val="none"/>
    </w:rPr>
  </w:style>
  <w:style w:type="character" w:customStyle="1" w:styleId="ListLabel921">
    <w:name w:val="ListLabel 921"/>
    <w:qFormat/>
    <w:rPr>
      <w:rFonts w:cs="OpenSymbol"/>
      <w:u w:val="none"/>
    </w:rPr>
  </w:style>
  <w:style w:type="character" w:customStyle="1" w:styleId="ListLabel922">
    <w:name w:val="ListLabel 922"/>
    <w:qFormat/>
    <w:rPr>
      <w:rFonts w:cs="OpenSymbol"/>
      <w:u w:val="none"/>
    </w:rPr>
  </w:style>
  <w:style w:type="character" w:customStyle="1" w:styleId="ListLabel923">
    <w:name w:val="ListLabel 923"/>
    <w:qFormat/>
    <w:rPr>
      <w:rFonts w:cs="OpenSymbol"/>
      <w:u w:val="none"/>
    </w:rPr>
  </w:style>
  <w:style w:type="character" w:customStyle="1" w:styleId="ListLabel924">
    <w:name w:val="ListLabel 924"/>
    <w:qFormat/>
    <w:rPr>
      <w:rFonts w:cs="OpenSymbol"/>
      <w:u w:val="none"/>
    </w:rPr>
  </w:style>
  <w:style w:type="character" w:customStyle="1" w:styleId="ListLabel925">
    <w:name w:val="ListLabel 925"/>
    <w:qFormat/>
    <w:rPr>
      <w:rFonts w:cs="OpenSymbol"/>
      <w:u w:val="none"/>
    </w:rPr>
  </w:style>
  <w:style w:type="character" w:customStyle="1" w:styleId="ListLabel926">
    <w:name w:val="ListLabel 926"/>
    <w:qFormat/>
    <w:rPr>
      <w:rFonts w:cs="OpenSymbol"/>
      <w:sz w:val="20"/>
      <w:u w:val="none"/>
    </w:rPr>
  </w:style>
  <w:style w:type="character" w:customStyle="1" w:styleId="ListLabel927">
    <w:name w:val="ListLabel 927"/>
    <w:qFormat/>
    <w:rPr>
      <w:rFonts w:cs="OpenSymbol"/>
      <w:u w:val="none"/>
    </w:rPr>
  </w:style>
  <w:style w:type="character" w:customStyle="1" w:styleId="ListLabel928">
    <w:name w:val="ListLabel 928"/>
    <w:qFormat/>
    <w:rPr>
      <w:rFonts w:cs="OpenSymbol"/>
      <w:u w:val="none"/>
    </w:rPr>
  </w:style>
  <w:style w:type="character" w:customStyle="1" w:styleId="ListLabel929">
    <w:name w:val="ListLabel 929"/>
    <w:qFormat/>
    <w:rPr>
      <w:rFonts w:cs="OpenSymbol"/>
      <w:u w:val="none"/>
    </w:rPr>
  </w:style>
  <w:style w:type="character" w:customStyle="1" w:styleId="ListLabel930">
    <w:name w:val="ListLabel 930"/>
    <w:qFormat/>
    <w:rPr>
      <w:rFonts w:cs="OpenSymbol"/>
      <w:u w:val="none"/>
    </w:rPr>
  </w:style>
  <w:style w:type="character" w:customStyle="1" w:styleId="ListLabel931">
    <w:name w:val="ListLabel 931"/>
    <w:qFormat/>
    <w:rPr>
      <w:rFonts w:cs="OpenSymbol"/>
      <w:u w:val="none"/>
    </w:rPr>
  </w:style>
  <w:style w:type="character" w:customStyle="1" w:styleId="ListLabel932">
    <w:name w:val="ListLabel 932"/>
    <w:qFormat/>
    <w:rPr>
      <w:rFonts w:cs="OpenSymbol"/>
      <w:u w:val="none"/>
    </w:rPr>
  </w:style>
  <w:style w:type="character" w:customStyle="1" w:styleId="ListLabel933">
    <w:name w:val="ListLabel 933"/>
    <w:qFormat/>
    <w:rPr>
      <w:rFonts w:cs="OpenSymbol"/>
      <w:u w:val="none"/>
    </w:rPr>
  </w:style>
  <w:style w:type="character" w:customStyle="1" w:styleId="ListLabel934">
    <w:name w:val="ListLabel 934"/>
    <w:qFormat/>
    <w:rPr>
      <w:rFonts w:cs="OpenSymbol"/>
      <w:u w:val="none"/>
    </w:rPr>
  </w:style>
  <w:style w:type="character" w:customStyle="1" w:styleId="ListLabel935">
    <w:name w:val="ListLabel 935"/>
    <w:qFormat/>
    <w:rPr>
      <w:rFonts w:cs="OpenSymbol"/>
      <w:sz w:val="20"/>
      <w:u w:val="none"/>
    </w:rPr>
  </w:style>
  <w:style w:type="character" w:customStyle="1" w:styleId="ListLabel936">
    <w:name w:val="ListLabel 936"/>
    <w:qFormat/>
    <w:rPr>
      <w:rFonts w:cs="OpenSymbol"/>
      <w:u w:val="none"/>
    </w:rPr>
  </w:style>
  <w:style w:type="character" w:customStyle="1" w:styleId="ListLabel937">
    <w:name w:val="ListLabel 937"/>
    <w:qFormat/>
    <w:rPr>
      <w:rFonts w:cs="OpenSymbol"/>
      <w:u w:val="none"/>
    </w:rPr>
  </w:style>
  <w:style w:type="character" w:customStyle="1" w:styleId="ListLabel938">
    <w:name w:val="ListLabel 938"/>
    <w:qFormat/>
    <w:rPr>
      <w:rFonts w:cs="OpenSymbol"/>
      <w:u w:val="none"/>
    </w:rPr>
  </w:style>
  <w:style w:type="character" w:customStyle="1" w:styleId="ListLabel939">
    <w:name w:val="ListLabel 939"/>
    <w:qFormat/>
    <w:rPr>
      <w:rFonts w:cs="OpenSymbol"/>
      <w:u w:val="none"/>
    </w:rPr>
  </w:style>
  <w:style w:type="character" w:customStyle="1" w:styleId="ListLabel940">
    <w:name w:val="ListLabel 940"/>
    <w:qFormat/>
    <w:rPr>
      <w:rFonts w:cs="OpenSymbol"/>
      <w:u w:val="none"/>
    </w:rPr>
  </w:style>
  <w:style w:type="character" w:customStyle="1" w:styleId="ListLabel941">
    <w:name w:val="ListLabel 941"/>
    <w:qFormat/>
    <w:rPr>
      <w:rFonts w:cs="OpenSymbol"/>
      <w:u w:val="none"/>
    </w:rPr>
  </w:style>
  <w:style w:type="character" w:customStyle="1" w:styleId="ListLabel942">
    <w:name w:val="ListLabel 942"/>
    <w:qFormat/>
    <w:rPr>
      <w:rFonts w:cs="OpenSymbol"/>
      <w:u w:val="none"/>
    </w:rPr>
  </w:style>
  <w:style w:type="character" w:customStyle="1" w:styleId="ListLabel943">
    <w:name w:val="ListLabel 943"/>
    <w:qFormat/>
    <w:rPr>
      <w:rFonts w:cs="OpenSymbol"/>
      <w:u w:val="none"/>
    </w:rPr>
  </w:style>
  <w:style w:type="character" w:customStyle="1" w:styleId="ListLabel944">
    <w:name w:val="ListLabel 944"/>
    <w:qFormat/>
    <w:rPr>
      <w:rFonts w:cs="OpenSymbol"/>
      <w:sz w:val="20"/>
      <w:u w:val="none"/>
    </w:rPr>
  </w:style>
  <w:style w:type="character" w:customStyle="1" w:styleId="ListLabel945">
    <w:name w:val="ListLabel 945"/>
    <w:qFormat/>
    <w:rPr>
      <w:rFonts w:cs="OpenSymbol"/>
      <w:u w:val="none"/>
    </w:rPr>
  </w:style>
  <w:style w:type="character" w:customStyle="1" w:styleId="ListLabel946">
    <w:name w:val="ListLabel 946"/>
    <w:qFormat/>
    <w:rPr>
      <w:rFonts w:cs="OpenSymbol"/>
      <w:u w:val="none"/>
    </w:rPr>
  </w:style>
  <w:style w:type="character" w:customStyle="1" w:styleId="ListLabel947">
    <w:name w:val="ListLabel 947"/>
    <w:qFormat/>
    <w:rPr>
      <w:rFonts w:cs="OpenSymbol"/>
      <w:u w:val="none"/>
    </w:rPr>
  </w:style>
  <w:style w:type="character" w:customStyle="1" w:styleId="ListLabel948">
    <w:name w:val="ListLabel 948"/>
    <w:qFormat/>
    <w:rPr>
      <w:rFonts w:cs="OpenSymbol"/>
      <w:u w:val="none"/>
    </w:rPr>
  </w:style>
  <w:style w:type="character" w:customStyle="1" w:styleId="ListLabel949">
    <w:name w:val="ListLabel 949"/>
    <w:qFormat/>
    <w:rPr>
      <w:rFonts w:cs="OpenSymbol"/>
      <w:u w:val="none"/>
    </w:rPr>
  </w:style>
  <w:style w:type="character" w:customStyle="1" w:styleId="ListLabel950">
    <w:name w:val="ListLabel 950"/>
    <w:qFormat/>
    <w:rPr>
      <w:rFonts w:cs="OpenSymbol"/>
      <w:u w:val="none"/>
    </w:rPr>
  </w:style>
  <w:style w:type="character" w:customStyle="1" w:styleId="ListLabel951">
    <w:name w:val="ListLabel 951"/>
    <w:qFormat/>
    <w:rPr>
      <w:rFonts w:cs="OpenSymbol"/>
      <w:u w:val="none"/>
    </w:rPr>
  </w:style>
  <w:style w:type="character" w:customStyle="1" w:styleId="ListLabel952">
    <w:name w:val="ListLabel 952"/>
    <w:qFormat/>
    <w:rPr>
      <w:rFonts w:cs="OpenSymbol"/>
      <w:u w:val="none"/>
    </w:rPr>
  </w:style>
  <w:style w:type="character" w:customStyle="1" w:styleId="ListLabel953">
    <w:name w:val="ListLabel 953"/>
    <w:qFormat/>
    <w:rPr>
      <w:rFonts w:cs="OpenSymbol"/>
      <w:sz w:val="20"/>
      <w:u w:val="none"/>
    </w:rPr>
  </w:style>
  <w:style w:type="character" w:customStyle="1" w:styleId="ListLabel954">
    <w:name w:val="ListLabel 954"/>
    <w:qFormat/>
    <w:rPr>
      <w:rFonts w:cs="OpenSymbol"/>
      <w:u w:val="none"/>
    </w:rPr>
  </w:style>
  <w:style w:type="character" w:customStyle="1" w:styleId="ListLabel955">
    <w:name w:val="ListLabel 955"/>
    <w:qFormat/>
    <w:rPr>
      <w:rFonts w:cs="OpenSymbol"/>
      <w:u w:val="none"/>
    </w:rPr>
  </w:style>
  <w:style w:type="character" w:customStyle="1" w:styleId="ListLabel956">
    <w:name w:val="ListLabel 956"/>
    <w:qFormat/>
    <w:rPr>
      <w:rFonts w:cs="OpenSymbol"/>
      <w:u w:val="none"/>
    </w:rPr>
  </w:style>
  <w:style w:type="character" w:customStyle="1" w:styleId="ListLabel957">
    <w:name w:val="ListLabel 957"/>
    <w:qFormat/>
    <w:rPr>
      <w:rFonts w:cs="OpenSymbol"/>
      <w:u w:val="none"/>
    </w:rPr>
  </w:style>
  <w:style w:type="character" w:customStyle="1" w:styleId="ListLabel958">
    <w:name w:val="ListLabel 958"/>
    <w:qFormat/>
    <w:rPr>
      <w:rFonts w:cs="OpenSymbol"/>
      <w:u w:val="none"/>
    </w:rPr>
  </w:style>
  <w:style w:type="character" w:customStyle="1" w:styleId="ListLabel959">
    <w:name w:val="ListLabel 959"/>
    <w:qFormat/>
    <w:rPr>
      <w:rFonts w:cs="OpenSymbol"/>
      <w:u w:val="none"/>
    </w:rPr>
  </w:style>
  <w:style w:type="character" w:customStyle="1" w:styleId="ListLabel960">
    <w:name w:val="ListLabel 960"/>
    <w:qFormat/>
    <w:rPr>
      <w:rFonts w:cs="OpenSymbol"/>
      <w:u w:val="none"/>
    </w:rPr>
  </w:style>
  <w:style w:type="character" w:customStyle="1" w:styleId="ListLabel961">
    <w:name w:val="ListLabel 961"/>
    <w:qFormat/>
    <w:rPr>
      <w:rFonts w:cs="OpenSymbol"/>
      <w:u w:val="none"/>
    </w:rPr>
  </w:style>
  <w:style w:type="character" w:customStyle="1" w:styleId="ListLabel962">
    <w:name w:val="ListLabel 962"/>
    <w:qFormat/>
    <w:rPr>
      <w:rFonts w:cs="OpenSymbol"/>
      <w:sz w:val="20"/>
      <w:u w:val="none"/>
    </w:rPr>
  </w:style>
  <w:style w:type="character" w:customStyle="1" w:styleId="ListLabel963">
    <w:name w:val="ListLabel 963"/>
    <w:qFormat/>
    <w:rPr>
      <w:rFonts w:cs="OpenSymbol"/>
      <w:u w:val="none"/>
    </w:rPr>
  </w:style>
  <w:style w:type="character" w:customStyle="1" w:styleId="ListLabel964">
    <w:name w:val="ListLabel 964"/>
    <w:qFormat/>
    <w:rPr>
      <w:rFonts w:cs="OpenSymbol"/>
      <w:u w:val="none"/>
    </w:rPr>
  </w:style>
  <w:style w:type="character" w:customStyle="1" w:styleId="ListLabel965">
    <w:name w:val="ListLabel 965"/>
    <w:qFormat/>
    <w:rPr>
      <w:rFonts w:cs="OpenSymbol"/>
      <w:u w:val="none"/>
    </w:rPr>
  </w:style>
  <w:style w:type="character" w:customStyle="1" w:styleId="ListLabel966">
    <w:name w:val="ListLabel 966"/>
    <w:qFormat/>
    <w:rPr>
      <w:rFonts w:cs="OpenSymbol"/>
      <w:u w:val="none"/>
    </w:rPr>
  </w:style>
  <w:style w:type="character" w:customStyle="1" w:styleId="ListLabel967">
    <w:name w:val="ListLabel 967"/>
    <w:qFormat/>
    <w:rPr>
      <w:rFonts w:cs="OpenSymbol"/>
      <w:u w:val="none"/>
    </w:rPr>
  </w:style>
  <w:style w:type="character" w:customStyle="1" w:styleId="ListLabel968">
    <w:name w:val="ListLabel 968"/>
    <w:qFormat/>
    <w:rPr>
      <w:rFonts w:cs="OpenSymbol"/>
      <w:u w:val="none"/>
    </w:rPr>
  </w:style>
  <w:style w:type="character" w:customStyle="1" w:styleId="ListLabel969">
    <w:name w:val="ListLabel 969"/>
    <w:qFormat/>
    <w:rPr>
      <w:rFonts w:cs="OpenSymbol"/>
      <w:u w:val="none"/>
    </w:rPr>
  </w:style>
  <w:style w:type="character" w:customStyle="1" w:styleId="ListLabel970">
    <w:name w:val="ListLabel 970"/>
    <w:qFormat/>
    <w:rPr>
      <w:rFonts w:cs="OpenSymbol"/>
      <w:u w:val="none"/>
    </w:rPr>
  </w:style>
  <w:style w:type="character" w:customStyle="1" w:styleId="ListLabel971">
    <w:name w:val="ListLabel 971"/>
    <w:qFormat/>
    <w:rPr>
      <w:rFonts w:cs="OpenSymbol"/>
      <w:sz w:val="20"/>
      <w:u w:val="none"/>
    </w:rPr>
  </w:style>
  <w:style w:type="character" w:customStyle="1" w:styleId="ListLabel972">
    <w:name w:val="ListLabel 972"/>
    <w:qFormat/>
    <w:rPr>
      <w:rFonts w:cs="OpenSymbol"/>
      <w:u w:val="none"/>
    </w:rPr>
  </w:style>
  <w:style w:type="character" w:customStyle="1" w:styleId="ListLabel973">
    <w:name w:val="ListLabel 973"/>
    <w:qFormat/>
    <w:rPr>
      <w:rFonts w:cs="OpenSymbol"/>
      <w:u w:val="none"/>
    </w:rPr>
  </w:style>
  <w:style w:type="character" w:customStyle="1" w:styleId="ListLabel974">
    <w:name w:val="ListLabel 974"/>
    <w:qFormat/>
    <w:rPr>
      <w:rFonts w:cs="OpenSymbol"/>
      <w:u w:val="none"/>
    </w:rPr>
  </w:style>
  <w:style w:type="character" w:customStyle="1" w:styleId="ListLabel975">
    <w:name w:val="ListLabel 975"/>
    <w:qFormat/>
    <w:rPr>
      <w:rFonts w:cs="OpenSymbol"/>
      <w:u w:val="none"/>
    </w:rPr>
  </w:style>
  <w:style w:type="character" w:customStyle="1" w:styleId="ListLabel976">
    <w:name w:val="ListLabel 976"/>
    <w:qFormat/>
    <w:rPr>
      <w:rFonts w:cs="OpenSymbol"/>
      <w:u w:val="none"/>
    </w:rPr>
  </w:style>
  <w:style w:type="character" w:customStyle="1" w:styleId="ListLabel977">
    <w:name w:val="ListLabel 977"/>
    <w:qFormat/>
    <w:rPr>
      <w:rFonts w:cs="OpenSymbol"/>
      <w:u w:val="none"/>
    </w:rPr>
  </w:style>
  <w:style w:type="character" w:customStyle="1" w:styleId="ListLabel978">
    <w:name w:val="ListLabel 978"/>
    <w:qFormat/>
    <w:rPr>
      <w:rFonts w:cs="OpenSymbol"/>
      <w:u w:val="none"/>
    </w:rPr>
  </w:style>
  <w:style w:type="character" w:customStyle="1" w:styleId="ListLabel979">
    <w:name w:val="ListLabel 979"/>
    <w:qFormat/>
    <w:rPr>
      <w:rFonts w:cs="OpenSymbol"/>
      <w:u w:val="none"/>
    </w:rPr>
  </w:style>
  <w:style w:type="character" w:customStyle="1" w:styleId="ListLabel980">
    <w:name w:val="ListLabel 980"/>
    <w:qFormat/>
    <w:rPr>
      <w:rFonts w:cs="OpenSymbol"/>
      <w:sz w:val="20"/>
      <w:u w:val="none"/>
    </w:rPr>
  </w:style>
  <w:style w:type="character" w:customStyle="1" w:styleId="ListLabel981">
    <w:name w:val="ListLabel 981"/>
    <w:qFormat/>
    <w:rPr>
      <w:rFonts w:cs="OpenSymbol"/>
      <w:u w:val="none"/>
    </w:rPr>
  </w:style>
  <w:style w:type="character" w:customStyle="1" w:styleId="ListLabel982">
    <w:name w:val="ListLabel 982"/>
    <w:qFormat/>
    <w:rPr>
      <w:rFonts w:cs="OpenSymbol"/>
      <w:u w:val="none"/>
    </w:rPr>
  </w:style>
  <w:style w:type="character" w:customStyle="1" w:styleId="ListLabel983">
    <w:name w:val="ListLabel 983"/>
    <w:qFormat/>
    <w:rPr>
      <w:rFonts w:cs="OpenSymbol"/>
      <w:u w:val="none"/>
    </w:rPr>
  </w:style>
  <w:style w:type="character" w:customStyle="1" w:styleId="ListLabel984">
    <w:name w:val="ListLabel 984"/>
    <w:qFormat/>
    <w:rPr>
      <w:rFonts w:cs="OpenSymbol"/>
      <w:u w:val="none"/>
    </w:rPr>
  </w:style>
  <w:style w:type="character" w:customStyle="1" w:styleId="ListLabel985">
    <w:name w:val="ListLabel 985"/>
    <w:qFormat/>
    <w:rPr>
      <w:rFonts w:cs="OpenSymbol"/>
      <w:u w:val="none"/>
    </w:rPr>
  </w:style>
  <w:style w:type="character" w:customStyle="1" w:styleId="ListLabel986">
    <w:name w:val="ListLabel 986"/>
    <w:qFormat/>
    <w:rPr>
      <w:rFonts w:cs="OpenSymbol"/>
      <w:u w:val="none"/>
    </w:rPr>
  </w:style>
  <w:style w:type="character" w:customStyle="1" w:styleId="ListLabel987">
    <w:name w:val="ListLabel 987"/>
    <w:qFormat/>
    <w:rPr>
      <w:rFonts w:cs="OpenSymbol"/>
      <w:u w:val="none"/>
    </w:rPr>
  </w:style>
  <w:style w:type="character" w:customStyle="1" w:styleId="ListLabel988">
    <w:name w:val="ListLabel 988"/>
    <w:qFormat/>
    <w:rPr>
      <w:rFonts w:cs="OpenSymbol"/>
      <w:u w:val="none"/>
    </w:rPr>
  </w:style>
  <w:style w:type="character" w:customStyle="1" w:styleId="ListLabel989">
    <w:name w:val="ListLabel 989"/>
    <w:qFormat/>
    <w:rPr>
      <w:sz w:val="28"/>
      <w:szCs w:val="28"/>
    </w:rPr>
  </w:style>
  <w:style w:type="character" w:customStyle="1" w:styleId="ListLabel990">
    <w:name w:val="ListLabel 990"/>
    <w:qFormat/>
    <w:rPr>
      <w:b w:val="0"/>
      <w:color w:val="000000"/>
      <w:u w:val="none"/>
      <w:vertAlign w:val="superscript"/>
    </w:rPr>
  </w:style>
  <w:style w:type="character" w:customStyle="1" w:styleId="ListLabel991">
    <w:name w:val="ListLabel 991"/>
    <w:qFormat/>
    <w:rPr>
      <w:color w:val="1155CC"/>
      <w:u w:val="single"/>
    </w:rPr>
  </w:style>
  <w:style w:type="character" w:customStyle="1" w:styleId="ListLabel992">
    <w:name w:val="ListLabel 992"/>
    <w:qFormat/>
    <w:rPr>
      <w:color w:val="1155CC"/>
      <w:sz w:val="20"/>
      <w:szCs w:val="20"/>
      <w:u w:val="single"/>
    </w:rPr>
  </w:style>
  <w:style w:type="character" w:customStyle="1" w:styleId="ListLabel993">
    <w:name w:val="ListLabel 993"/>
    <w:qFormat/>
    <w:rPr>
      <w:b w:val="0"/>
      <w:color w:val="000000"/>
      <w:sz w:val="20"/>
      <w:szCs w:val="20"/>
      <w:u w:val="none"/>
      <w:vertAlign w:val="superscript"/>
    </w:rPr>
  </w:style>
  <w:style w:type="character" w:customStyle="1" w:styleId="ListLabel994">
    <w:name w:val="ListLabel 994"/>
    <w:qFormat/>
    <w:rPr>
      <w:b w:val="0"/>
      <w:i w:val="0"/>
      <w:color w:val="000000"/>
      <w:sz w:val="22"/>
      <w:szCs w:val="22"/>
      <w:u w:val="none"/>
    </w:rPr>
  </w:style>
  <w:style w:type="character" w:customStyle="1" w:styleId="ListLabel995">
    <w:name w:val="ListLabel 995"/>
    <w:qFormat/>
    <w:rPr>
      <w:b w:val="0"/>
      <w:i/>
      <w:color w:val="000000"/>
      <w:sz w:val="22"/>
      <w:szCs w:val="22"/>
      <w:u w:val="none"/>
    </w:rPr>
  </w:style>
  <w:style w:type="character" w:customStyle="1" w:styleId="ListLabel996">
    <w:name w:val="ListLabel 996"/>
    <w:qFormat/>
    <w:rPr>
      <w:b/>
      <w:i w:val="0"/>
      <w:color w:val="000000"/>
      <w:sz w:val="22"/>
      <w:szCs w:val="22"/>
      <w:u w:val="none"/>
    </w:rPr>
  </w:style>
  <w:style w:type="character" w:customStyle="1" w:styleId="ListLabel997">
    <w:name w:val="ListLabel 997"/>
    <w:qFormat/>
    <w:rPr>
      <w:rFonts w:cs="OpenSymbol"/>
      <w:sz w:val="20"/>
      <w:u w:val="none"/>
    </w:rPr>
  </w:style>
  <w:style w:type="character" w:customStyle="1" w:styleId="ListLabel998">
    <w:name w:val="ListLabel 998"/>
    <w:qFormat/>
    <w:rPr>
      <w:rFonts w:cs="OpenSymbol"/>
      <w:u w:val="none"/>
    </w:rPr>
  </w:style>
  <w:style w:type="character" w:customStyle="1" w:styleId="ListLabel999">
    <w:name w:val="ListLabel 999"/>
    <w:qFormat/>
    <w:rPr>
      <w:rFonts w:cs="OpenSymbol"/>
      <w:u w:val="none"/>
    </w:rPr>
  </w:style>
  <w:style w:type="character" w:customStyle="1" w:styleId="ListLabel1000">
    <w:name w:val="ListLabel 1000"/>
    <w:qFormat/>
    <w:rPr>
      <w:rFonts w:cs="OpenSymbol"/>
      <w:u w:val="none"/>
    </w:rPr>
  </w:style>
  <w:style w:type="character" w:customStyle="1" w:styleId="ListLabel1001">
    <w:name w:val="ListLabel 1001"/>
    <w:qFormat/>
    <w:rPr>
      <w:rFonts w:cs="OpenSymbol"/>
      <w:u w:val="none"/>
    </w:rPr>
  </w:style>
  <w:style w:type="character" w:customStyle="1" w:styleId="ListLabel1002">
    <w:name w:val="ListLabel 1002"/>
    <w:qFormat/>
    <w:rPr>
      <w:rFonts w:cs="OpenSymbol"/>
      <w:u w:val="none"/>
    </w:rPr>
  </w:style>
  <w:style w:type="character" w:customStyle="1" w:styleId="ListLabel1003">
    <w:name w:val="ListLabel 1003"/>
    <w:qFormat/>
    <w:rPr>
      <w:rFonts w:cs="OpenSymbol"/>
      <w:u w:val="none"/>
    </w:rPr>
  </w:style>
  <w:style w:type="character" w:customStyle="1" w:styleId="ListLabel1004">
    <w:name w:val="ListLabel 1004"/>
    <w:qFormat/>
    <w:rPr>
      <w:rFonts w:cs="OpenSymbol"/>
      <w:u w:val="none"/>
    </w:rPr>
  </w:style>
  <w:style w:type="character" w:customStyle="1" w:styleId="ListLabel1005">
    <w:name w:val="ListLabel 1005"/>
    <w:qFormat/>
    <w:rPr>
      <w:rFonts w:cs="OpenSymbol"/>
      <w:u w:val="none"/>
    </w:rPr>
  </w:style>
  <w:style w:type="character" w:customStyle="1" w:styleId="ListLabel1006">
    <w:name w:val="ListLabel 1006"/>
    <w:qFormat/>
    <w:rPr>
      <w:rFonts w:cs="OpenSymbol"/>
      <w:sz w:val="20"/>
      <w:u w:val="none"/>
    </w:rPr>
  </w:style>
  <w:style w:type="character" w:customStyle="1" w:styleId="ListLabel1007">
    <w:name w:val="ListLabel 1007"/>
    <w:qFormat/>
    <w:rPr>
      <w:rFonts w:cs="OpenSymbol"/>
      <w:u w:val="none"/>
    </w:rPr>
  </w:style>
  <w:style w:type="character" w:customStyle="1" w:styleId="ListLabel1008">
    <w:name w:val="ListLabel 1008"/>
    <w:qFormat/>
    <w:rPr>
      <w:rFonts w:cs="OpenSymbol"/>
      <w:u w:val="none"/>
    </w:rPr>
  </w:style>
  <w:style w:type="character" w:customStyle="1" w:styleId="ListLabel1009">
    <w:name w:val="ListLabel 1009"/>
    <w:qFormat/>
    <w:rPr>
      <w:rFonts w:cs="OpenSymbol"/>
      <w:u w:val="none"/>
    </w:rPr>
  </w:style>
  <w:style w:type="character" w:customStyle="1" w:styleId="ListLabel1010">
    <w:name w:val="ListLabel 1010"/>
    <w:qFormat/>
    <w:rPr>
      <w:rFonts w:cs="OpenSymbol"/>
      <w:u w:val="none"/>
    </w:rPr>
  </w:style>
  <w:style w:type="character" w:customStyle="1" w:styleId="ListLabel1011">
    <w:name w:val="ListLabel 1011"/>
    <w:qFormat/>
    <w:rPr>
      <w:rFonts w:cs="OpenSymbol"/>
      <w:u w:val="none"/>
    </w:rPr>
  </w:style>
  <w:style w:type="character" w:customStyle="1" w:styleId="ListLabel1012">
    <w:name w:val="ListLabel 1012"/>
    <w:qFormat/>
    <w:rPr>
      <w:rFonts w:cs="OpenSymbol"/>
      <w:u w:val="none"/>
    </w:rPr>
  </w:style>
  <w:style w:type="character" w:customStyle="1" w:styleId="ListLabel1013">
    <w:name w:val="ListLabel 1013"/>
    <w:qFormat/>
    <w:rPr>
      <w:rFonts w:cs="OpenSymbol"/>
      <w:u w:val="none"/>
    </w:rPr>
  </w:style>
  <w:style w:type="character" w:customStyle="1" w:styleId="ListLabel1014">
    <w:name w:val="ListLabel 1014"/>
    <w:qFormat/>
    <w:rPr>
      <w:rFonts w:cs="OpenSymbol"/>
      <w:u w:val="none"/>
    </w:rPr>
  </w:style>
  <w:style w:type="character" w:customStyle="1" w:styleId="ListLabel1015">
    <w:name w:val="ListLabel 1015"/>
    <w:qFormat/>
    <w:rPr>
      <w:rFonts w:cs="OpenSymbol"/>
      <w:sz w:val="20"/>
      <w:u w:val="none"/>
    </w:rPr>
  </w:style>
  <w:style w:type="character" w:customStyle="1" w:styleId="ListLabel1016">
    <w:name w:val="ListLabel 1016"/>
    <w:qFormat/>
    <w:rPr>
      <w:rFonts w:cs="OpenSymbol"/>
      <w:u w:val="none"/>
    </w:rPr>
  </w:style>
  <w:style w:type="character" w:customStyle="1" w:styleId="ListLabel1017">
    <w:name w:val="ListLabel 1017"/>
    <w:qFormat/>
    <w:rPr>
      <w:rFonts w:cs="OpenSymbol"/>
      <w:u w:val="none"/>
    </w:rPr>
  </w:style>
  <w:style w:type="character" w:customStyle="1" w:styleId="ListLabel1018">
    <w:name w:val="ListLabel 1018"/>
    <w:qFormat/>
    <w:rPr>
      <w:rFonts w:cs="OpenSymbol"/>
      <w:u w:val="none"/>
    </w:rPr>
  </w:style>
  <w:style w:type="character" w:customStyle="1" w:styleId="ListLabel1019">
    <w:name w:val="ListLabel 1019"/>
    <w:qFormat/>
    <w:rPr>
      <w:rFonts w:cs="OpenSymbol"/>
      <w:u w:val="none"/>
    </w:rPr>
  </w:style>
  <w:style w:type="character" w:customStyle="1" w:styleId="ListLabel1020">
    <w:name w:val="ListLabel 1020"/>
    <w:qFormat/>
    <w:rPr>
      <w:rFonts w:cs="OpenSymbol"/>
      <w:u w:val="none"/>
    </w:rPr>
  </w:style>
  <w:style w:type="character" w:customStyle="1" w:styleId="ListLabel1021">
    <w:name w:val="ListLabel 1021"/>
    <w:qFormat/>
    <w:rPr>
      <w:rFonts w:cs="OpenSymbol"/>
      <w:u w:val="none"/>
    </w:rPr>
  </w:style>
  <w:style w:type="character" w:customStyle="1" w:styleId="ListLabel1022">
    <w:name w:val="ListLabel 1022"/>
    <w:qFormat/>
    <w:rPr>
      <w:rFonts w:cs="OpenSymbol"/>
      <w:u w:val="none"/>
    </w:rPr>
  </w:style>
  <w:style w:type="character" w:customStyle="1" w:styleId="ListLabel1023">
    <w:name w:val="ListLabel 1023"/>
    <w:qFormat/>
    <w:rPr>
      <w:rFonts w:cs="OpenSymbol"/>
      <w:u w:val="none"/>
    </w:rPr>
  </w:style>
  <w:style w:type="character" w:customStyle="1" w:styleId="ListLabel1024">
    <w:name w:val="ListLabel 1024"/>
    <w:qFormat/>
    <w:rPr>
      <w:rFonts w:cs="OpenSymbol"/>
      <w:sz w:val="20"/>
      <w:u w:val="none"/>
    </w:rPr>
  </w:style>
  <w:style w:type="character" w:customStyle="1" w:styleId="ListLabel1025">
    <w:name w:val="ListLabel 1025"/>
    <w:qFormat/>
    <w:rPr>
      <w:rFonts w:cs="OpenSymbol"/>
      <w:u w:val="none"/>
    </w:rPr>
  </w:style>
  <w:style w:type="character" w:customStyle="1" w:styleId="ListLabel1026">
    <w:name w:val="ListLabel 1026"/>
    <w:qFormat/>
    <w:rPr>
      <w:rFonts w:cs="OpenSymbol"/>
      <w:u w:val="none"/>
    </w:rPr>
  </w:style>
  <w:style w:type="character" w:customStyle="1" w:styleId="ListLabel1027">
    <w:name w:val="ListLabel 1027"/>
    <w:qFormat/>
    <w:rPr>
      <w:rFonts w:cs="OpenSymbol"/>
      <w:u w:val="none"/>
    </w:rPr>
  </w:style>
  <w:style w:type="character" w:customStyle="1" w:styleId="ListLabel1028">
    <w:name w:val="ListLabel 1028"/>
    <w:qFormat/>
    <w:rPr>
      <w:rFonts w:cs="OpenSymbol"/>
      <w:u w:val="none"/>
    </w:rPr>
  </w:style>
  <w:style w:type="character" w:customStyle="1" w:styleId="ListLabel1029">
    <w:name w:val="ListLabel 1029"/>
    <w:qFormat/>
    <w:rPr>
      <w:rFonts w:cs="OpenSymbol"/>
      <w:u w:val="none"/>
    </w:rPr>
  </w:style>
  <w:style w:type="character" w:customStyle="1" w:styleId="ListLabel1030">
    <w:name w:val="ListLabel 1030"/>
    <w:qFormat/>
    <w:rPr>
      <w:rFonts w:cs="OpenSymbol"/>
      <w:u w:val="none"/>
    </w:rPr>
  </w:style>
  <w:style w:type="character" w:customStyle="1" w:styleId="ListLabel1031">
    <w:name w:val="ListLabel 1031"/>
    <w:qFormat/>
    <w:rPr>
      <w:rFonts w:cs="OpenSymbol"/>
      <w:u w:val="none"/>
    </w:rPr>
  </w:style>
  <w:style w:type="character" w:customStyle="1" w:styleId="ListLabel1032">
    <w:name w:val="ListLabel 1032"/>
    <w:qFormat/>
    <w:rPr>
      <w:rFonts w:cs="OpenSymbol"/>
      <w:u w:val="none"/>
    </w:rPr>
  </w:style>
  <w:style w:type="character" w:customStyle="1" w:styleId="ListLabel1033">
    <w:name w:val="ListLabel 1033"/>
    <w:qFormat/>
    <w:rPr>
      <w:rFonts w:cs="OpenSymbol"/>
      <w:sz w:val="20"/>
      <w:u w:val="none"/>
    </w:rPr>
  </w:style>
  <w:style w:type="character" w:customStyle="1" w:styleId="ListLabel1034">
    <w:name w:val="ListLabel 1034"/>
    <w:qFormat/>
    <w:rPr>
      <w:rFonts w:cs="OpenSymbol"/>
      <w:u w:val="none"/>
    </w:rPr>
  </w:style>
  <w:style w:type="character" w:customStyle="1" w:styleId="ListLabel1035">
    <w:name w:val="ListLabel 1035"/>
    <w:qFormat/>
    <w:rPr>
      <w:rFonts w:cs="OpenSymbol"/>
      <w:u w:val="none"/>
    </w:rPr>
  </w:style>
  <w:style w:type="character" w:customStyle="1" w:styleId="ListLabel1036">
    <w:name w:val="ListLabel 1036"/>
    <w:qFormat/>
    <w:rPr>
      <w:rFonts w:cs="OpenSymbol"/>
      <w:u w:val="none"/>
    </w:rPr>
  </w:style>
  <w:style w:type="character" w:customStyle="1" w:styleId="ListLabel1037">
    <w:name w:val="ListLabel 1037"/>
    <w:qFormat/>
    <w:rPr>
      <w:rFonts w:cs="OpenSymbol"/>
      <w:u w:val="none"/>
    </w:rPr>
  </w:style>
  <w:style w:type="character" w:customStyle="1" w:styleId="ListLabel1038">
    <w:name w:val="ListLabel 1038"/>
    <w:qFormat/>
    <w:rPr>
      <w:rFonts w:cs="OpenSymbol"/>
      <w:u w:val="none"/>
    </w:rPr>
  </w:style>
  <w:style w:type="character" w:customStyle="1" w:styleId="ListLabel1039">
    <w:name w:val="ListLabel 1039"/>
    <w:qFormat/>
    <w:rPr>
      <w:rFonts w:cs="OpenSymbol"/>
      <w:u w:val="none"/>
    </w:rPr>
  </w:style>
  <w:style w:type="character" w:customStyle="1" w:styleId="ListLabel1040">
    <w:name w:val="ListLabel 1040"/>
    <w:qFormat/>
    <w:rPr>
      <w:rFonts w:cs="OpenSymbol"/>
      <w:u w:val="none"/>
    </w:rPr>
  </w:style>
  <w:style w:type="character" w:customStyle="1" w:styleId="ListLabel1041">
    <w:name w:val="ListLabel 1041"/>
    <w:qFormat/>
    <w:rPr>
      <w:rFonts w:cs="OpenSymbol"/>
      <w:u w:val="none"/>
    </w:rPr>
  </w:style>
  <w:style w:type="character" w:customStyle="1" w:styleId="ListLabel1042">
    <w:name w:val="ListLabel 1042"/>
    <w:qFormat/>
    <w:rPr>
      <w:rFonts w:cs="OpenSymbol"/>
      <w:sz w:val="20"/>
      <w:u w:val="none"/>
    </w:rPr>
  </w:style>
  <w:style w:type="character" w:customStyle="1" w:styleId="ListLabel1043">
    <w:name w:val="ListLabel 1043"/>
    <w:qFormat/>
    <w:rPr>
      <w:rFonts w:cs="OpenSymbol"/>
      <w:u w:val="none"/>
    </w:rPr>
  </w:style>
  <w:style w:type="character" w:customStyle="1" w:styleId="ListLabel1044">
    <w:name w:val="ListLabel 1044"/>
    <w:qFormat/>
    <w:rPr>
      <w:rFonts w:cs="OpenSymbol"/>
      <w:u w:val="none"/>
    </w:rPr>
  </w:style>
  <w:style w:type="character" w:customStyle="1" w:styleId="ListLabel1045">
    <w:name w:val="ListLabel 1045"/>
    <w:qFormat/>
    <w:rPr>
      <w:rFonts w:cs="OpenSymbol"/>
      <w:u w:val="none"/>
    </w:rPr>
  </w:style>
  <w:style w:type="character" w:customStyle="1" w:styleId="ListLabel1046">
    <w:name w:val="ListLabel 1046"/>
    <w:qFormat/>
    <w:rPr>
      <w:rFonts w:cs="OpenSymbol"/>
      <w:u w:val="none"/>
    </w:rPr>
  </w:style>
  <w:style w:type="character" w:customStyle="1" w:styleId="ListLabel1047">
    <w:name w:val="ListLabel 1047"/>
    <w:qFormat/>
    <w:rPr>
      <w:rFonts w:cs="OpenSymbol"/>
      <w:u w:val="none"/>
    </w:rPr>
  </w:style>
  <w:style w:type="character" w:customStyle="1" w:styleId="ListLabel1048">
    <w:name w:val="ListLabel 1048"/>
    <w:qFormat/>
    <w:rPr>
      <w:rFonts w:cs="OpenSymbol"/>
      <w:u w:val="none"/>
    </w:rPr>
  </w:style>
  <w:style w:type="character" w:customStyle="1" w:styleId="ListLabel1049">
    <w:name w:val="ListLabel 1049"/>
    <w:qFormat/>
    <w:rPr>
      <w:rFonts w:cs="OpenSymbol"/>
      <w:u w:val="none"/>
    </w:rPr>
  </w:style>
  <w:style w:type="character" w:customStyle="1" w:styleId="ListLabel1050">
    <w:name w:val="ListLabel 1050"/>
    <w:qFormat/>
    <w:rPr>
      <w:rFonts w:cs="OpenSymbol"/>
      <w:u w:val="none"/>
    </w:rPr>
  </w:style>
  <w:style w:type="character" w:customStyle="1" w:styleId="ListLabel1051">
    <w:name w:val="ListLabel 1051"/>
    <w:qFormat/>
    <w:rPr>
      <w:rFonts w:cs="OpenSymbol"/>
      <w:sz w:val="20"/>
      <w:u w:val="none"/>
    </w:rPr>
  </w:style>
  <w:style w:type="character" w:customStyle="1" w:styleId="ListLabel1052">
    <w:name w:val="ListLabel 1052"/>
    <w:qFormat/>
    <w:rPr>
      <w:rFonts w:cs="OpenSymbol"/>
      <w:u w:val="none"/>
    </w:rPr>
  </w:style>
  <w:style w:type="character" w:customStyle="1" w:styleId="ListLabel1053">
    <w:name w:val="ListLabel 1053"/>
    <w:qFormat/>
    <w:rPr>
      <w:rFonts w:cs="OpenSymbol"/>
      <w:u w:val="none"/>
    </w:rPr>
  </w:style>
  <w:style w:type="character" w:customStyle="1" w:styleId="ListLabel1054">
    <w:name w:val="ListLabel 1054"/>
    <w:qFormat/>
    <w:rPr>
      <w:rFonts w:cs="OpenSymbol"/>
      <w:u w:val="none"/>
    </w:rPr>
  </w:style>
  <w:style w:type="character" w:customStyle="1" w:styleId="ListLabel1055">
    <w:name w:val="ListLabel 1055"/>
    <w:qFormat/>
    <w:rPr>
      <w:rFonts w:cs="OpenSymbol"/>
      <w:u w:val="none"/>
    </w:rPr>
  </w:style>
  <w:style w:type="character" w:customStyle="1" w:styleId="ListLabel1056">
    <w:name w:val="ListLabel 1056"/>
    <w:qFormat/>
    <w:rPr>
      <w:rFonts w:cs="OpenSymbol"/>
      <w:u w:val="none"/>
    </w:rPr>
  </w:style>
  <w:style w:type="character" w:customStyle="1" w:styleId="ListLabel1057">
    <w:name w:val="ListLabel 1057"/>
    <w:qFormat/>
    <w:rPr>
      <w:rFonts w:cs="OpenSymbol"/>
      <w:u w:val="none"/>
    </w:rPr>
  </w:style>
  <w:style w:type="character" w:customStyle="1" w:styleId="ListLabel1058">
    <w:name w:val="ListLabel 1058"/>
    <w:qFormat/>
    <w:rPr>
      <w:rFonts w:cs="OpenSymbol"/>
      <w:u w:val="none"/>
    </w:rPr>
  </w:style>
  <w:style w:type="character" w:customStyle="1" w:styleId="ListLabel1059">
    <w:name w:val="ListLabel 1059"/>
    <w:qFormat/>
    <w:rPr>
      <w:rFonts w:cs="OpenSymbol"/>
      <w:u w:val="none"/>
    </w:rPr>
  </w:style>
  <w:style w:type="character" w:customStyle="1" w:styleId="ListLabel1060">
    <w:name w:val="ListLabel 1060"/>
    <w:qFormat/>
    <w:rPr>
      <w:rFonts w:cs="OpenSymbol"/>
      <w:sz w:val="20"/>
      <w:u w:val="none"/>
    </w:rPr>
  </w:style>
  <w:style w:type="character" w:customStyle="1" w:styleId="ListLabel1061">
    <w:name w:val="ListLabel 1061"/>
    <w:qFormat/>
    <w:rPr>
      <w:rFonts w:cs="OpenSymbol"/>
      <w:u w:val="none"/>
    </w:rPr>
  </w:style>
  <w:style w:type="character" w:customStyle="1" w:styleId="ListLabel1062">
    <w:name w:val="ListLabel 1062"/>
    <w:qFormat/>
    <w:rPr>
      <w:rFonts w:cs="OpenSymbol"/>
      <w:u w:val="none"/>
    </w:rPr>
  </w:style>
  <w:style w:type="character" w:customStyle="1" w:styleId="ListLabel1063">
    <w:name w:val="ListLabel 1063"/>
    <w:qFormat/>
    <w:rPr>
      <w:rFonts w:cs="OpenSymbol"/>
      <w:u w:val="none"/>
    </w:rPr>
  </w:style>
  <w:style w:type="character" w:customStyle="1" w:styleId="ListLabel1064">
    <w:name w:val="ListLabel 1064"/>
    <w:qFormat/>
    <w:rPr>
      <w:rFonts w:cs="OpenSymbol"/>
      <w:u w:val="none"/>
    </w:rPr>
  </w:style>
  <w:style w:type="character" w:customStyle="1" w:styleId="ListLabel1065">
    <w:name w:val="ListLabel 1065"/>
    <w:qFormat/>
    <w:rPr>
      <w:rFonts w:cs="OpenSymbol"/>
      <w:u w:val="none"/>
    </w:rPr>
  </w:style>
  <w:style w:type="character" w:customStyle="1" w:styleId="ListLabel1066">
    <w:name w:val="ListLabel 1066"/>
    <w:qFormat/>
    <w:rPr>
      <w:rFonts w:cs="OpenSymbol"/>
      <w:u w:val="none"/>
    </w:rPr>
  </w:style>
  <w:style w:type="character" w:customStyle="1" w:styleId="ListLabel1067">
    <w:name w:val="ListLabel 1067"/>
    <w:qFormat/>
    <w:rPr>
      <w:rFonts w:cs="OpenSymbol"/>
      <w:u w:val="none"/>
    </w:rPr>
  </w:style>
  <w:style w:type="character" w:customStyle="1" w:styleId="ListLabel1068">
    <w:name w:val="ListLabel 1068"/>
    <w:qFormat/>
    <w:rPr>
      <w:rFonts w:cs="OpenSymbol"/>
      <w:u w:val="none"/>
    </w:rPr>
  </w:style>
  <w:style w:type="character" w:customStyle="1" w:styleId="ListLabel1069">
    <w:name w:val="ListLabel 1069"/>
    <w:qFormat/>
    <w:rPr>
      <w:rFonts w:cs="OpenSymbol"/>
      <w:sz w:val="20"/>
      <w:u w:val="none"/>
    </w:rPr>
  </w:style>
  <w:style w:type="character" w:customStyle="1" w:styleId="ListLabel1070">
    <w:name w:val="ListLabel 1070"/>
    <w:qFormat/>
    <w:rPr>
      <w:rFonts w:cs="OpenSymbol"/>
      <w:u w:val="none"/>
    </w:rPr>
  </w:style>
  <w:style w:type="character" w:customStyle="1" w:styleId="ListLabel1071">
    <w:name w:val="ListLabel 1071"/>
    <w:qFormat/>
    <w:rPr>
      <w:rFonts w:cs="OpenSymbol"/>
      <w:u w:val="none"/>
    </w:rPr>
  </w:style>
  <w:style w:type="character" w:customStyle="1" w:styleId="ListLabel1072">
    <w:name w:val="ListLabel 1072"/>
    <w:qFormat/>
    <w:rPr>
      <w:rFonts w:cs="OpenSymbol"/>
      <w:u w:val="none"/>
    </w:rPr>
  </w:style>
  <w:style w:type="character" w:customStyle="1" w:styleId="ListLabel1073">
    <w:name w:val="ListLabel 1073"/>
    <w:qFormat/>
    <w:rPr>
      <w:rFonts w:cs="OpenSymbol"/>
      <w:u w:val="none"/>
    </w:rPr>
  </w:style>
  <w:style w:type="character" w:customStyle="1" w:styleId="ListLabel1074">
    <w:name w:val="ListLabel 1074"/>
    <w:qFormat/>
    <w:rPr>
      <w:rFonts w:cs="OpenSymbol"/>
      <w:u w:val="none"/>
    </w:rPr>
  </w:style>
  <w:style w:type="character" w:customStyle="1" w:styleId="ListLabel1075">
    <w:name w:val="ListLabel 1075"/>
    <w:qFormat/>
    <w:rPr>
      <w:rFonts w:cs="OpenSymbol"/>
      <w:u w:val="none"/>
    </w:rPr>
  </w:style>
  <w:style w:type="character" w:customStyle="1" w:styleId="ListLabel1076">
    <w:name w:val="ListLabel 1076"/>
    <w:qFormat/>
    <w:rPr>
      <w:rFonts w:cs="OpenSymbol"/>
      <w:u w:val="none"/>
    </w:rPr>
  </w:style>
  <w:style w:type="character" w:customStyle="1" w:styleId="ListLabel1077">
    <w:name w:val="ListLabel 1077"/>
    <w:qFormat/>
    <w:rPr>
      <w:rFonts w:cs="OpenSymbol"/>
      <w:u w:val="none"/>
    </w:rPr>
  </w:style>
  <w:style w:type="character" w:customStyle="1" w:styleId="ListLabel1078">
    <w:name w:val="ListLabel 1078"/>
    <w:qFormat/>
    <w:rPr>
      <w:rFonts w:cs="OpenSymbol"/>
      <w:sz w:val="20"/>
      <w:u w:val="none"/>
    </w:rPr>
  </w:style>
  <w:style w:type="character" w:customStyle="1" w:styleId="ListLabel1079">
    <w:name w:val="ListLabel 1079"/>
    <w:qFormat/>
    <w:rPr>
      <w:rFonts w:cs="OpenSymbol"/>
      <w:u w:val="none"/>
    </w:rPr>
  </w:style>
  <w:style w:type="character" w:customStyle="1" w:styleId="ListLabel1080">
    <w:name w:val="ListLabel 1080"/>
    <w:qFormat/>
    <w:rPr>
      <w:rFonts w:cs="OpenSymbol"/>
      <w:u w:val="none"/>
    </w:rPr>
  </w:style>
  <w:style w:type="character" w:customStyle="1" w:styleId="ListLabel1081">
    <w:name w:val="ListLabel 1081"/>
    <w:qFormat/>
    <w:rPr>
      <w:rFonts w:cs="OpenSymbol"/>
      <w:u w:val="none"/>
    </w:rPr>
  </w:style>
  <w:style w:type="character" w:customStyle="1" w:styleId="ListLabel1082">
    <w:name w:val="ListLabel 1082"/>
    <w:qFormat/>
    <w:rPr>
      <w:rFonts w:cs="OpenSymbol"/>
      <w:u w:val="none"/>
    </w:rPr>
  </w:style>
  <w:style w:type="character" w:customStyle="1" w:styleId="ListLabel1083">
    <w:name w:val="ListLabel 1083"/>
    <w:qFormat/>
    <w:rPr>
      <w:rFonts w:cs="OpenSymbol"/>
      <w:u w:val="none"/>
    </w:rPr>
  </w:style>
  <w:style w:type="character" w:customStyle="1" w:styleId="ListLabel1084">
    <w:name w:val="ListLabel 1084"/>
    <w:qFormat/>
    <w:rPr>
      <w:rFonts w:cs="OpenSymbol"/>
      <w:u w:val="none"/>
    </w:rPr>
  </w:style>
  <w:style w:type="character" w:customStyle="1" w:styleId="ListLabel1085">
    <w:name w:val="ListLabel 1085"/>
    <w:qFormat/>
    <w:rPr>
      <w:rFonts w:cs="OpenSymbol"/>
      <w:u w:val="none"/>
    </w:rPr>
  </w:style>
  <w:style w:type="character" w:customStyle="1" w:styleId="ListLabel1086">
    <w:name w:val="ListLabel 1086"/>
    <w:qFormat/>
    <w:rPr>
      <w:rFonts w:cs="OpenSymbol"/>
      <w:u w:val="none"/>
    </w:rPr>
  </w:style>
  <w:style w:type="character" w:customStyle="1" w:styleId="ListLabel1087">
    <w:name w:val="ListLabel 1087"/>
    <w:qFormat/>
    <w:rPr>
      <w:rFonts w:cs="OpenSymbol"/>
      <w:sz w:val="20"/>
      <w:u w:val="none"/>
    </w:rPr>
  </w:style>
  <w:style w:type="character" w:customStyle="1" w:styleId="ListLabel1088">
    <w:name w:val="ListLabel 1088"/>
    <w:qFormat/>
    <w:rPr>
      <w:rFonts w:cs="OpenSymbol"/>
      <w:u w:val="none"/>
    </w:rPr>
  </w:style>
  <w:style w:type="character" w:customStyle="1" w:styleId="ListLabel1089">
    <w:name w:val="ListLabel 1089"/>
    <w:qFormat/>
    <w:rPr>
      <w:rFonts w:cs="OpenSymbol"/>
      <w:u w:val="none"/>
    </w:rPr>
  </w:style>
  <w:style w:type="character" w:customStyle="1" w:styleId="ListLabel1090">
    <w:name w:val="ListLabel 1090"/>
    <w:qFormat/>
    <w:rPr>
      <w:rFonts w:cs="OpenSymbol"/>
      <w:u w:val="none"/>
    </w:rPr>
  </w:style>
  <w:style w:type="character" w:customStyle="1" w:styleId="ListLabel1091">
    <w:name w:val="ListLabel 1091"/>
    <w:qFormat/>
    <w:rPr>
      <w:rFonts w:cs="OpenSymbol"/>
      <w:u w:val="none"/>
    </w:rPr>
  </w:style>
  <w:style w:type="character" w:customStyle="1" w:styleId="ListLabel1092">
    <w:name w:val="ListLabel 1092"/>
    <w:qFormat/>
    <w:rPr>
      <w:rFonts w:cs="OpenSymbol"/>
      <w:u w:val="none"/>
    </w:rPr>
  </w:style>
  <w:style w:type="character" w:customStyle="1" w:styleId="ListLabel1093">
    <w:name w:val="ListLabel 1093"/>
    <w:qFormat/>
    <w:rPr>
      <w:rFonts w:cs="OpenSymbol"/>
      <w:u w:val="none"/>
    </w:rPr>
  </w:style>
  <w:style w:type="character" w:customStyle="1" w:styleId="ListLabel1094">
    <w:name w:val="ListLabel 1094"/>
    <w:qFormat/>
    <w:rPr>
      <w:rFonts w:cs="OpenSymbol"/>
      <w:u w:val="none"/>
    </w:rPr>
  </w:style>
  <w:style w:type="character" w:customStyle="1" w:styleId="ListLabel1095">
    <w:name w:val="ListLabel 1095"/>
    <w:qFormat/>
    <w:rPr>
      <w:rFonts w:cs="OpenSymbol"/>
      <w:u w:val="none"/>
    </w:rPr>
  </w:style>
  <w:style w:type="character" w:customStyle="1" w:styleId="ListLabel1096">
    <w:name w:val="ListLabel 1096"/>
    <w:qFormat/>
    <w:rPr>
      <w:rFonts w:cs="OpenSymbol"/>
      <w:sz w:val="20"/>
      <w:u w:val="none"/>
    </w:rPr>
  </w:style>
  <w:style w:type="character" w:customStyle="1" w:styleId="ListLabel1097">
    <w:name w:val="ListLabel 1097"/>
    <w:qFormat/>
    <w:rPr>
      <w:rFonts w:cs="OpenSymbol"/>
      <w:u w:val="none"/>
    </w:rPr>
  </w:style>
  <w:style w:type="character" w:customStyle="1" w:styleId="ListLabel1098">
    <w:name w:val="ListLabel 1098"/>
    <w:qFormat/>
    <w:rPr>
      <w:rFonts w:cs="OpenSymbol"/>
      <w:u w:val="none"/>
    </w:rPr>
  </w:style>
  <w:style w:type="character" w:customStyle="1" w:styleId="ListLabel1099">
    <w:name w:val="ListLabel 1099"/>
    <w:qFormat/>
    <w:rPr>
      <w:rFonts w:cs="OpenSymbol"/>
      <w:u w:val="none"/>
    </w:rPr>
  </w:style>
  <w:style w:type="character" w:customStyle="1" w:styleId="ListLabel1100">
    <w:name w:val="ListLabel 1100"/>
    <w:qFormat/>
    <w:rPr>
      <w:rFonts w:cs="OpenSymbol"/>
      <w:u w:val="none"/>
    </w:rPr>
  </w:style>
  <w:style w:type="character" w:customStyle="1" w:styleId="ListLabel1101">
    <w:name w:val="ListLabel 1101"/>
    <w:qFormat/>
    <w:rPr>
      <w:rFonts w:cs="OpenSymbol"/>
      <w:u w:val="none"/>
    </w:rPr>
  </w:style>
  <w:style w:type="character" w:customStyle="1" w:styleId="ListLabel1102">
    <w:name w:val="ListLabel 1102"/>
    <w:qFormat/>
    <w:rPr>
      <w:rFonts w:cs="OpenSymbol"/>
      <w:u w:val="none"/>
    </w:rPr>
  </w:style>
  <w:style w:type="character" w:customStyle="1" w:styleId="ListLabel1103">
    <w:name w:val="ListLabel 1103"/>
    <w:qFormat/>
    <w:rPr>
      <w:rFonts w:cs="OpenSymbol"/>
      <w:u w:val="none"/>
    </w:rPr>
  </w:style>
  <w:style w:type="character" w:customStyle="1" w:styleId="ListLabel1104">
    <w:name w:val="ListLabel 1104"/>
    <w:qFormat/>
    <w:rPr>
      <w:rFonts w:cs="OpenSymbol"/>
      <w:u w:val="none"/>
    </w:rPr>
  </w:style>
  <w:style w:type="character" w:customStyle="1" w:styleId="ListLabel1105">
    <w:name w:val="ListLabel 1105"/>
    <w:qFormat/>
    <w:rPr>
      <w:rFonts w:cs="OpenSymbol"/>
      <w:sz w:val="20"/>
      <w:u w:val="none"/>
    </w:rPr>
  </w:style>
  <w:style w:type="character" w:customStyle="1" w:styleId="ListLabel1106">
    <w:name w:val="ListLabel 1106"/>
    <w:qFormat/>
    <w:rPr>
      <w:rFonts w:cs="OpenSymbol"/>
      <w:u w:val="none"/>
    </w:rPr>
  </w:style>
  <w:style w:type="character" w:customStyle="1" w:styleId="ListLabel1107">
    <w:name w:val="ListLabel 1107"/>
    <w:qFormat/>
    <w:rPr>
      <w:rFonts w:cs="OpenSymbol"/>
      <w:u w:val="none"/>
    </w:rPr>
  </w:style>
  <w:style w:type="character" w:customStyle="1" w:styleId="ListLabel1108">
    <w:name w:val="ListLabel 1108"/>
    <w:qFormat/>
    <w:rPr>
      <w:rFonts w:cs="OpenSymbol"/>
      <w:u w:val="none"/>
    </w:rPr>
  </w:style>
  <w:style w:type="character" w:customStyle="1" w:styleId="ListLabel1109">
    <w:name w:val="ListLabel 1109"/>
    <w:qFormat/>
    <w:rPr>
      <w:rFonts w:cs="OpenSymbol"/>
      <w:u w:val="none"/>
    </w:rPr>
  </w:style>
  <w:style w:type="character" w:customStyle="1" w:styleId="ListLabel1110">
    <w:name w:val="ListLabel 1110"/>
    <w:qFormat/>
    <w:rPr>
      <w:rFonts w:cs="OpenSymbol"/>
      <w:u w:val="none"/>
    </w:rPr>
  </w:style>
  <w:style w:type="character" w:customStyle="1" w:styleId="ListLabel1111">
    <w:name w:val="ListLabel 1111"/>
    <w:qFormat/>
    <w:rPr>
      <w:rFonts w:cs="OpenSymbol"/>
      <w:u w:val="none"/>
    </w:rPr>
  </w:style>
  <w:style w:type="character" w:customStyle="1" w:styleId="ListLabel1112">
    <w:name w:val="ListLabel 1112"/>
    <w:qFormat/>
    <w:rPr>
      <w:rFonts w:cs="OpenSymbol"/>
      <w:u w:val="none"/>
    </w:rPr>
  </w:style>
  <w:style w:type="character" w:customStyle="1" w:styleId="ListLabel1113">
    <w:name w:val="ListLabel 1113"/>
    <w:qFormat/>
    <w:rPr>
      <w:rFonts w:cs="OpenSymbol"/>
      <w:u w:val="none"/>
    </w:rPr>
  </w:style>
  <w:style w:type="character" w:customStyle="1" w:styleId="ListLabel1114">
    <w:name w:val="ListLabel 1114"/>
    <w:qFormat/>
    <w:rPr>
      <w:sz w:val="28"/>
      <w:szCs w:val="28"/>
    </w:rPr>
  </w:style>
  <w:style w:type="character" w:customStyle="1" w:styleId="ListLabel1115">
    <w:name w:val="ListLabel 1115"/>
    <w:qFormat/>
    <w:rPr>
      <w:b w:val="0"/>
      <w:color w:val="000000"/>
      <w:u w:val="none"/>
      <w:vertAlign w:val="superscript"/>
    </w:rPr>
  </w:style>
  <w:style w:type="character" w:customStyle="1" w:styleId="ListLabel1116">
    <w:name w:val="ListLabel 1116"/>
    <w:qFormat/>
    <w:rPr>
      <w:color w:val="1155CC"/>
      <w:u w:val="single"/>
    </w:rPr>
  </w:style>
  <w:style w:type="character" w:customStyle="1" w:styleId="ListLabel1117">
    <w:name w:val="ListLabel 1117"/>
    <w:qFormat/>
    <w:rPr>
      <w:color w:val="1155CC"/>
      <w:sz w:val="20"/>
      <w:szCs w:val="20"/>
      <w:u w:val="single"/>
    </w:rPr>
  </w:style>
  <w:style w:type="character" w:customStyle="1" w:styleId="ListLabel1118">
    <w:name w:val="ListLabel 1118"/>
    <w:qFormat/>
    <w:rPr>
      <w:b w:val="0"/>
      <w:color w:val="000000"/>
      <w:sz w:val="20"/>
      <w:szCs w:val="20"/>
      <w:u w:val="none"/>
      <w:vertAlign w:val="superscript"/>
    </w:rPr>
  </w:style>
  <w:style w:type="character" w:customStyle="1" w:styleId="ListLabel1119">
    <w:name w:val="ListLabel 1119"/>
    <w:qFormat/>
    <w:rPr>
      <w:b w:val="0"/>
      <w:i w:val="0"/>
      <w:color w:val="000000"/>
      <w:sz w:val="22"/>
      <w:szCs w:val="22"/>
      <w:u w:val="none"/>
    </w:rPr>
  </w:style>
  <w:style w:type="character" w:customStyle="1" w:styleId="ListLabel1120">
    <w:name w:val="ListLabel 1120"/>
    <w:qFormat/>
    <w:rPr>
      <w:b w:val="0"/>
      <w:i/>
      <w:color w:val="000000"/>
      <w:sz w:val="22"/>
      <w:szCs w:val="22"/>
      <w:u w:val="none"/>
    </w:rPr>
  </w:style>
  <w:style w:type="character" w:customStyle="1" w:styleId="ListLabel1121">
    <w:name w:val="ListLabel 1121"/>
    <w:qFormat/>
    <w:rPr>
      <w:b/>
      <w:i w:val="0"/>
      <w:color w:val="000000"/>
      <w:sz w:val="22"/>
      <w:szCs w:val="22"/>
      <w:u w:val="none"/>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LO-normal">
    <w:name w:val="LO-normal"/>
    <w:qFormat/>
    <w:pPr>
      <w:spacing w:line="276" w:lineRule="auto"/>
    </w:pPr>
    <w:rPr>
      <w:sz w:val="22"/>
    </w:rPr>
  </w:style>
  <w:style w:type="paragraph" w:styleId="Title">
    <w:name w:val="Title"/>
    <w:basedOn w:val="LO-normal"/>
    <w:qFormat/>
    <w:pPr>
      <w:keepNext/>
      <w:keepLines/>
      <w:spacing w:after="60" w:line="240" w:lineRule="auto"/>
    </w:pPr>
    <w:rPr>
      <w:sz w:val="52"/>
      <w:szCs w:val="52"/>
    </w:rPr>
  </w:style>
  <w:style w:type="paragraph" w:styleId="Subtitle">
    <w:name w:val="Subtitle"/>
    <w:basedOn w:val="LO-normal"/>
    <w:qFormat/>
    <w:pPr>
      <w:keepNext/>
      <w:keepLines/>
      <w:spacing w:after="320" w:line="240" w:lineRule="auto"/>
    </w:pPr>
    <w:rPr>
      <w:color w:val="666666"/>
      <w:sz w:val="30"/>
      <w:szCs w:val="30"/>
    </w:rPr>
  </w:style>
  <w:style w:type="paragraph" w:styleId="Header">
    <w:name w:val="header"/>
    <w:basedOn w:val="Normal"/>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FootnoteText">
    <w:name w:val="footnote text"/>
    <w:basedOn w:val="Normal"/>
    <w:link w:val="FootnoteTextChar"/>
    <w:uiPriority w:val="99"/>
    <w:semiHidden/>
    <w:unhideWhenUsed/>
    <w:rsid w:val="00B806B2"/>
    <w:pPr>
      <w:spacing w:line="240" w:lineRule="auto"/>
    </w:pPr>
    <w:rPr>
      <w:rFonts w:cs="Mangal"/>
      <w:sz w:val="20"/>
      <w:szCs w:val="18"/>
    </w:rPr>
  </w:style>
  <w:style w:type="character" w:customStyle="1" w:styleId="FootnoteTextChar">
    <w:name w:val="Footnote Text Char"/>
    <w:basedOn w:val="DefaultParagraphFont"/>
    <w:link w:val="FootnoteText"/>
    <w:uiPriority w:val="99"/>
    <w:semiHidden/>
    <w:rsid w:val="00B806B2"/>
    <w:rPr>
      <w:rFonts w:cs="Mangal"/>
      <w:szCs w:val="18"/>
    </w:rPr>
  </w:style>
  <w:style w:type="character" w:styleId="FootnoteReference">
    <w:name w:val="footnote reference"/>
    <w:basedOn w:val="DefaultParagraphFont"/>
    <w:uiPriority w:val="99"/>
    <w:semiHidden/>
    <w:unhideWhenUsed/>
    <w:rsid w:val="00B806B2"/>
    <w:rPr>
      <w:vertAlign w:val="superscript"/>
    </w:rPr>
  </w:style>
  <w:style w:type="character" w:styleId="CommentReference">
    <w:name w:val="annotation reference"/>
    <w:basedOn w:val="DefaultParagraphFont"/>
    <w:uiPriority w:val="99"/>
    <w:semiHidden/>
    <w:unhideWhenUsed/>
    <w:rsid w:val="006F359A"/>
    <w:rPr>
      <w:sz w:val="16"/>
      <w:szCs w:val="16"/>
    </w:rPr>
  </w:style>
  <w:style w:type="paragraph" w:styleId="CommentText">
    <w:name w:val="annotation text"/>
    <w:basedOn w:val="Normal"/>
    <w:link w:val="CommentTextChar"/>
    <w:uiPriority w:val="99"/>
    <w:semiHidden/>
    <w:unhideWhenUsed/>
    <w:rsid w:val="006F359A"/>
    <w:pPr>
      <w:spacing w:line="240" w:lineRule="auto"/>
    </w:pPr>
    <w:rPr>
      <w:rFonts w:cs="Mangal"/>
      <w:sz w:val="20"/>
      <w:szCs w:val="18"/>
    </w:rPr>
  </w:style>
  <w:style w:type="character" w:customStyle="1" w:styleId="CommentTextChar">
    <w:name w:val="Comment Text Char"/>
    <w:basedOn w:val="DefaultParagraphFont"/>
    <w:link w:val="CommentText"/>
    <w:uiPriority w:val="99"/>
    <w:semiHidden/>
    <w:rsid w:val="006F359A"/>
    <w:rPr>
      <w:rFonts w:cs="Mangal"/>
      <w:szCs w:val="18"/>
    </w:rPr>
  </w:style>
  <w:style w:type="paragraph" w:styleId="CommentSubject">
    <w:name w:val="annotation subject"/>
    <w:basedOn w:val="CommentText"/>
    <w:next w:val="CommentText"/>
    <w:link w:val="CommentSubjectChar"/>
    <w:uiPriority w:val="99"/>
    <w:semiHidden/>
    <w:unhideWhenUsed/>
    <w:rsid w:val="006F359A"/>
    <w:rPr>
      <w:b/>
      <w:bCs/>
    </w:rPr>
  </w:style>
  <w:style w:type="character" w:customStyle="1" w:styleId="CommentSubjectChar">
    <w:name w:val="Comment Subject Char"/>
    <w:basedOn w:val="CommentTextChar"/>
    <w:link w:val="CommentSubject"/>
    <w:uiPriority w:val="99"/>
    <w:semiHidden/>
    <w:rsid w:val="006F359A"/>
    <w:rPr>
      <w:rFonts w:cs="Mangal"/>
      <w:b/>
      <w:bCs/>
      <w:szCs w:val="18"/>
    </w:rPr>
  </w:style>
  <w:style w:type="paragraph" w:styleId="BalloonText">
    <w:name w:val="Balloon Text"/>
    <w:basedOn w:val="Normal"/>
    <w:link w:val="BalloonTextChar"/>
    <w:uiPriority w:val="99"/>
    <w:semiHidden/>
    <w:unhideWhenUsed/>
    <w:rsid w:val="006F359A"/>
    <w:pPr>
      <w:spacing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6F359A"/>
    <w:rPr>
      <w:rFonts w:ascii="Segoe UI" w:hAnsi="Segoe UI" w:cs="Mangal"/>
      <w:sz w:val="18"/>
      <w:szCs w:val="16"/>
    </w:rPr>
  </w:style>
  <w:style w:type="character" w:styleId="Hyperlink">
    <w:name w:val="Hyperlink"/>
    <w:basedOn w:val="DefaultParagraphFont"/>
    <w:uiPriority w:val="99"/>
    <w:unhideWhenUsed/>
    <w:rsid w:val="00EF0732"/>
    <w:rPr>
      <w:color w:val="0563C1" w:themeColor="hyperlink"/>
      <w:u w:val="single"/>
    </w:rPr>
  </w:style>
  <w:style w:type="character" w:styleId="FollowedHyperlink">
    <w:name w:val="FollowedHyperlink"/>
    <w:basedOn w:val="DefaultParagraphFont"/>
    <w:uiPriority w:val="99"/>
    <w:semiHidden/>
    <w:unhideWhenUsed/>
    <w:rsid w:val="00EF0732"/>
    <w:rPr>
      <w:color w:val="954F72" w:themeColor="followedHyperlink"/>
      <w:u w:val="single"/>
    </w:rPr>
  </w:style>
  <w:style w:type="paragraph" w:styleId="Revision">
    <w:name w:val="Revision"/>
    <w:hidden/>
    <w:uiPriority w:val="99"/>
    <w:semiHidden/>
    <w:rsid w:val="007E7BCC"/>
    <w:rPr>
      <w:rFonts w:cs="Mangal"/>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mp.bicnirrh.res.in/" TargetMode="External"/><Relationship Id="rId18" Type="http://schemas.openxmlformats.org/officeDocument/2006/relationships/hyperlink" Target="http://www.jci-bioinfo.cn/MLAMP" TargetMode="External"/><Relationship Id="rId26" Type="http://schemas.openxmlformats.org/officeDocument/2006/relationships/hyperlink" Target="https://webs.iiitd.edu.in/raghava/antibp2/help.html" TargetMode="External"/><Relationship Id="rId39" Type="http://schemas.openxmlformats.org/officeDocument/2006/relationships/hyperlink" Target="http://raptorx.uchicago.edu/download/" TargetMode="External"/><Relationship Id="rId21" Type="http://schemas.openxmlformats.org/officeDocument/2006/relationships/hyperlink" Target="http://bactibase.hammamilab.org/main.php" TargetMode="External"/><Relationship Id="rId34" Type="http://schemas.openxmlformats.org/officeDocument/2006/relationships/hyperlink" Target="http://www.compbio.dundee.ac.uk/jpred/" TargetMode="External"/><Relationship Id="rId42" Type="http://schemas.openxmlformats.org/officeDocument/2006/relationships/hyperlink" Target="http://amyloid.csail.mit.edu/" TargetMode="External"/><Relationship Id="rId47" Type="http://schemas.openxmlformats.org/officeDocument/2006/relationships/hyperlink" Target="http://metamyl.genouest.org/e107_plugins/metamyl_aggregation/db_prediction_meta.php" TargetMode="External"/><Relationship Id="rId50" Type="http://schemas.openxmlformats.org/officeDocument/2006/relationships/hyperlink" Target="http://protein.bio.unipd.it/pasta2/" TargetMode="External"/><Relationship Id="rId55" Type="http://schemas.openxmlformats.org/officeDocument/2006/relationships/image" Target="media/image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hytamp.pfba-lab-tun.org/main.php" TargetMode="External"/><Relationship Id="rId29" Type="http://schemas.openxmlformats.org/officeDocument/2006/relationships/hyperlink" Target="http://www.jci-bioinfo.cn/iAMP-2L" TargetMode="External"/><Relationship Id="rId11" Type="http://schemas.openxmlformats.org/officeDocument/2006/relationships/hyperlink" Target="https://paperpile.com/c/lZKXdS/9w1iI" TargetMode="External"/><Relationship Id="rId24" Type="http://schemas.openxmlformats.org/officeDocument/2006/relationships/hyperlink" Target="http://bagel4.molgenrug.nl/index.php" TargetMode="External"/><Relationship Id="rId32" Type="http://schemas.openxmlformats.org/officeDocument/2006/relationships/hyperlink" Target="https://mobyle.rpbs.univ-paris-diderot.fr/cgi-bin/portal.py" TargetMode="External"/><Relationship Id="rId37" Type="http://schemas.openxmlformats.org/officeDocument/2006/relationships/hyperlink" Target="https://npsa-prabi.ibcp.fr/cgi-bin/npsa_automat.pl?page=/NPSA/npsa_sopma.html" TargetMode="External"/><Relationship Id="rId40" Type="http://schemas.openxmlformats.org/officeDocument/2006/relationships/hyperlink" Target="https://github.com/multicom-toolbox/DNSS2" TargetMode="External"/><Relationship Id="rId45" Type="http://schemas.openxmlformats.org/officeDocument/2006/relationships/hyperlink" Target="http://admet.scbdd.com/ChemAGG/index/" TargetMode="External"/><Relationship Id="rId53" Type="http://schemas.openxmlformats.org/officeDocument/2006/relationships/hyperlink" Target="http://waltz.switchlab.org/" TargetMode="External"/><Relationship Id="rId5" Type="http://schemas.openxmlformats.org/officeDocument/2006/relationships/webSettings" Target="webSettings.xml"/><Relationship Id="rId19" Type="http://schemas.openxmlformats.org/officeDocument/2006/relationships/hyperlink" Target="http://bioinformatics.cs.ntou.edu.tw/ADAM/index.html" TargetMode="External"/><Relationship Id="rId4" Type="http://schemas.openxmlformats.org/officeDocument/2006/relationships/settings" Target="settings.xml"/><Relationship Id="rId9" Type="http://schemas.openxmlformats.org/officeDocument/2006/relationships/hyperlink" Target="mailto:pietro.ga.aronica@gmail.com" TargetMode="External"/><Relationship Id="rId14" Type="http://schemas.openxmlformats.org/officeDocument/2006/relationships/hyperlink" Target="http://aps.unmc.edu/AP/main.php" TargetMode="External"/><Relationship Id="rId22" Type="http://schemas.openxmlformats.org/officeDocument/2006/relationships/hyperlink" Target="http://peptaibol.cryst.bbk.ac.uk/home.shtml" TargetMode="External"/><Relationship Id="rId27" Type="http://schemas.openxmlformats.org/officeDocument/2006/relationships/hyperlink" Target="http://crdd.osdd.net/raghava/antibp/" TargetMode="External"/><Relationship Id="rId30" Type="http://schemas.openxmlformats.org/officeDocument/2006/relationships/hyperlink" Target="http://cabgrid.res.in:8080/amppred/" TargetMode="External"/><Relationship Id="rId35" Type="http://schemas.openxmlformats.org/officeDocument/2006/relationships/hyperlink" Target="https://npsa-prabi.ibcp.fr/cgi-bin/npsa_automat.pl?page=/NPSA/npsa_phd.html" TargetMode="External"/><Relationship Id="rId43" Type="http://schemas.openxmlformats.org/officeDocument/2006/relationships/hyperlink" Target="http://aias.biol.uoa.gr/AMYLPRED2/" TargetMode="External"/><Relationship Id="rId48" Type="http://schemas.openxmlformats.org/officeDocument/2006/relationships/hyperlink" Target="http://cssp2.sookmyung.ac.kr/" TargetMode="External"/><Relationship Id="rId56" Type="http://schemas.openxmlformats.org/officeDocument/2006/relationships/fontTable" Target="fontTable.xml"/><Relationship Id="rId8" Type="http://schemas.openxmlformats.org/officeDocument/2006/relationships/hyperlink" Target="mailto:pietroa@bii.a-star.edu.sg" TargetMode="External"/><Relationship Id="rId51" Type="http://schemas.openxmlformats.org/officeDocument/2006/relationships/hyperlink" Target="http://athina.biol.uoa.gr/SecStr/"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dbaasp.org/" TargetMode="External"/><Relationship Id="rId25" Type="http://schemas.openxmlformats.org/officeDocument/2006/relationships/hyperlink" Target="http://gec.u-picardie.fr/adaptable" TargetMode="External"/><Relationship Id="rId33" Type="http://schemas.openxmlformats.org/officeDocument/2006/relationships/hyperlink" Target="http://osddlinux.osdd.net/raghava/pepstrmod/" TargetMode="External"/><Relationship Id="rId38" Type="http://schemas.openxmlformats.org/officeDocument/2006/relationships/hyperlink" Target="https://robetta.bakerlab.org/" TargetMode="External"/><Relationship Id="rId46" Type="http://schemas.openxmlformats.org/officeDocument/2006/relationships/hyperlink" Target="http://bioinfo.protres.ru/fold-amyloid/" TargetMode="External"/><Relationship Id="rId20" Type="http://schemas.openxmlformats.org/officeDocument/2006/relationships/hyperlink" Target="http://split4.pmfst.hr/dadp/" TargetMode="External"/><Relationship Id="rId41" Type="http://schemas.openxmlformats.org/officeDocument/2006/relationships/hyperlink" Target="http://bioinf.uab.es/aggrescan/" TargetMode="External"/><Relationship Id="rId54" Type="http://schemas.openxmlformats.org/officeDocument/2006/relationships/hyperlink" Target="https://services.mbi.ucla.edu/zipperdb/"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yadamp.unisa.it/about.aspx" TargetMode="External"/><Relationship Id="rId23" Type="http://schemas.openxmlformats.org/officeDocument/2006/relationships/hyperlink" Target="http://dramp.cpu-bioinfor.org/" TargetMode="External"/><Relationship Id="rId28" Type="http://schemas.openxmlformats.org/officeDocument/2006/relationships/hyperlink" Target="http://amap.pythonanywhere.com/" TargetMode="External"/><Relationship Id="rId36" Type="http://schemas.openxmlformats.org/officeDocument/2006/relationships/hyperlink" Target="http://bioinf.cs.ucl.ac.uk/psipred/" TargetMode="External"/><Relationship Id="rId49" Type="http://schemas.openxmlformats.org/officeDocument/2006/relationships/hyperlink" Target="http://www.mobioinfor.cn/pafig/" TargetMode="External"/><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yperlink" Target="http://crdd.osdd.net/raghava/pep2d/" TargetMode="External"/><Relationship Id="rId44" Type="http://schemas.openxmlformats.org/officeDocument/2006/relationships/hyperlink" Target="http://www-mvsoftware.ch.cam.ac.uk/index.php/camsolintrinsic" TargetMode="External"/><Relationship Id="rId52" Type="http://schemas.openxmlformats.org/officeDocument/2006/relationships/hyperlink" Target="http://tango.cr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E08D5-EFEB-4A78-A28D-953BE40BC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56</Pages>
  <Words>206770</Words>
  <Characters>1178592</Characters>
  <Application>Microsoft Office Word</Application>
  <DocSecurity>0</DocSecurity>
  <Lines>9821</Lines>
  <Paragraphs>2765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BMAD002</dc:creator>
  <cp:keywords/>
  <dc:description/>
  <cp:lastModifiedBy>BMAD002</cp:lastModifiedBy>
  <cp:revision>4</cp:revision>
  <dcterms:created xsi:type="dcterms:W3CDTF">2021-05-14T05:47:00Z</dcterms:created>
  <dcterms:modified xsi:type="dcterms:W3CDTF">2021-06-04T01:50:00Z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http://www.zotero.org/styles/journal-of-chemical-information-and-modeling</vt:lpwstr>
  </property>
  <property fmtid="{D5CDD505-2E9C-101B-9397-08002B2CF9AE}" pid="13" name="Mendeley Recent Style Name 5_1">
    <vt:lpwstr>Journal of Chemical Information and Modeling</vt:lpwstr>
  </property>
  <property fmtid="{D5CDD505-2E9C-101B-9397-08002B2CF9AE}" pid="14" name="Mendeley Recent Style Id 6_1">
    <vt:lpwstr>http://www.zotero.org/styles/journal-of-the-american-chemical-society</vt:lpwstr>
  </property>
  <property fmtid="{D5CDD505-2E9C-101B-9397-08002B2CF9AE}" pid="15" name="Mendeley Recent Style Name 6_1">
    <vt:lpwstr>Journal of the American Chemical Society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53110037-45b5-39e9-bc99-4e5b36eded82</vt:lpwstr>
  </property>
  <property fmtid="{D5CDD505-2E9C-101B-9397-08002B2CF9AE}" pid="24" name="Mendeley Citation Style_1">
    <vt:lpwstr>http://www.zotero.org/styles/journal-of-the-american-chemical-society</vt:lpwstr>
  </property>
</Properties>
</file>