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824F2" w14:textId="77777777" w:rsidR="00E97402" w:rsidRDefault="00E97402">
      <w:pPr>
        <w:pStyle w:val="Text"/>
        <w:ind w:firstLine="0"/>
        <w:rPr>
          <w:sz w:val="18"/>
          <w:szCs w:val="18"/>
        </w:rPr>
      </w:pPr>
      <w:r>
        <w:rPr>
          <w:sz w:val="18"/>
          <w:szCs w:val="18"/>
        </w:rPr>
        <w:footnoteReference w:customMarkFollows="1" w:id="1"/>
        <w:sym w:font="Symbol" w:char="F020"/>
      </w:r>
    </w:p>
    <w:p w14:paraId="49BE4858" w14:textId="2B316BC9" w:rsidR="00E97402" w:rsidRDefault="005F6A67">
      <w:pPr>
        <w:pStyle w:val="Title"/>
        <w:framePr w:wrap="notBeside"/>
      </w:pPr>
      <w:r w:rsidRPr="005F6A67">
        <w:t>A Variant Q-sorting Methodology for Building Diagnostic Trees</w:t>
      </w:r>
    </w:p>
    <w:p w14:paraId="23EA33E8" w14:textId="1D5F4E3B" w:rsidR="00E97402" w:rsidRDefault="00AA6443">
      <w:pPr>
        <w:pStyle w:val="Authors"/>
        <w:framePr w:wrap="notBeside"/>
      </w:pPr>
      <w:r w:rsidRPr="00AA6443">
        <w:rPr>
          <w:rStyle w:val="MemberType"/>
        </w:rPr>
        <w:t xml:space="preserve">Sahar </w:t>
      </w:r>
      <w:proofErr w:type="spellStart"/>
      <w:r w:rsidRPr="00AA6443">
        <w:rPr>
          <w:rStyle w:val="MemberType"/>
        </w:rPr>
        <w:t>Sabbaghan</w:t>
      </w:r>
      <w:proofErr w:type="spellEnd"/>
      <w:r w:rsidRPr="00AA6443">
        <w:rPr>
          <w:rStyle w:val="MemberType"/>
        </w:rPr>
        <w:t>, Cecil E</w:t>
      </w:r>
      <w:r>
        <w:rPr>
          <w:rStyle w:val="MemberType"/>
        </w:rPr>
        <w:t>.</w:t>
      </w:r>
      <w:r w:rsidRPr="00AA6443">
        <w:rPr>
          <w:rStyle w:val="MemberType"/>
        </w:rPr>
        <w:t xml:space="preserve"> H</w:t>
      </w:r>
      <w:r>
        <w:rPr>
          <w:rStyle w:val="MemberType"/>
        </w:rPr>
        <w:t>.</w:t>
      </w:r>
      <w:r w:rsidRPr="00AA6443">
        <w:rPr>
          <w:rStyle w:val="MemberType"/>
        </w:rPr>
        <w:t xml:space="preserve"> Chua, and Lesley A. Gardner</w:t>
      </w:r>
    </w:p>
    <w:p w14:paraId="239F6A53" w14:textId="6F7D10CB" w:rsidR="00AA6443" w:rsidRPr="00AA6443" w:rsidRDefault="00E97402" w:rsidP="00AA6443">
      <w:pPr>
        <w:pStyle w:val="Abstract"/>
        <w:rPr>
          <w:i/>
          <w:lang w:val="en-GB"/>
        </w:rPr>
      </w:pPr>
      <w:r>
        <w:rPr>
          <w:i/>
          <w:iCs/>
        </w:rPr>
        <w:t>Abstract</w:t>
      </w:r>
      <w:r>
        <w:t>—</w:t>
      </w:r>
      <w:bookmarkStart w:id="0" w:name="_Hlk50028245"/>
      <w:r w:rsidR="00AA6443" w:rsidRPr="00AA6443">
        <w:rPr>
          <w:rFonts w:eastAsiaTheme="minorHAnsi"/>
          <w:i/>
          <w:sz w:val="24"/>
          <w:szCs w:val="24"/>
          <w:lang w:val="en-GB"/>
        </w:rPr>
        <w:t xml:space="preserve"> </w:t>
      </w:r>
      <w:r w:rsidR="00AA6443" w:rsidRPr="00AA6443">
        <w:rPr>
          <w:i/>
          <w:lang w:val="en-GB"/>
        </w:rPr>
        <w:t xml:space="preserve">Diagnostic theories are fundamental to Information System (IS) practice and are represented as trees.  While there are approaches to validating diagnostic trees, these validate the overall performance of the tree rather than identifying ways incorrect diagnoses can occur. It is important to fully validate diagnostic trees, because even if the tree gives the correct decision “most of the time,” it is possible for incorrect decisions traveling down little used branches of the tree to result in catastrophic decisions.    </w:t>
      </w:r>
      <w:bookmarkStart w:id="1" w:name="_Hlk511906017"/>
      <w:r w:rsidR="00AA6443" w:rsidRPr="00AA6443">
        <w:rPr>
          <w:i/>
          <w:lang w:val="en-GB"/>
        </w:rPr>
        <w:t>This paper describes the process of using a variant of q-sorting to validate diagnostic tree</w:t>
      </w:r>
      <w:bookmarkEnd w:id="1"/>
      <w:r w:rsidR="00AA6443" w:rsidRPr="00AA6443">
        <w:rPr>
          <w:i/>
          <w:lang w:val="en-GB"/>
        </w:rPr>
        <w:t xml:space="preserve">s. In this methodology, diagnostic trees that independent experts develop are transformed into a quantitative form, and that quantitative form is tested to determine the inter-rater reliability of the individual branches in the tree. The trees are then successively transformed to incrementally test if they branch in the same way. The results help researchers not only identify quality items for use in a </w:t>
      </w:r>
      <w:r w:rsidR="00AA6443" w:rsidRPr="00AA6443">
        <w:rPr>
          <w:i/>
          <w:lang w:val="en-NZ"/>
        </w:rPr>
        <w:t>diagnostic tree</w:t>
      </w:r>
      <w:r w:rsidR="00AA6443" w:rsidRPr="00AA6443">
        <w:rPr>
          <w:i/>
          <w:lang w:val="en-GB"/>
        </w:rPr>
        <w:t>, but also facilitate diagnoses of problems with those items and facilitate the reconciliation of discrepant trees by experts.  The methodology validates not only the whole tree, but also its subparts.</w:t>
      </w:r>
    </w:p>
    <w:bookmarkEnd w:id="0"/>
    <w:p w14:paraId="33A01057" w14:textId="77777777" w:rsidR="00E97402" w:rsidRDefault="00E97402"/>
    <w:p w14:paraId="1E9FB266" w14:textId="7C5D8610" w:rsidR="00E97402" w:rsidRDefault="00E97402">
      <w:pPr>
        <w:pStyle w:val="IndexTerms"/>
      </w:pPr>
      <w:bookmarkStart w:id="2" w:name="PointTmp"/>
      <w:r>
        <w:rPr>
          <w:i/>
          <w:iCs/>
        </w:rPr>
        <w:t>Index Terms</w:t>
      </w:r>
      <w:r>
        <w:t>—</w:t>
      </w:r>
      <w:r w:rsidR="00AA6443" w:rsidRPr="00AA6443">
        <w:rPr>
          <w:rFonts w:eastAsia="Calibri"/>
          <w:b w:val="0"/>
          <w:bCs w:val="0"/>
          <w:i/>
          <w:sz w:val="24"/>
          <w:szCs w:val="24"/>
          <w:lang w:val="en-GB"/>
        </w:rPr>
        <w:t xml:space="preserve"> </w:t>
      </w:r>
      <w:r w:rsidR="00AA6443" w:rsidRPr="00AA6443">
        <w:rPr>
          <w:i/>
          <w:lang w:val="en-GB"/>
        </w:rPr>
        <w:t>Diagnostic theories, Diagnostic-Tree, Inter-rater reliability</w:t>
      </w:r>
      <w:r w:rsidR="00AA6443">
        <w:rPr>
          <w:i/>
          <w:lang w:val="en-GB"/>
        </w:rPr>
        <w:t>,</w:t>
      </w:r>
      <w:r w:rsidR="00AA6443" w:rsidRPr="00AA6443">
        <w:rPr>
          <w:b w:val="0"/>
          <w:bCs w:val="0"/>
          <w:i/>
          <w:sz w:val="20"/>
          <w:szCs w:val="20"/>
          <w:lang w:val="en-GB"/>
        </w:rPr>
        <w:t xml:space="preserve"> </w:t>
      </w:r>
      <w:r w:rsidR="00AA6443" w:rsidRPr="00AA6443">
        <w:rPr>
          <w:i/>
          <w:lang w:val="en-GB"/>
        </w:rPr>
        <w:t>Tree, Q-sorting.</w:t>
      </w:r>
    </w:p>
    <w:p w14:paraId="6F8BAFE5" w14:textId="77777777" w:rsidR="00E97402" w:rsidRDefault="00E97402"/>
    <w:bookmarkEnd w:id="2"/>
    <w:p w14:paraId="5CE7D0E9" w14:textId="77777777" w:rsidR="00E97402" w:rsidRDefault="00E97402">
      <w:pPr>
        <w:pStyle w:val="Heading1"/>
      </w:pPr>
      <w:r>
        <w:t>I</w:t>
      </w:r>
      <w:r>
        <w:rPr>
          <w:sz w:val="16"/>
          <w:szCs w:val="16"/>
        </w:rPr>
        <w:t>NTRODUCTION</w:t>
      </w:r>
    </w:p>
    <w:p w14:paraId="44466A10" w14:textId="7737D8E0" w:rsidR="00E97402" w:rsidRDefault="005F6A67">
      <w:pPr>
        <w:pStyle w:val="Text"/>
        <w:keepNext/>
        <w:framePr w:dropCap="drop" w:lines="2" w:wrap="auto" w:vAnchor="text" w:hAnchor="text"/>
        <w:spacing w:line="480" w:lineRule="exact"/>
        <w:ind w:firstLine="0"/>
        <w:rPr>
          <w:smallCaps/>
          <w:position w:val="-3"/>
          <w:sz w:val="56"/>
          <w:szCs w:val="56"/>
        </w:rPr>
      </w:pPr>
      <w:r>
        <w:rPr>
          <w:position w:val="-3"/>
          <w:sz w:val="56"/>
          <w:szCs w:val="56"/>
        </w:rPr>
        <w:t>D</w:t>
      </w:r>
    </w:p>
    <w:p w14:paraId="0206022F" w14:textId="5E608CBF" w:rsidR="005F6A67" w:rsidRPr="001F3E78" w:rsidRDefault="005F6A67" w:rsidP="00880E8B">
      <w:pPr>
        <w:shd w:val="clear" w:color="auto" w:fill="FFFFFF"/>
        <w:jc w:val="both"/>
        <w:rPr>
          <w:color w:val="222222"/>
          <w:szCs w:val="24"/>
          <w:shd w:val="clear" w:color="auto" w:fill="FFFFFF"/>
        </w:rPr>
      </w:pPr>
      <w:bookmarkStart w:id="3" w:name="_Hlk64119740"/>
      <w:bookmarkStart w:id="4" w:name="_Hlk64119871"/>
      <w:r w:rsidRPr="00416916">
        <w:rPr>
          <w:szCs w:val="24"/>
        </w:rPr>
        <w:t xml:space="preserve">iagnostic theories are fundamental to Information Systems (IS) practice.  A diagnostic theory is used to identify why a particular situation occurs. Diagnostic theories have wide applicability. </w:t>
      </w:r>
      <w:r w:rsidRPr="00416916">
        <w:rPr>
          <w:color w:val="222222"/>
          <w:szCs w:val="24"/>
          <w:shd w:val="clear" w:color="auto" w:fill="FFFFFF"/>
        </w:rPr>
        <w:t xml:space="preserve">For example, </w:t>
      </w:r>
      <w:proofErr w:type="spellStart"/>
      <w:r w:rsidRPr="00416916">
        <w:rPr>
          <w:color w:val="222222"/>
          <w:szCs w:val="24"/>
          <w:shd w:val="clear" w:color="auto" w:fill="FFFFFF"/>
        </w:rPr>
        <w:t>Mycin</w:t>
      </w:r>
      <w:proofErr w:type="spellEnd"/>
      <w:r w:rsidRPr="00416916">
        <w:rPr>
          <w:color w:val="222222"/>
          <w:szCs w:val="24"/>
          <w:shd w:val="clear" w:color="auto" w:fill="FFFFFF"/>
        </w:rPr>
        <w:t xml:space="preserve"> </w:t>
      </w:r>
      <w:r w:rsidRPr="00416916">
        <w:rPr>
          <w:color w:val="222222"/>
          <w:szCs w:val="24"/>
          <w:shd w:val="clear" w:color="auto" w:fill="FFFFFF"/>
        </w:rPr>
        <w:fldChar w:fldCharType="begin" w:fldLock="1"/>
      </w:r>
      <w:r w:rsidRPr="00416916">
        <w:rPr>
          <w:color w:val="222222"/>
          <w:szCs w:val="24"/>
          <w:shd w:val="clear" w:color="auto" w:fill="FFFFFF"/>
        </w:rPr>
        <w:instrText>ADDIN CSL_CITATION {"citationItems":[{"id":"ITEM-1","itemData":{"author":[{"dropping-particle":"","family":"Shortliffe","given":"Edward","non-dropping-particle":"","parse-names":false,"suffix":""}],"edition":"(Vol. 2).","id":"ITEM-1","issued":{"date-parts":[["2012"]]},"publisher":"Elsevier.","title":"Computer-based medical consultations: MYCIN","type":"book"},"uris":["http://www.mendeley.com/documents/?uuid=89000b1f-d2db-44d3-acde-9db7a899588e"]}],"mendeley":{"formattedCitation":"[1]","plainTextFormattedCitation":"[1]","previouslyFormattedCitation":"[1]"},"properties":{"noteIndex":0},"schema":"https://github.com/citation-style-language/schema/raw/master/csl-citation.json"}</w:instrText>
      </w:r>
      <w:r w:rsidRPr="00416916">
        <w:rPr>
          <w:color w:val="222222"/>
          <w:szCs w:val="24"/>
          <w:shd w:val="clear" w:color="auto" w:fill="FFFFFF"/>
        </w:rPr>
        <w:fldChar w:fldCharType="separate"/>
      </w:r>
      <w:r w:rsidRPr="00416916">
        <w:rPr>
          <w:noProof/>
          <w:color w:val="222222"/>
          <w:szCs w:val="24"/>
          <w:shd w:val="clear" w:color="auto" w:fill="FFFFFF"/>
        </w:rPr>
        <w:t>[1]</w:t>
      </w:r>
      <w:r w:rsidRPr="00416916">
        <w:rPr>
          <w:color w:val="222222"/>
          <w:szCs w:val="24"/>
          <w:shd w:val="clear" w:color="auto" w:fill="FFFFFF"/>
        </w:rPr>
        <w:fldChar w:fldCharType="end"/>
      </w:r>
      <w:r w:rsidRPr="00416916">
        <w:rPr>
          <w:color w:val="222222"/>
          <w:szCs w:val="24"/>
          <w:shd w:val="clear" w:color="auto" w:fill="FFFFFF"/>
        </w:rPr>
        <w:t xml:space="preserve"> and other expert systems </w:t>
      </w:r>
      <w:r w:rsidRPr="00416916">
        <w:rPr>
          <w:color w:val="222222"/>
          <w:szCs w:val="24"/>
          <w:shd w:val="clear" w:color="auto" w:fill="FFFFFF"/>
        </w:rPr>
        <w:fldChar w:fldCharType="begin" w:fldLock="1"/>
      </w:r>
      <w:r w:rsidRPr="00416916">
        <w:rPr>
          <w:color w:val="222222"/>
          <w:szCs w:val="24"/>
          <w:shd w:val="clear" w:color="auto" w:fill="FFFFFF"/>
        </w:rPr>
        <w:instrText>ADDIN CSL_CITATION {"citationItems":[{"id":"ITEM-1","itemData":{"DOI":"10.1201/b14815-5","author":[{"dropping-particle":"","family":"Angeli","given":"Chrissanthi","non-dropping-particle":"","parse-names":false,"suffix":""}],"container-title":"Expert Systems","id":"ITEM-1","issue":"2","issued":{"date-parts":[["2008"]]},"page":"115-132","title":"Online expert systems for fault diagnosis in technical processes","type":"article-journal","volume":"25"},"uris":["http://www.mendeley.com/documents/?uuid=e6c6ff06-89a7-4adf-a38d-73cc88d85f36"]},{"id":"ITEM-2","itemData":{"DOI":"10.1007/s00170-002-1389-9","ISSN":"02683768","abstract":"An efficient expert system for machine fault diagnosis is developed. A new search method is proposed in this system to improve the efficiency of the diagnostic process. First of all, a diagnostic tree (a decision tree) is built by domain experts according to the functions of the devices in the machine. Then, the diagnostic priorities of nodes (devices) in the tree are determined based on a fuzzy group multiple attribute decision making method. A meta knowledge base for fault diagnosis is generated automatically based on the determined priorities to guide the diagnostic process. After that, a domain knowledge base that hypothesises possible faults for each device in the tree is generated by domain experts and/or manuals. At last, the inference process starts based on the meta knowledge base and hypothesises which device is the possible cause of failure. To validate the system performance, an illustrative example (VCR troubleshooting) is presented for demonstration purposes.","author":[{"dropping-particle":"","family":"Liu","given":"S. C.","non-dropping-particle":"","parse-names":false,"suffix":""},{"dropping-particle":"","family":"Liu","given":"S. Y.","non-dropping-particle":"","parse-names":false,"suffix":""}],"container-title":"International Journal of Advanced Manufacturing Technology","id":"ITEM-2","issue":"9","issued":{"date-parts":[["2003"]]},"page":"691-698","title":"An efficient expert system for machine fault diagnosis","type":"article-journal","volume":"21"},"uris":["http://www.mendeley.com/documents/?uuid=958afc9a-560e-4b4d-a66a-2e8dad0ab006"]}],"mendeley":{"formattedCitation":"[2], [3]","plainTextFormattedCitation":"[2], [3]","previouslyFormattedCitation":"[2], [3]"},"properties":{"noteIndex":0},"schema":"https://github.com/citation-style-language/schema/raw/master/csl-citation.json"}</w:instrText>
      </w:r>
      <w:r w:rsidRPr="00416916">
        <w:rPr>
          <w:color w:val="222222"/>
          <w:szCs w:val="24"/>
          <w:shd w:val="clear" w:color="auto" w:fill="FFFFFF"/>
        </w:rPr>
        <w:fldChar w:fldCharType="separate"/>
      </w:r>
      <w:r w:rsidRPr="00416916">
        <w:rPr>
          <w:noProof/>
          <w:color w:val="222222"/>
          <w:szCs w:val="24"/>
          <w:shd w:val="clear" w:color="auto" w:fill="FFFFFF"/>
        </w:rPr>
        <w:t>[2], [3]</w:t>
      </w:r>
      <w:r w:rsidRPr="00416916">
        <w:rPr>
          <w:color w:val="222222"/>
          <w:szCs w:val="24"/>
          <w:shd w:val="clear" w:color="auto" w:fill="FFFFFF"/>
        </w:rPr>
        <w:fldChar w:fldCharType="end"/>
      </w:r>
      <w:r w:rsidRPr="00416916">
        <w:rPr>
          <w:color w:val="222222"/>
          <w:szCs w:val="24"/>
          <w:shd w:val="clear" w:color="auto" w:fill="FFFFFF"/>
        </w:rPr>
        <w:t xml:space="preserve"> often diagnose errors using diagnostic theories. Beyond expert systems, diagnostic theories are useful to identifying the root cause of a phenomenon. As an example, a diagnostic theory was used to improve a production line by highlighting possible areas of inefficiency </w:t>
      </w:r>
      <w:r w:rsidRPr="00416916">
        <w:rPr>
          <w:color w:val="222222"/>
          <w:szCs w:val="24"/>
          <w:shd w:val="clear" w:color="auto" w:fill="FFFFFF"/>
        </w:rPr>
        <w:fldChar w:fldCharType="begin" w:fldLock="1"/>
      </w:r>
      <w:r w:rsidRPr="00416916">
        <w:rPr>
          <w:color w:val="222222"/>
          <w:szCs w:val="24"/>
          <w:shd w:val="clear" w:color="auto" w:fill="FFFFFF"/>
        </w:rPr>
        <w:instrText>ADDIN CSL_CITATION {"citationItems":[{"id":"ITEM-1","itemData":{"DOI":"10.1002/bltj","author":[{"dropping-particle":"","family":"Hopp","given":"Wallace J.","non-dropping-particle":"","parse-names":false,"suffix":""},{"dropping-particle":"","family":"Iravani","given":"Seyed M R","non-dropping-particle":"","parse-names":false,"suffix":""},{"dropping-particle":"","family":"Shou","given":"Biying","non-dropping-particle":"","parse-names":false,"suffix":""}],"container-title":"Production and Operations Management","id":"ITEM-1","issue":"1","issued":{"date-parts":[["2007"]]},"page":"77-92","title":"A Diagnostic Tree for Improving Production Line Performance","type":"article-journal","volume":"16"},"uris":["http://www.mendeley.com/documents/?uuid=b84beed6-3c61-49b7-8d3b-e33feb07370b"]}],"mendeley":{"formattedCitation":"[4]","plainTextFormattedCitation":"[4]","previouslyFormattedCitation":"[4]"},"properties":{"noteIndex":0},"schema":"https://github.com/citation-style-language/schema/raw/master/csl-citation.json"}</w:instrText>
      </w:r>
      <w:r w:rsidRPr="00416916">
        <w:rPr>
          <w:color w:val="222222"/>
          <w:szCs w:val="24"/>
          <w:shd w:val="clear" w:color="auto" w:fill="FFFFFF"/>
        </w:rPr>
        <w:fldChar w:fldCharType="separate"/>
      </w:r>
      <w:r w:rsidRPr="00416916">
        <w:rPr>
          <w:noProof/>
          <w:color w:val="222222"/>
          <w:szCs w:val="24"/>
          <w:shd w:val="clear" w:color="auto" w:fill="FFFFFF"/>
        </w:rPr>
        <w:t>[4]</w:t>
      </w:r>
      <w:r w:rsidRPr="00416916">
        <w:rPr>
          <w:color w:val="222222"/>
          <w:szCs w:val="24"/>
          <w:shd w:val="clear" w:color="auto" w:fill="FFFFFF"/>
        </w:rPr>
        <w:fldChar w:fldCharType="end"/>
      </w:r>
      <w:r w:rsidRPr="00416916">
        <w:rPr>
          <w:color w:val="222222"/>
          <w:szCs w:val="24"/>
          <w:shd w:val="clear" w:color="auto" w:fill="FFFFFF"/>
        </w:rPr>
        <w:t>.</w:t>
      </w:r>
      <w:r w:rsidRPr="00416916">
        <w:t xml:space="preserve"> </w:t>
      </w:r>
      <w:r w:rsidRPr="00416916">
        <w:rPr>
          <w:color w:val="222222"/>
          <w:szCs w:val="24"/>
          <w:shd w:val="clear" w:color="auto" w:fill="FFFFFF"/>
        </w:rPr>
        <w:t xml:space="preserve">Finally, diagnostic theories are integral to follow-up customer satisfaction surveys.  When customers indicate they are dissatisfied, we may send a second survey to identify the source of dissatisfaction.  This second survey often has an embedded diagnostic theory. Examples includes surveys which identify the reasons for poor online purchase experiences </w:t>
      </w:r>
      <w:r w:rsidRPr="00416916">
        <w:rPr>
          <w:color w:val="222222"/>
          <w:szCs w:val="24"/>
          <w:shd w:val="clear" w:color="auto" w:fill="FFFFFF"/>
        </w:rPr>
        <w:fldChar w:fldCharType="begin" w:fldLock="1"/>
      </w:r>
      <w:r w:rsidRPr="00416916">
        <w:rPr>
          <w:color w:val="222222"/>
          <w:szCs w:val="24"/>
          <w:shd w:val="clear" w:color="auto" w:fill="FFFFFF"/>
        </w:rPr>
        <w:instrText>ADDIN CSL_CITATION {"citationItems":[{"id":"ITEM-1","itemData":{"author":[{"dropping-particle":"","family":"Luo","given":"Jifeng","non-dropping-particle":"","parse-names":false,"suffix":""},{"dropping-particle":"","family":"Ba","given":"Sulin","non-dropping-particle":"","parse-names":false,"suffix":""},{"dropping-particle":"","family":"Zhang","given":"Han","non-dropping-particle":"","parse-names":false,"suffix":""}],"container-title":"MIS Quarterly","id":"ITEM-1","issue":"4","issued":{"date-parts":[["2012"]]},"page":"1131-1144","title":"The effectiveness of online shopping characteristics and well-designed websites on satisfaction","type":"article-journal","volume":"36"},"uris":["http://www.mendeley.com/documents/?uuid=09266b45-22f1-4a33-b8b7-0b67eaece991"]}],"mendeley":{"formattedCitation":"[5]","plainTextFormattedCitation":"[5]","previouslyFormattedCitation":"[5]"},"properties":{"noteIndex":0},"schema":"https://github.com/citation-style-language/schema/raw/master/csl-citation.json"}</w:instrText>
      </w:r>
      <w:r w:rsidRPr="00416916">
        <w:rPr>
          <w:color w:val="222222"/>
          <w:szCs w:val="24"/>
          <w:shd w:val="clear" w:color="auto" w:fill="FFFFFF"/>
        </w:rPr>
        <w:fldChar w:fldCharType="separate"/>
      </w:r>
      <w:r w:rsidRPr="00416916">
        <w:rPr>
          <w:noProof/>
          <w:color w:val="222222"/>
          <w:szCs w:val="24"/>
          <w:shd w:val="clear" w:color="auto" w:fill="FFFFFF"/>
        </w:rPr>
        <w:t>[5]</w:t>
      </w:r>
      <w:r w:rsidRPr="00416916">
        <w:rPr>
          <w:color w:val="222222"/>
          <w:szCs w:val="24"/>
          <w:shd w:val="clear" w:color="auto" w:fill="FFFFFF"/>
        </w:rPr>
        <w:fldChar w:fldCharType="end"/>
      </w:r>
      <w:r w:rsidRPr="00416916">
        <w:rPr>
          <w:color w:val="222222"/>
          <w:szCs w:val="24"/>
          <w:shd w:val="clear" w:color="auto" w:fill="FFFFFF"/>
        </w:rPr>
        <w:t xml:space="preserve"> or surveys that unveil the relative ranks of the different web strategies to build trusting beliefs </w:t>
      </w:r>
      <w:r w:rsidRPr="00416916">
        <w:rPr>
          <w:color w:val="222222"/>
          <w:szCs w:val="24"/>
          <w:shd w:val="clear" w:color="auto" w:fill="FFFFFF"/>
        </w:rPr>
        <w:fldChar w:fldCharType="begin" w:fldLock="1"/>
      </w:r>
      <w:r w:rsidRPr="00416916">
        <w:rPr>
          <w:color w:val="222222"/>
          <w:szCs w:val="24"/>
          <w:shd w:val="clear" w:color="auto" w:fill="FFFFFF"/>
        </w:rPr>
        <w:instrText>ADDIN CSL_CITATION {"citationItems":[{"id":"ITEM-1","itemData":{"DOI":"10.2307/20650306","ISSN":"02767783","abstract":"Building consumer trust is important for new or unknown Internet businesses seeking to extend their customer reach globally. This study explores the question: Should website designers take into account the cultural characteristics of prospective customers to increase trust, given that different trust-building web strategies have different cost implications? In this study, we focused on two theoretically grounded practical web strategies of customer endorsement, which evokes unit grouping, and portal affiliation, which evokes reputation categorization, and compared them across two research sites: Australia (individualistic culture) and Hong Kong (collectivistic culture). The results of the laboratory experiment we conducted, on the website of an online bookstore, revealed that the impact of peer customer endorsements on trust perceptions was stronger for subjects in Hong Kong than Australia and that portal (Yahoo) affiliation was effective only in the Australian site. A follow-up study was conducted as a conceptual replication, and provided additional insights on me effects of customer endorsement versus firm affiliation on trust-building. Together, these findings highlight the need to consider cultural differences when identifying the mix of web strategies to employ in Internet store websites.","author":[{"dropping-particle":"","family":"Sia","given":"Choon Ling","non-dropping-particle":"","parse-names":false,"suffix":""},{"dropping-particle":"","family":"Lim","given":"Kai H.","non-dropping-particle":"","parse-names":false,"suffix":""},{"dropping-particle":"","family":"Leung","given":"Kwok","non-dropping-particle":"","parse-names":false,"suffix":""},{"dropping-particle":"","family":"Lee","given":"Matthew K.O.","non-dropping-particle":"","parse-names":false,"suffix":""},{"dropping-particle":"","family":"Huang","given":"Wayne Wei","non-dropping-particle":"","parse-names":false,"suffix":""},{"dropping-particle":"","family":"Benbasat","given":"Izak","non-dropping-particle":"","parse-names":false,"suffix":""}],"container-title":"MIS Quarterly: Management Information Systems","id":"ITEM-1","issue":"3","issued":{"date-parts":[["2009"]]},"page":"491-512","title":"Web strategies to promote internet shopping: Is cultural-customization needed?","type":"article-journal","volume":"33"},"uris":["http://www.mendeley.com/documents/?uuid=3aa4f14a-f22b-4858-93a0-349d3921be89"]}],"mendeley":{"formattedCitation":"[6]","plainTextFormattedCitation":"[6]","previouslyFormattedCitation":"[6]"},"properties":{"noteIndex":0},"schema":"https://github.com/citation-style-language/schema/raw/master/csl-citation.json"}</w:instrText>
      </w:r>
      <w:r w:rsidRPr="00416916">
        <w:rPr>
          <w:color w:val="222222"/>
          <w:szCs w:val="24"/>
          <w:shd w:val="clear" w:color="auto" w:fill="FFFFFF"/>
        </w:rPr>
        <w:fldChar w:fldCharType="separate"/>
      </w:r>
      <w:r w:rsidRPr="00416916">
        <w:rPr>
          <w:noProof/>
          <w:color w:val="222222"/>
          <w:szCs w:val="24"/>
          <w:shd w:val="clear" w:color="auto" w:fill="FFFFFF"/>
        </w:rPr>
        <w:t>[6]</w:t>
      </w:r>
      <w:r w:rsidRPr="00416916">
        <w:rPr>
          <w:color w:val="222222"/>
          <w:szCs w:val="24"/>
          <w:shd w:val="clear" w:color="auto" w:fill="FFFFFF"/>
        </w:rPr>
        <w:fldChar w:fldCharType="end"/>
      </w:r>
      <w:r w:rsidRPr="00416916">
        <w:rPr>
          <w:color w:val="222222"/>
          <w:szCs w:val="24"/>
          <w:shd w:val="clear" w:color="auto" w:fill="FFFFFF"/>
        </w:rPr>
        <w:t>.</w:t>
      </w:r>
    </w:p>
    <w:p w14:paraId="3B8E7ACC" w14:textId="771A2898" w:rsidR="005F6A67" w:rsidRPr="000029DB" w:rsidRDefault="005F6A67" w:rsidP="00880E8B">
      <w:pPr>
        <w:shd w:val="clear" w:color="auto" w:fill="FFFFFF"/>
        <w:ind w:firstLine="202"/>
        <w:jc w:val="both"/>
        <w:rPr>
          <w:szCs w:val="24"/>
        </w:rPr>
      </w:pPr>
      <w:bookmarkStart w:id="5" w:name="_Hlk64120739"/>
      <w:bookmarkEnd w:id="3"/>
      <w:r w:rsidRPr="000029DB">
        <w:rPr>
          <w:szCs w:val="24"/>
        </w:rPr>
        <w:t xml:space="preserve">Many diagnostic theories are optimally represented as a tree, i.e., </w:t>
      </w:r>
      <w:bookmarkStart w:id="6" w:name="_Hlk61874476"/>
      <w:r w:rsidRPr="000029DB">
        <w:rPr>
          <w:szCs w:val="24"/>
        </w:rPr>
        <w:t>a diagnostic tree</w:t>
      </w:r>
      <w:bookmarkEnd w:id="6"/>
      <w:r w:rsidRPr="000029DB">
        <w:rPr>
          <w:szCs w:val="24"/>
        </w:rPr>
        <w:t>, where intermediate nodes represent information important for the decision making process and leaf nodes represent the optimal decision.  The decision making process begins with a generic problem (e.g., users do not find a technology useful) and as additional information is obtained, the system navigates through the branches of the tree corresponding to the obtained information until sufficient information is available to make a decision (e.g., why users do not find the technology useful).</w:t>
      </w:r>
      <w:r w:rsidR="00450616">
        <w:rPr>
          <w:szCs w:val="24"/>
        </w:rPr>
        <w:t xml:space="preserve"> </w:t>
      </w:r>
      <w:r>
        <w:rPr>
          <w:szCs w:val="24"/>
        </w:rPr>
        <w:t>All the above highlighted examples are of diagnostic trees.</w:t>
      </w:r>
    </w:p>
    <w:p w14:paraId="6409C704" w14:textId="77777777" w:rsidR="005F6A67" w:rsidRDefault="005F6A67" w:rsidP="00880E8B">
      <w:pPr>
        <w:shd w:val="clear" w:color="auto" w:fill="FFFFFF"/>
        <w:jc w:val="both"/>
        <w:rPr>
          <w:szCs w:val="24"/>
        </w:rPr>
      </w:pPr>
      <w:bookmarkStart w:id="7" w:name="_Hlk62813996"/>
      <w:bookmarkStart w:id="8" w:name="_Hlk62477181"/>
      <w:r w:rsidRPr="00725067">
        <w:rPr>
          <w:szCs w:val="24"/>
        </w:rPr>
        <w:t xml:space="preserve">The validation of diagnostic trees has been little investigated.  Existing </w:t>
      </w:r>
      <w:r>
        <w:rPr>
          <w:szCs w:val="24"/>
        </w:rPr>
        <w:t xml:space="preserve">methodological </w:t>
      </w:r>
      <w:r w:rsidRPr="00725067">
        <w:rPr>
          <w:szCs w:val="24"/>
        </w:rPr>
        <w:t xml:space="preserve">approaches </w:t>
      </w:r>
      <w:r>
        <w:rPr>
          <w:szCs w:val="24"/>
        </w:rPr>
        <w:t xml:space="preserve">to validation </w:t>
      </w:r>
      <w:r w:rsidRPr="00725067">
        <w:rPr>
          <w:szCs w:val="24"/>
        </w:rPr>
        <w:t xml:space="preserve">(e.g., the use of expert judgement </w:t>
      </w:r>
      <w:r w:rsidRPr="00725067">
        <w:rPr>
          <w:szCs w:val="24"/>
        </w:rPr>
        <w:fldChar w:fldCharType="begin" w:fldLock="1"/>
      </w:r>
      <w:r>
        <w:rPr>
          <w:szCs w:val="24"/>
        </w:rPr>
        <w:instrText>ADDIN CSL_CITATION {"citationItems":[{"id":"ITEM-1","itemData":{"DOI":"10.1109/MEX.1987.5006538","ISSN":"08859000","abstract":"The authors seek to establish validation as an important concern in expert systems research and development. Problems in expert system validation are discussed, and both qualitative and quantitative methods for validating expert systems are presented.","author":[{"dropping-particle":"","family":"O'Keefe","given":"Robert M.","non-dropping-particle":"","parse-names":false,"suffix":""},{"dropping-particle":"","family":"Balci","given":"Osman","non-dropping-particle":"","parse-names":false,"suffix":""},{"dropping-particle":"","family":"Smith","given":"Eric P.","non-dropping-particle":"","parse-names":false,"suffix":""}],"container-title":"IEEE Expert","id":"ITEM-1","issue":"4","issued":{"date-parts":[["1988"]]},"page":"81-90","title":"Validating Expert System Performance.","type":"article","volume":"2"},"uris":["http://www.mendeley.com/documents/?uuid=6397aafc-13a0-4236-b564-7a18bb18a00a"]}],"mendeley":{"formattedCitation":"[7]","plainTextFormattedCitation":"[7]","previouslyFormattedCitation":"[7]"},"properties":{"noteIndex":0},"schema":"https://github.com/citation-style-language/schema/raw/master/csl-citation.json"}</w:instrText>
      </w:r>
      <w:r w:rsidRPr="00725067">
        <w:rPr>
          <w:szCs w:val="24"/>
        </w:rPr>
        <w:fldChar w:fldCharType="separate"/>
      </w:r>
      <w:r w:rsidRPr="00B84BCF">
        <w:rPr>
          <w:noProof/>
          <w:szCs w:val="24"/>
        </w:rPr>
        <w:t>[7]</w:t>
      </w:r>
      <w:r w:rsidRPr="00725067">
        <w:rPr>
          <w:szCs w:val="24"/>
        </w:rPr>
        <w:fldChar w:fldCharType="end"/>
      </w:r>
      <w:r>
        <w:rPr>
          <w:szCs w:val="24"/>
        </w:rPr>
        <w:t>) focus on the overall validity of the diagnostic tree, without considering whether parts of the tree may not be valid.  Existing quantitative techniques</w:t>
      </w:r>
      <w:r w:rsidRPr="00725067">
        <w:rPr>
          <w:szCs w:val="24"/>
        </w:rPr>
        <w:t xml:space="preserve"> (e.g., the use of edit distance </w:t>
      </w:r>
      <w:r w:rsidRPr="00725067">
        <w:rPr>
          <w:szCs w:val="24"/>
        </w:rPr>
        <w:fldChar w:fldCharType="begin" w:fldLock="1"/>
      </w:r>
      <w:r>
        <w:rPr>
          <w:szCs w:val="24"/>
        </w:rPr>
        <w:instrText>ADDIN CSL_CITATION {"citationItems":[{"id":"ITEM-1","itemData":{"DOI":"10.1145/322139.322143","ISSN":"00045411","abstract":"The tree-to-tree correctmn problem Is to determine, for two labeled ordered trees T and T', the distance from T to T' as measured by the mlmmum cost sequence of edit operaUons needed to transform T into T' The edit operations investigated allow changing one node of a tree into another node, deleting one node from a tree, or inserting a node into a tree An algorithm Is presented which solves this problem m time O(V* V'*LZ* L'2), where V and V' are the numbers of nodes respectively of T and T', and L and L' are the maximum depths respectively of T and T' Possible apphcatmns are to the problems of measuring the similarity between trees, automatic error recovery and correction for programming languages, and determining the largest common substructure of two trees","author":[{"dropping-particle":"","family":"Tai","given":"Kuo-Chung","non-dropping-particle":"","parse-names":false,"suffix":""}],"container-title":"Journal of the Association for Computing Machinery","id":"ITEM-1","issue":"3","issued":{"date-parts":[["1979"]]},"page":"422-433","title":"The Tree-to-Tree Correction Problem","type":"article-journal","volume":"26"},"uris":["http://www.mendeley.com/documents/?uuid=855f0140-f49f-46e5-aaf6-01a84acad652"]}],"mendeley":{"formattedCitation":"[8]","plainTextFormattedCitation":"[8]","previouslyFormattedCitation":"[8]"},"properties":{"noteIndex":0},"schema":"https://github.com/citation-style-language/schema/raw/master/csl-citation.json"}</w:instrText>
      </w:r>
      <w:r w:rsidRPr="00725067">
        <w:rPr>
          <w:szCs w:val="24"/>
        </w:rPr>
        <w:fldChar w:fldCharType="separate"/>
      </w:r>
      <w:r w:rsidRPr="00B84BCF">
        <w:rPr>
          <w:noProof/>
          <w:szCs w:val="24"/>
        </w:rPr>
        <w:t>[8]</w:t>
      </w:r>
      <w:r w:rsidRPr="00725067">
        <w:rPr>
          <w:szCs w:val="24"/>
        </w:rPr>
        <w:fldChar w:fldCharType="end"/>
      </w:r>
      <w:r w:rsidRPr="00725067">
        <w:rPr>
          <w:szCs w:val="24"/>
        </w:rPr>
        <w:t>)</w:t>
      </w:r>
      <w:r>
        <w:rPr>
          <w:szCs w:val="24"/>
        </w:rPr>
        <w:t xml:space="preserve"> are not integrated into methodological approaches, and thus it is not clear how their results can be applied to improve diagnostic trees</w:t>
      </w:r>
      <w:r w:rsidRPr="00725067">
        <w:rPr>
          <w:szCs w:val="24"/>
        </w:rPr>
        <w:t xml:space="preserve">.  </w:t>
      </w:r>
    </w:p>
    <w:bookmarkEnd w:id="7"/>
    <w:p w14:paraId="6624CC4D" w14:textId="77777777" w:rsidR="005F6A67" w:rsidRPr="00725067" w:rsidRDefault="005F6A67" w:rsidP="00880E8B">
      <w:pPr>
        <w:shd w:val="clear" w:color="auto" w:fill="FFFFFF"/>
        <w:ind w:firstLine="202"/>
        <w:jc w:val="both"/>
        <w:rPr>
          <w:szCs w:val="24"/>
        </w:rPr>
      </w:pPr>
      <w:r w:rsidRPr="00725067">
        <w:rPr>
          <w:szCs w:val="24"/>
        </w:rPr>
        <w:t xml:space="preserve">Nevertheless, </w:t>
      </w:r>
      <w:r>
        <w:rPr>
          <w:szCs w:val="24"/>
        </w:rPr>
        <w:t>systematic</w:t>
      </w:r>
      <w:r w:rsidRPr="00725067">
        <w:rPr>
          <w:szCs w:val="24"/>
        </w:rPr>
        <w:t xml:space="preserve"> approaches </w:t>
      </w:r>
      <w:r>
        <w:rPr>
          <w:szCs w:val="24"/>
        </w:rPr>
        <w:t>to validity are necessary</w:t>
      </w:r>
      <w:r w:rsidRPr="00725067">
        <w:rPr>
          <w:szCs w:val="24"/>
        </w:rPr>
        <w:t xml:space="preserve">.  In a diagnostic tree that diagnoses diseases, for example, it is not sufficient to say the diagnostic tree </w:t>
      </w:r>
      <w:r>
        <w:rPr>
          <w:szCs w:val="24"/>
        </w:rPr>
        <w:t xml:space="preserve">generally </w:t>
      </w:r>
      <w:r w:rsidRPr="00725067">
        <w:rPr>
          <w:szCs w:val="24"/>
        </w:rPr>
        <w:t xml:space="preserve">outperforms the human doctor.  It is possible for the situations where the diagnostic tree does not outperform the human doctor that the tree prescribes </w:t>
      </w:r>
      <w:r>
        <w:rPr>
          <w:szCs w:val="24"/>
        </w:rPr>
        <w:t xml:space="preserve">fatal </w:t>
      </w:r>
      <w:r w:rsidRPr="00725067">
        <w:rPr>
          <w:szCs w:val="24"/>
        </w:rPr>
        <w:t>medicine.  We must validate not only overall tree performance, but also the performance of individual tree branches.</w:t>
      </w:r>
    </w:p>
    <w:p w14:paraId="2CBE9CBC" w14:textId="5FB8F7D3" w:rsidR="005F6A67" w:rsidRPr="00982C5C" w:rsidRDefault="005F6A67" w:rsidP="00880E8B">
      <w:pPr>
        <w:shd w:val="clear" w:color="auto" w:fill="FFFFFF"/>
        <w:ind w:firstLine="202"/>
        <w:jc w:val="both"/>
        <w:rPr>
          <w:szCs w:val="24"/>
        </w:rPr>
      </w:pPr>
      <w:r w:rsidRPr="00725067">
        <w:rPr>
          <w:szCs w:val="24"/>
        </w:rPr>
        <w:t>Manual assessment of the tree can be very challenging, as the problem of assessing every branch is</w:t>
      </w:r>
      <w:r>
        <w:rPr>
          <w:szCs w:val="24"/>
        </w:rPr>
        <w:t xml:space="preserve"> time-intensive</w:t>
      </w:r>
      <w:r w:rsidRPr="00725067">
        <w:rPr>
          <w:szCs w:val="24"/>
        </w:rPr>
        <w:t xml:space="preserve"> -the growth of branching is exponential.  There are no automated ways of testing, as this requires domain knowledge.  Furthermore, validation is not just simply identifying that a diagnostic tree or a branch of the tree is correct or incorrect.  We also want to know why the tree is incorrect or what systematic problems exist.  For example, if there are numerous errors in the lower branches of the tree, these could all be caused by a systematic structural error at the top of the tree.</w:t>
      </w:r>
      <w:r>
        <w:rPr>
          <w:szCs w:val="24"/>
        </w:rPr>
        <w:t xml:space="preserve">  This paper introduces a methodology for validating diagnostic trees that validates not only the overall tree, but subparts of the tree as well.</w:t>
      </w:r>
      <w:r w:rsidRPr="00725067">
        <w:rPr>
          <w:szCs w:val="24"/>
        </w:rPr>
        <w:t xml:space="preserve"> </w:t>
      </w:r>
      <w:bookmarkEnd w:id="8"/>
    </w:p>
    <w:p w14:paraId="278FAE51" w14:textId="77777777" w:rsidR="005F6A67" w:rsidRPr="00725067" w:rsidRDefault="005F6A67" w:rsidP="00880E8B">
      <w:pPr>
        <w:shd w:val="clear" w:color="auto" w:fill="FFFFFF"/>
        <w:ind w:firstLine="202"/>
        <w:jc w:val="both"/>
        <w:rPr>
          <w:szCs w:val="24"/>
          <w:lang w:val="en-GB"/>
        </w:rPr>
      </w:pPr>
      <w:r w:rsidRPr="00725067">
        <w:rPr>
          <w:szCs w:val="24"/>
          <w:lang w:val="en-GB"/>
        </w:rPr>
        <w:t>Th</w:t>
      </w:r>
      <w:r>
        <w:rPr>
          <w:szCs w:val="24"/>
          <w:lang w:val="en-GB"/>
        </w:rPr>
        <w:t xml:space="preserve">is </w:t>
      </w:r>
      <w:r w:rsidRPr="00725067">
        <w:rPr>
          <w:szCs w:val="24"/>
          <w:lang w:val="en-GB"/>
        </w:rPr>
        <w:t>paper is constructed in the following manner. We first introduce diagnostic trees</w:t>
      </w:r>
      <w:r>
        <w:rPr>
          <w:szCs w:val="24"/>
          <w:lang w:val="en-GB"/>
        </w:rPr>
        <w:t xml:space="preserve"> </w:t>
      </w:r>
      <w:r w:rsidRPr="00725067">
        <w:rPr>
          <w:szCs w:val="24"/>
          <w:lang w:val="en-GB"/>
        </w:rPr>
        <w:t xml:space="preserve">and demonstrate the gaps in existing validation techniques.  Our methodology relies on the use of two independent experts to develop independent diagnostic trees which we then assess.  </w:t>
      </w:r>
      <w:r>
        <w:rPr>
          <w:szCs w:val="24"/>
          <w:lang w:val="en-GB"/>
        </w:rPr>
        <w:t>Correspondingly</w:t>
      </w:r>
      <w:r w:rsidRPr="00725067">
        <w:rPr>
          <w:szCs w:val="24"/>
          <w:lang w:val="en-GB"/>
        </w:rPr>
        <w:t>, we need to categorize the possible differences between two diagnostic trees.  We thus follow our literature review with a taxonomy of such errors.  Following from this, we present a modified q-</w:t>
      </w:r>
      <w:r w:rsidRPr="00725067">
        <w:rPr>
          <w:szCs w:val="24"/>
          <w:lang w:val="en-GB"/>
        </w:rPr>
        <w:lastRenderedPageBreak/>
        <w:t xml:space="preserve">sorting approach alongside an example of its use to develop an Instagram self-efficacy diagnostic tree. </w:t>
      </w:r>
      <w:r w:rsidRPr="00931C72">
        <w:rPr>
          <w:szCs w:val="24"/>
          <w:lang w:val="en-GB"/>
        </w:rPr>
        <w:t>We then conclude the paper</w:t>
      </w:r>
      <w:r>
        <w:rPr>
          <w:szCs w:val="24"/>
          <w:lang w:val="en-GB"/>
        </w:rPr>
        <w:t>.</w:t>
      </w:r>
    </w:p>
    <w:bookmarkEnd w:id="4"/>
    <w:bookmarkEnd w:id="5"/>
    <w:p w14:paraId="126A0EC0" w14:textId="77777777" w:rsidR="005F6A67" w:rsidRPr="005F6A67" w:rsidRDefault="005F6A67" w:rsidP="00891975">
      <w:pPr>
        <w:pStyle w:val="Heading1"/>
        <w:rPr>
          <w:lang w:val="en-NZ"/>
        </w:rPr>
      </w:pPr>
      <w:r w:rsidRPr="005F6A67">
        <w:rPr>
          <w:lang w:val="en-NZ"/>
        </w:rPr>
        <w:t>Diagnostic Trees and their Properties</w:t>
      </w:r>
    </w:p>
    <w:p w14:paraId="09C49573" w14:textId="77777777" w:rsidR="005F6A67" w:rsidRPr="005F6A67" w:rsidRDefault="005F6A67" w:rsidP="005F6A67">
      <w:pPr>
        <w:pStyle w:val="Text"/>
        <w:ind w:firstLine="0"/>
        <w:rPr>
          <w:lang w:val="en-NZ"/>
        </w:rPr>
      </w:pPr>
      <w:r w:rsidRPr="005F6A67">
        <w:rPr>
          <w:lang w:val="en-GB"/>
        </w:rPr>
        <w:t>Diagnostic trees are designed to explore potential root causes of a phenomenon, where large constructs are unpacked to explore and identify the different dimensions. Each dimension is represented as one or more questions and their corresponding answers, which provide information.  The information is arranged in a tree structure, where questions lower in the tree more closely relate to a potential root cause. The decision process involves performing a depth-first traversal of the tree, where each stage of the traversal involves choosing a branch representing particular information. As one navigates deeper down the tree, more information is accumulated.  This continues until either the end of the tree or a particular depth of the tree is reached, whereupon a decision can be made</w:t>
      </w:r>
      <w:r w:rsidRPr="005F6A67">
        <w:rPr>
          <w:lang w:val="en-NZ"/>
        </w:rPr>
        <w:t>.</w:t>
      </w:r>
    </w:p>
    <w:p w14:paraId="55A60B02" w14:textId="77777777" w:rsidR="005F6A67" w:rsidRPr="005F6A67" w:rsidRDefault="005F6A67" w:rsidP="005F6A67">
      <w:pPr>
        <w:pStyle w:val="Text"/>
        <w:ind w:firstLine="0"/>
        <w:rPr>
          <w:lang w:val="en-GB"/>
        </w:rPr>
      </w:pPr>
      <w:r w:rsidRPr="005F6A67">
        <w:rPr>
          <w:lang w:val="en-GB"/>
        </w:rPr>
        <w:t xml:space="preserve">Diagnostic trees have particular properties.  First, all items except the penultimate child have at least two children.  An item with only one child has no “branching” and hence no accumulated information and no choice; clearly this cannot be allowed.  Second, items higher up the tree are formatively defined by items lower down the tree.  Hence, items concerning higher level concepts are mapped to items with greater precision. The items thus have a parent-child relationship. This means items higher up in the tree are more important than those lower in the tree.  Thus, it is important to first validate the top of the tree, then the next level, etc.  This saves effort as there is no point developing subitems for a poorly defined item. </w:t>
      </w:r>
    </w:p>
    <w:p w14:paraId="5E012856" w14:textId="77777777" w:rsidR="005F6A67" w:rsidRPr="005F6A67" w:rsidRDefault="005F6A67" w:rsidP="00891975">
      <w:pPr>
        <w:pStyle w:val="Heading2"/>
        <w:rPr>
          <w:lang w:val="en-NZ"/>
        </w:rPr>
      </w:pPr>
      <w:r w:rsidRPr="005F6A67">
        <w:rPr>
          <w:lang w:val="en-NZ"/>
        </w:rPr>
        <w:t>Diagnostic-Tree for Assessing Instagram Self-Efficacy</w:t>
      </w:r>
    </w:p>
    <w:p w14:paraId="6D75588F" w14:textId="77777777" w:rsidR="005F6A67" w:rsidRPr="005F6A67" w:rsidRDefault="005F6A67" w:rsidP="005F6A67">
      <w:pPr>
        <w:pStyle w:val="Text"/>
        <w:ind w:firstLine="0"/>
        <w:rPr>
          <w:lang w:val="en-GB"/>
        </w:rPr>
      </w:pPr>
      <w:r w:rsidRPr="005F6A67">
        <w:rPr>
          <w:lang w:val="en-NZ"/>
        </w:rPr>
        <w:t xml:space="preserve">As an example, consider a diagnostic tree on perceived skill using </w:t>
      </w:r>
      <w:r w:rsidRPr="005F6A67">
        <w:rPr>
          <w:lang w:val="en-GB"/>
        </w:rPr>
        <w:t xml:space="preserve">Instagram (i.e., Instagram self-efficacy), designed to identify systematic reasons for users’ failure to engage with various Instagram functions.  Self-efficacy is key for understanding how individuals adopt new tools and develop skill in the use of those tools. It is a pivotal concept for understanding technology acceptance, implementation, and use </w:t>
      </w:r>
      <w:r w:rsidRPr="005F6A67">
        <w:rPr>
          <w:lang w:val="en-GB"/>
        </w:rPr>
        <w:fldChar w:fldCharType="begin" w:fldLock="1"/>
      </w:r>
      <w:r w:rsidRPr="005F6A67">
        <w:rPr>
          <w:lang w:val="en-GB"/>
        </w:rPr>
        <w:instrText>ADDIN CSL_CITATION {"citationItems":[{"id":"ITEM-1","itemData":{"DOI":"10.1016/S0747-5632(02)00010-9","ISBN":"0747-5632","ISSN":"07475632","abstract":"This article reports on the effects of training on Internet self-efficacy and computer user attitudes. Using a 17-item Internet self-efficacy scale and a 20-item computer user attitude scale in a sample of 189, the relationship between training and computer user attitude and Internet self-efficacy is examined. Survey responses were collected at both the beginning and end of an introductory computer course. Results suggest that training significantly improved Internet self-efficacy for males and females. Respondents with 'high' and 'low' attitude toward computers seem to equally benefit from training programs. However, respondents with 'high' attitude toward computers had higher self-efficacy scores than respondents with 'low' attitude toward computers. Training programs did not seem to influence attitudes toward computer usage for males or females. Implications of these findings are discussed and further research opportunities described. © 2002 Published by Elsevier Science Ltd.","author":[{"dropping-particle":"","family":"Torkzadeh","given":"Gholamreza","non-dropping-particle":"","parse-names":false,"suffix":""},{"dropping-particle":"","family":"Dyke","given":"Thomas P.","non-dropping-particle":"Van","parse-names":false,"suffix":""}],"container-title":"Computers in Human Behavior","id":"ITEM-1","issue":"5","issued":{"date-parts":[["2002"]]},"page":"479-494","title":"Effects of training on Internet self-efficacy and computer user attitudes","type":"article-journal","volume":"18"},"uris":["http://www.mendeley.com/documents/?uuid=69b77d54-f848-4486-ab28-20872b78ac78"]},{"id":"ITEM-2","itemData":{"author":[{"dropping-particle":"","family":"Compeau","given":"Deborah R","non-dropping-particle":"","parse-names":false,"suffix":""},{"dropping-particle":"","family":"Higgins","given":"Christopher A","non-dropping-particle":"","parse-names":false,"suffix":""}],"container-title":"MIS Quarterly","id":"ITEM-2","issue":"2","issued":{"date-parts":[["1995"]]},"page":"189-211","title":"Computer Self-Efficacy: Development of a Measure and Initial Test","type":"article-journal","volume":"19"},"uris":["http://www.mendeley.com/documents/?uuid=98a97b34-c039-487f-b126-68133f341597"]},{"id":"ITEM-3","itemData":{"DOI":"10.1080/0144929X.2018.1436590","ISSN":"13623001","abstract":"This paper examines how organisational support influences learning management system (LMS) self-efficacy, technical support, and faculty-perceived benefits. An empirical study based upon responses from 379 instructors at several universities is conducted. Structural equation modelling is applied to develop and assess the measurement model, and analyse the relationships among the factors in the structural model. The results support the hypotheses that organisational support plays a primary role in enhancing faculty’s LMS self-efficacy and technical support. In turn, improved LMS self-efficacy and technical support lead to faculty-perceived benefits from using LMS. Implications are that universities can increase the use of LMS and achieve more effective outcomes from faculty for web-based distance learning and web-assisted course curricula by structuring their organisations to better support faculty in both technical and self-efficacy areas.","author":[{"dropping-particle":"","family":"Zheng","given":"Yun","non-dropping-particle":"","parse-names":false,"suffix":""},{"dropping-particle":"","family":"Wang","given":"Jianfeng","non-dropping-particle":"","parse-names":false,"suffix":""},{"dropping-particle":"","family":"Doll","given":"William","non-dropping-particle":"","parse-names":false,"suffix":""},{"dropping-particle":"","family":"Deng","given":"Xiaodong","non-dropping-particle":"","parse-names":false,"suffix":""},{"dropping-particle":"","family":"Williams","given":"Melvin","non-dropping-particle":"","parse-names":false,"suffix":""}],"container-title":"Behaviour and Information Technology","id":"ITEM-3","issue":"4","issued":{"date-parts":[["2018"]]},"page":"311-319","title":"The impact of organisational support, technical support, and self-efficacy on faculty perceived benefits of using learning management system","type":"article-journal","volume":"37"},"uris":["http://www.mendeley.com/documents/?uuid=cc3d2626-51bd-4eb4-9ed6-3741ac5f671e"]}],"mendeley":{"formattedCitation":"[9]–[11]","plainTextFormattedCitation":"[9]–[11]","previouslyFormattedCitation":"[9]–[11]"},"properties":{"noteIndex":0},"schema":"https://github.com/citation-style-language/schema/raw/master/csl-citation.json"}</w:instrText>
      </w:r>
      <w:r w:rsidRPr="005F6A67">
        <w:rPr>
          <w:lang w:val="en-GB"/>
        </w:rPr>
        <w:fldChar w:fldCharType="separate"/>
      </w:r>
      <w:r w:rsidRPr="005F6A67">
        <w:rPr>
          <w:lang w:val="en-GB"/>
        </w:rPr>
        <w:t>[9]–[11]</w:t>
      </w:r>
      <w:r w:rsidRPr="005F6A67">
        <w:fldChar w:fldCharType="end"/>
      </w:r>
      <w:r w:rsidRPr="005F6A67">
        <w:rPr>
          <w:lang w:val="en-GB"/>
        </w:rPr>
        <w:t xml:space="preserve">. Self-efficacy is, “People's judgments of their capabilities to organize and execute courses of action required to attain designated types of performances. It is concerned not with the skills one has but with judgments of what one can do with whatever skills one possesses” </w:t>
      </w:r>
      <w:r w:rsidRPr="005F6A67">
        <w:rPr>
          <w:lang w:val="en-GB"/>
        </w:rPr>
        <w:fldChar w:fldCharType="begin" w:fldLock="1"/>
      </w:r>
      <w:r w:rsidRPr="005F6A67">
        <w:rPr>
          <w:lang w:val="en-GB"/>
        </w:rPr>
        <w:instrText>ADDIN CSL_CITATION {"citationItems":[{"id":"ITEM-1","itemData":{"author":[{"dropping-particle":"","family":"Bandura","given":"Albert","non-dropping-particle":"","parse-names":false,"suffix":""},{"dropping-particle":"","family":"Albert","given":"","non-dropping-particle":"","parse-names":false,"suffix":""}],"container-title":"Psychological Review","id":"ITEM-1","issue":"2","issued":{"date-parts":[["1977"]]},"page":"191-215","title":"Self-efficacy: Toward a unifying theory of behavioral change.","type":"article-journal","volume":"84"},"locator":"391","uris":["http://www.mendeley.com/documents/?uuid=0ef838d0-2d16-4151-807c-5f2cee5b0ffd"]}],"mendeley":{"formattedCitation":"[12, p. 391]","plainTextFormattedCitation":"[12, p. 391]","previouslyFormattedCitation":"[12, p. 391]"},"properties":{"noteIndex":0},"schema":"https://github.com/citation-style-language/schema/raw/master/csl-citation.json"}</w:instrText>
      </w:r>
      <w:r w:rsidRPr="005F6A67">
        <w:rPr>
          <w:lang w:val="en-GB"/>
        </w:rPr>
        <w:fldChar w:fldCharType="separate"/>
      </w:r>
      <w:r w:rsidRPr="005F6A67">
        <w:rPr>
          <w:lang w:val="en-GB"/>
        </w:rPr>
        <w:t>[12, p. 391]</w:t>
      </w:r>
      <w:r w:rsidRPr="005F6A67">
        <w:fldChar w:fldCharType="end"/>
      </w:r>
      <w:r w:rsidRPr="005F6A67">
        <w:rPr>
          <w:lang w:val="en-GB"/>
        </w:rPr>
        <w:t xml:space="preserve">. Because people who have low self-efficacy in Instagram are less likely to use it in the future as compared to those with a high degree of self-efficacy </w:t>
      </w:r>
      <w:r w:rsidRPr="005F6A67">
        <w:rPr>
          <w:lang w:val="en-GB"/>
        </w:rPr>
        <w:fldChar w:fldCharType="begin" w:fldLock="1"/>
      </w:r>
      <w:r w:rsidRPr="005F6A67">
        <w:rPr>
          <w:lang w:val="en-GB"/>
        </w:rPr>
        <w:instrText>ADDIN CSL_CITATION {"citationItems":[{"id":"ITEM-1","itemData":{"DOI":"10.1111/isj.12082","ISBN":"1350-1917, 1350-1917","ISSN":"13652575","PMID":"59552716","abstract":"Smartphones are increasingly penetrating business and consumer markets, and mobile applications (apps) have engendered a large and innovative market. Whereas apps are useful, they also present new forms of privacy risk associated with users' personal and location data. However, these dangers do not appear to increase the perceived risk or reduce the trust consumers demonstrate when using apps. Many information technology (IT) trust indicators are well documented such as the quality of the IT, trust assurances, brand recognition and social influences. However, these traditional indicators appear to have a lesser impact on the adoption of mobile commerce via apps because of the nature of mobile-app adoption and subsequent information disclosure. As a result, we draw from social cognitive theory and its construct of self-efficacy in particular to explain perceived mobile-app risk and provider trust. Through two controlled experiments, we demonstrate the strong direct effect of mobile-computing self-efficacy on users' initial trust in location-based app vendors as well as their perceived risk of disclosing information – regardless of the actual trustworthiness of the app vendor. The results imply that being skilled in the latest smartphones and apps can cause users to place greater trust in app providers and perceive less risk in the app itself, even when the intentions of the app providers cannot be verified.","author":[{"dropping-particle":"","family":"Keith","given":"Mark J.","non-dropping-particle":"","parse-names":false,"suffix":""},{"dropping-particle":"","family":"Babb","given":"Jeffry S.","non-dropping-particle":"","parse-names":false,"suffix":""},{"dropping-particle":"","family":"Lowry","given":"Paul Benjamin","non-dropping-particle":"","parse-names":false,"suffix":""},{"dropping-particle":"","family":"Furner","given":"Christopher P.","non-dropping-particle":"","parse-names":false,"suffix":""},{"dropping-particle":"","family":"Abdullat","given":"Amjad","non-dropping-particle":"","parse-names":false,"suffix":""}],"container-title":"Information Systems Journal","id":"ITEM-1","issue":"6","issued":{"date-parts":[["2015"]]},"page":"637-667","title":"The role of mobile-computing self-efficacy in consumer information disclosure","type":"article-journal","volume":"25"},"uris":["http://www.mendeley.com/documents/?uuid=8cfb8d5b-c8e7-42e4-9197-e4a9b8c823be"]},{"id":"ITEM-2","itemData":{"author":[{"dropping-particle":"","family":"Compeau","given":"Deborah R","non-dropping-particle":"","parse-names":false,"suffix":""},{"dropping-particle":"","family":"Higgins","given":"Christopher A","non-dropping-particle":"","parse-names":false,"suffix":""}],"container-title":"MIS Quarterly","id":"ITEM-2","issue":"2","issued":{"date-parts":[["1995"]]},"page":"189-211","title":"Computer Self-Efficacy: Development of a Measure and Initial Test","type":"article-journal","volume":"19"},"uris":["http://www.mendeley.com/documents/?uuid=98a97b34-c039-487f-b126-68133f341597"]}],"mendeley":{"formattedCitation":"[10], [13]","plainTextFormattedCitation":"[10], [13]","previouslyFormattedCitation":"[10], [13]"},"properties":{"noteIndex":0},"schema":"https://github.com/citation-style-language/schema/raw/master/csl-citation.json"}</w:instrText>
      </w:r>
      <w:r w:rsidRPr="005F6A67">
        <w:rPr>
          <w:lang w:val="en-GB"/>
        </w:rPr>
        <w:fldChar w:fldCharType="separate"/>
      </w:r>
      <w:r w:rsidRPr="005F6A67">
        <w:rPr>
          <w:lang w:val="en-GB"/>
        </w:rPr>
        <w:t>[10], [13]</w:t>
      </w:r>
      <w:r w:rsidRPr="005F6A67">
        <w:fldChar w:fldCharType="end"/>
      </w:r>
      <w:r w:rsidRPr="005F6A67">
        <w:rPr>
          <w:lang w:val="en-NZ"/>
        </w:rPr>
        <w:t>, it is important to consider improving Instagram self-efficacy as part of a strategy to promote use</w:t>
      </w:r>
      <w:r w:rsidRPr="005F6A67">
        <w:rPr>
          <w:lang w:val="en-GB"/>
        </w:rPr>
        <w:t xml:space="preserve">. </w:t>
      </w:r>
    </w:p>
    <w:p w14:paraId="0469A33A" w14:textId="77777777" w:rsidR="00BF6E15" w:rsidRDefault="005F6A67" w:rsidP="005F6A67">
      <w:pPr>
        <w:pStyle w:val="Text"/>
        <w:ind w:firstLine="0"/>
        <w:rPr>
          <w:lang w:val="en-GB"/>
        </w:rPr>
      </w:pPr>
      <w:bookmarkStart w:id="9" w:name="_Hlk64104308"/>
      <w:bookmarkStart w:id="10" w:name="_Hlk64281279"/>
      <w:r w:rsidRPr="005F6A67">
        <w:rPr>
          <w:lang w:val="en-GB"/>
        </w:rPr>
        <w:t xml:space="preserve">The diagnostic tree designer has determined there are five principal issues (overarching constructs) users could have: (1) linking Instagram to other social media accounts, where users have difficulty connecting their Instagram account and content such as posts and stories to their other social media accounts (such as Twitter, Tumblr and Facebook), (2) social information management, where users experience difficulty in managing social information (e.g., posts or stories) produced by others on the platform. Users may find certain functions such as tagging, retagging, copying, and replying challenging </w:t>
      </w:r>
      <w:r w:rsidRPr="005F6A67">
        <w:rPr>
          <w:lang w:val="en-GB"/>
        </w:rPr>
        <w:fldChar w:fldCharType="begin" w:fldLock="1"/>
      </w:r>
      <w:r w:rsidRPr="005F6A67">
        <w:rPr>
          <w:lang w:val="en-GB"/>
        </w:rPr>
        <w:instrText>ADDIN CSL_CITATION {"citationItems":[{"id":"ITEM-1","itemData":{"DOI":"10.1016/j.ins.2009.06.027","ISSN":"00200255","abstract":"Social information systems are a promising new paradigm for large-scale distributed information management, as evidenced by the success of large-scale information sharing communities, social media sites, and web-based social networks. But the increasing reliance on these social systems also places individuals and their computer systems at risk, creating opportunities for malicious participants to exploit the tight social fabric of these networks. With these problems in mind, this manuscript presents the SocialTrust framework for enabling trusted social information management in Internet-scale social information systems. Concretely, we study online social networks, consider a number of vulnerabilities inherent in online social networks, and introduce the SocialTrust framework for supporting tamper-resilient trust establishment. We study three key factors for trust establishment in online social networks - trust group feedback, distinguishing the user's relationship quality from trust, and tracking user behavior - and describe a principled approach for assessing each component. In addition to the SocialTrust framework, which provides a network-wide perspective on the trust of all users, we describe a personalized extension called mySocialTrust, which provides a user-centric trust perspective that can be optimized for individual users within the network. Finally, we experimentally evaluate the SocialTrust framework using real online social networking data consisting of millions of MySpace profiles and relationships. While other trust aggregation approaches have been developed and implemented by others, we note that it is rare to find such a large-scale experimental evaluation that carefully considers the important factors impacting the trust framework. We find that SocialTrust supports robust trust establishment even in the presence of large-scale collusion by malicious participants. © 2009 Elsevier Inc. All rights reserved.","author":[{"dropping-particle":"","family":"Caverlee","given":"James","non-dropping-particle":"","parse-names":false,"suffix":""},{"dropping-particle":"","family":"Liu","given":"Ling","non-dropping-particle":"","parse-names":false,"suffix":""},{"dropping-particle":"","family":"Webb","given":"Steve","non-dropping-particle":"","parse-names":false,"suffix":""}],"container-title":"Information Sciences","id":"ITEM-1","issue":"1","issued":{"date-parts":[["2010"]]},"page":"95-112","publisher":"Elsevier Inc.","title":"The SocialTrust framework for trusted social information management: Architecture and algorithms","type":"article-journal","volume":"180"},"uris":["http://www.mendeley.com/documents/?uuid=987d6314-1bbf-43ff-afbe-ece10a15a7fc"]},{"id":"ITEM-2","itemData":{"DOI":"10.1016/j.ins.2009.06.027","ISSN":"00200255","abstract":"Social information systems are a promising new paradigm for large-scale distributed information management, as evidenced by the success of large-scale information sharing communities, social media sites, and web-based social networks. But the increasing reliance on these social systems also places individuals and their computer systems at risk, creating opportunities for malicious participants to exploit the tight social fabric of these networks. With these problems in mind, this manuscript presents the SocialTrust framework for enabling trusted social information management in Internet-scale social information systems. Concretely, we study online social networks, consider a number of vulnerabilities inherent in online social networks, and introduce the SocialTrust framework for supporting tamper-resilient trust establishment. We study three key factors for trust establishment in online social networks - trust group feedback, distinguishing the user's relationship quality from trust, and tracking user behavior - and describe a principled approach for assessing each component. In addition to the SocialTrust framework, which provides a network-wide perspective on the trust of all users, we describe a personalized extension called mySocialTrust, which provides a user-centric trust perspective that can be optimized for individual users within the network. Finally, we experimentally evaluate the SocialTrust framework using real online social networking data consisting of millions of MySpace profiles and relationships. While other trust aggregation approaches have been developed and implemented by others, we note that it is rare to find such a large-scale experimental evaluation that carefully considers the important factors impacting the trust framework. We find that SocialTrust supports robust trust establishment even in the presence of large-scale collusion by malicious participants. © 2009 Elsevier Inc. All rights reserved.","author":[{"dropping-particle":"","family":"Mirzaee","given":"Vanesa","non-dropping-particle":"","parse-names":false,"suffix":""},{"dropping-particle":"","family":"Razavi","given":"Maryam Najafian","non-dropping-particle":"","parse-names":false,"suffix":""},{"dropping-particle":"","family":"Iverson","given":"Lee","non-dropping-particle":"","parse-names":false,"suffix":""}],"container-title":"Proceedings of the 36th annual conference of the Canadian Association for Informa- tion Science (CAIS), University of British Columbia, Vancouver, June 5-7","id":"ITEM-2","issued":{"date-parts":[["2008"]]},"publisher":"Elsevier Inc.","title":"Improving personal and social information management with advanced tagging","type":"paper-conference"},"uris":["http://www.mendeley.com/documents/?uuid=5aa111c2-dce1-4e92-a9f2-847576e16773"]}],"mendeley":{"formattedCitation":"[14], [15]","plainTextFormattedCitation":"[14], [15]","previouslyFormattedCitation":"[14], [15]"},"properties":{"noteIndex":0},"schema":"https://github.com/citation-style-language/schema/raw/master/csl-citation.json"}</w:instrText>
      </w:r>
      <w:r w:rsidRPr="005F6A67">
        <w:rPr>
          <w:lang w:val="en-GB"/>
        </w:rPr>
        <w:fldChar w:fldCharType="separate"/>
      </w:r>
      <w:r w:rsidRPr="005F6A67">
        <w:rPr>
          <w:lang w:val="en-GB"/>
        </w:rPr>
        <w:t>[14], [15]</w:t>
      </w:r>
      <w:r w:rsidRPr="005F6A67">
        <w:fldChar w:fldCharType="end"/>
      </w:r>
      <w:r w:rsidRPr="005F6A67">
        <w:rPr>
          <w:lang w:val="en-GB"/>
        </w:rPr>
        <w:t xml:space="preserve">. (3) content creation, where users have difficulty creating new content to be consumed by others, </w:t>
      </w:r>
      <w:bookmarkEnd w:id="9"/>
      <w:r w:rsidRPr="005F6A67">
        <w:rPr>
          <w:lang w:val="en-GB"/>
        </w:rPr>
        <w:t xml:space="preserve">(4) interactions, where users have difficulty interacting with other users, such as on chats or video calls, and (5) account management, where users have difficulty configuring their personal account settings. </w:t>
      </w:r>
      <w:bookmarkEnd w:id="10"/>
      <w:r w:rsidRPr="005F6A67">
        <w:rPr>
          <w:lang w:val="en-GB"/>
        </w:rPr>
        <w:t>These were identified as a result of an inter-rater based Q-sort identified in Step 2 of our methodology detailed below.  Each overarching construct in turn unpacks to hundreds of possible specific causes.  For example, “editing” can be unpacked to items such as choosing a filter, adjusting certain settings (i.e., light, colour, and contrast), using effects, using photo props, and using additional photo editing apps with Instagram. Fig</w:t>
      </w:r>
      <w:r w:rsidR="006A6C04">
        <w:rPr>
          <w:lang w:val="en-GB"/>
        </w:rPr>
        <w:t>.</w:t>
      </w:r>
      <w:r w:rsidRPr="005F6A67">
        <w:rPr>
          <w:lang w:val="en-GB"/>
        </w:rPr>
        <w:t xml:space="preserve"> 1 presents the example Instagram self-efficacy diagnostic tree. These were identified as a result of an inter-rater based Q-sort identified in Step 2 of our methodology detailed below.  </w:t>
      </w:r>
    </w:p>
    <w:p w14:paraId="6CFC554E" w14:textId="41880BD7" w:rsidR="005F6A67" w:rsidRDefault="005F6A67" w:rsidP="005F6A67">
      <w:pPr>
        <w:pStyle w:val="Text"/>
        <w:ind w:firstLine="0"/>
        <w:rPr>
          <w:lang w:val="en-GB"/>
        </w:rPr>
      </w:pPr>
      <w:r w:rsidRPr="005F6A67">
        <w:rPr>
          <w:lang w:val="en-GB"/>
        </w:rPr>
        <w:t xml:space="preserve">  </w:t>
      </w:r>
      <w:r w:rsidR="00BF6E15">
        <w:rPr>
          <w:noProof/>
          <w:lang w:val="en-GB"/>
        </w:rPr>
        <w:drawing>
          <wp:inline distT="0" distB="0" distL="0" distR="0" wp14:anchorId="653582D0" wp14:editId="6B9B366E">
            <wp:extent cx="3379483" cy="1585809"/>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a:stretch>
                      <a:fillRect/>
                    </a:stretch>
                  </pic:blipFill>
                  <pic:spPr>
                    <a:xfrm>
                      <a:off x="0" y="0"/>
                      <a:ext cx="3425552" cy="1607427"/>
                    </a:xfrm>
                    <a:prstGeom prst="rect">
                      <a:avLst/>
                    </a:prstGeom>
                  </pic:spPr>
                </pic:pic>
              </a:graphicData>
            </a:graphic>
          </wp:inline>
        </w:drawing>
      </w:r>
    </w:p>
    <w:p w14:paraId="1B3B03FC" w14:textId="2664AD62" w:rsidR="00BF6E15" w:rsidRPr="009B4E43" w:rsidRDefault="00BF6E15" w:rsidP="005F6A67">
      <w:pPr>
        <w:pStyle w:val="Text"/>
        <w:ind w:firstLine="0"/>
        <w:rPr>
          <w:lang w:val="en-GB"/>
        </w:rPr>
      </w:pPr>
      <w:r w:rsidRPr="009B4E43">
        <w:rPr>
          <w:sz w:val="16"/>
          <w:szCs w:val="14"/>
        </w:rPr>
        <w:t xml:space="preserve">Fig. </w:t>
      </w:r>
      <w:r w:rsidRPr="009B4E43">
        <w:rPr>
          <w:sz w:val="16"/>
          <w:szCs w:val="14"/>
        </w:rPr>
        <w:fldChar w:fldCharType="begin"/>
      </w:r>
      <w:r w:rsidRPr="009B4E43">
        <w:rPr>
          <w:sz w:val="16"/>
          <w:szCs w:val="14"/>
        </w:rPr>
        <w:instrText xml:space="preserve"> SEQ Figure \* ARABIC </w:instrText>
      </w:r>
      <w:r w:rsidRPr="009B4E43">
        <w:rPr>
          <w:sz w:val="16"/>
          <w:szCs w:val="14"/>
        </w:rPr>
        <w:fldChar w:fldCharType="separate"/>
      </w:r>
      <w:r w:rsidR="009F599A">
        <w:rPr>
          <w:noProof/>
          <w:sz w:val="16"/>
          <w:szCs w:val="14"/>
        </w:rPr>
        <w:t>1</w:t>
      </w:r>
      <w:r w:rsidRPr="009B4E43">
        <w:rPr>
          <w:sz w:val="16"/>
          <w:szCs w:val="14"/>
        </w:rPr>
        <w:fldChar w:fldCharType="end"/>
      </w:r>
      <w:r w:rsidRPr="009B4E43">
        <w:rPr>
          <w:sz w:val="16"/>
          <w:szCs w:val="14"/>
        </w:rPr>
        <w:t>.</w:t>
      </w:r>
      <w:r w:rsidR="002D71D6">
        <w:rPr>
          <w:sz w:val="16"/>
          <w:szCs w:val="14"/>
        </w:rPr>
        <w:t xml:space="preserve">  </w:t>
      </w:r>
      <w:r w:rsidRPr="009B4E43">
        <w:rPr>
          <w:sz w:val="16"/>
          <w:szCs w:val="14"/>
        </w:rPr>
        <w:t>Diagnostic tree for</w:t>
      </w:r>
      <w:r w:rsidRPr="009B4E43">
        <w:rPr>
          <w:sz w:val="16"/>
          <w:szCs w:val="14"/>
          <w:lang w:val="en-GB"/>
        </w:rPr>
        <w:t xml:space="preserve"> Instagram self-efficacy     </w:t>
      </w:r>
    </w:p>
    <w:p w14:paraId="49D80BF7" w14:textId="2665784F" w:rsidR="00DD5338" w:rsidRPr="00D461EE" w:rsidRDefault="00DD5338" w:rsidP="00DD5338">
      <w:pPr>
        <w:pStyle w:val="Heading1"/>
      </w:pPr>
      <w:bookmarkStart w:id="11" w:name="_Hlk49334877"/>
      <w:r>
        <w:t xml:space="preserve">Existing Approaches to </w:t>
      </w:r>
      <w:r w:rsidRPr="00D461EE">
        <w:t>D</w:t>
      </w:r>
      <w:r>
        <w:t xml:space="preserve">iagnostic </w:t>
      </w:r>
      <w:r w:rsidRPr="00D461EE">
        <w:t>T</w:t>
      </w:r>
      <w:r>
        <w:t>ree Validity</w:t>
      </w:r>
    </w:p>
    <w:p w14:paraId="004FE38B" w14:textId="77777777" w:rsidR="00DD5338" w:rsidRPr="00F94ED6" w:rsidRDefault="00DD5338" w:rsidP="00880E8B">
      <w:pPr>
        <w:spacing w:before="120"/>
        <w:ind w:firstLine="202"/>
        <w:jc w:val="both"/>
        <w:rPr>
          <w:rFonts w:eastAsia="Calibri" w:cs="Arial"/>
          <w:szCs w:val="24"/>
          <w:highlight w:val="yellow"/>
        </w:rPr>
      </w:pPr>
      <w:r w:rsidRPr="00D461EE">
        <w:rPr>
          <w:rFonts w:eastAsia="Calibri" w:cs="Arial"/>
          <w:szCs w:val="24"/>
        </w:rPr>
        <w:t xml:space="preserve">Existing </w:t>
      </w:r>
      <w:r>
        <w:rPr>
          <w:rFonts w:eastAsia="Calibri" w:cs="Arial"/>
          <w:szCs w:val="24"/>
        </w:rPr>
        <w:t xml:space="preserve">approaches to </w:t>
      </w:r>
      <w:r w:rsidRPr="00D461EE">
        <w:rPr>
          <w:rFonts w:eastAsia="Calibri" w:cs="Arial"/>
          <w:szCs w:val="24"/>
        </w:rPr>
        <w:t>validating diagnostic trees essentially take two forms: methodological and quantitative techniques</w:t>
      </w:r>
      <w:r>
        <w:rPr>
          <w:rFonts w:eastAsia="Calibri" w:cs="Arial"/>
          <w:szCs w:val="24"/>
        </w:rPr>
        <w:t>. M</w:t>
      </w:r>
      <w:r w:rsidRPr="00D461EE">
        <w:rPr>
          <w:rFonts w:eastAsia="Calibri" w:cs="Arial"/>
          <w:szCs w:val="24"/>
        </w:rPr>
        <w:t xml:space="preserve">ost methodologies </w:t>
      </w:r>
      <w:r>
        <w:rPr>
          <w:rFonts w:eastAsia="Calibri" w:cs="Arial"/>
          <w:szCs w:val="24"/>
        </w:rPr>
        <w:t xml:space="preserve">do </w:t>
      </w:r>
      <w:r w:rsidRPr="00D461EE">
        <w:rPr>
          <w:rFonts w:eastAsia="Calibri" w:cs="Arial"/>
          <w:szCs w:val="24"/>
        </w:rPr>
        <w:t xml:space="preserve">not </w:t>
      </w:r>
      <w:r>
        <w:rPr>
          <w:rFonts w:eastAsia="Calibri" w:cs="Arial"/>
          <w:szCs w:val="24"/>
        </w:rPr>
        <w:t xml:space="preserve">integrate </w:t>
      </w:r>
      <w:r w:rsidRPr="00D461EE">
        <w:rPr>
          <w:rFonts w:eastAsia="Calibri" w:cs="Arial"/>
          <w:szCs w:val="24"/>
        </w:rPr>
        <w:t xml:space="preserve">the more advanced quantitative techniques, and quantitative techniques </w:t>
      </w:r>
      <w:r>
        <w:rPr>
          <w:rFonts w:eastAsia="Calibri" w:cs="Arial"/>
          <w:szCs w:val="24"/>
        </w:rPr>
        <w:t xml:space="preserve">are often </w:t>
      </w:r>
      <w:r w:rsidRPr="00D461EE">
        <w:rPr>
          <w:rFonts w:eastAsia="Calibri" w:cs="Arial"/>
          <w:szCs w:val="24"/>
        </w:rPr>
        <w:t>employed in isolation.</w:t>
      </w:r>
      <w:r>
        <w:rPr>
          <w:rFonts w:eastAsia="Calibri" w:cs="Arial"/>
          <w:szCs w:val="24"/>
        </w:rPr>
        <w:t xml:space="preserve"> </w:t>
      </w:r>
    </w:p>
    <w:p w14:paraId="13D8F2B0" w14:textId="77777777" w:rsidR="00DD5338" w:rsidRPr="00D461EE" w:rsidRDefault="00DD5338" w:rsidP="00DD5338">
      <w:pPr>
        <w:pStyle w:val="Heading2"/>
        <w:rPr>
          <w:rFonts w:eastAsia="Calibri"/>
        </w:rPr>
      </w:pPr>
      <w:r w:rsidRPr="00D461EE">
        <w:rPr>
          <w:rFonts w:eastAsia="Calibri"/>
        </w:rPr>
        <w:t xml:space="preserve">Methodological </w:t>
      </w:r>
    </w:p>
    <w:p w14:paraId="04E2FD58" w14:textId="77777777" w:rsidR="00DD5338" w:rsidRDefault="00DD5338" w:rsidP="00880E8B">
      <w:pPr>
        <w:spacing w:before="120"/>
        <w:ind w:firstLine="202"/>
        <w:jc w:val="both"/>
        <w:rPr>
          <w:rFonts w:eastAsia="Calibri" w:cs="Arial"/>
          <w:szCs w:val="24"/>
        </w:rPr>
      </w:pPr>
      <w:r w:rsidRPr="00D461EE">
        <w:rPr>
          <w:rFonts w:eastAsia="Calibri" w:cs="Arial"/>
          <w:szCs w:val="24"/>
        </w:rPr>
        <w:t>The major validation methodologies used for validating diagnostic trees are:</w:t>
      </w:r>
    </w:p>
    <w:p w14:paraId="131DCBAE" w14:textId="77777777" w:rsidR="00DD5338" w:rsidRPr="0011328C" w:rsidRDefault="00DD5338" w:rsidP="00880E8B">
      <w:pPr>
        <w:spacing w:before="120"/>
        <w:jc w:val="both"/>
        <w:rPr>
          <w:rFonts w:eastAsia="Calibri" w:cs="Arial"/>
          <w:szCs w:val="24"/>
        </w:rPr>
      </w:pPr>
      <w:r w:rsidRPr="00D461EE">
        <w:rPr>
          <w:rFonts w:eastAsia="Calibri" w:cs="Arial"/>
          <w:i/>
          <w:szCs w:val="24"/>
        </w:rPr>
        <w:t xml:space="preserve">Expert Review. </w:t>
      </w:r>
      <w:r w:rsidRPr="00D461EE">
        <w:rPr>
          <w:rFonts w:eastAsia="Calibri" w:cs="Arial"/>
          <w:szCs w:val="24"/>
        </w:rPr>
        <w:t xml:space="preserve">One common approach to validating diagnostic trees is expert review, where experts are given the tree and methodologically examine it for errors </w:t>
      </w:r>
      <w:r w:rsidRPr="00D461EE">
        <w:rPr>
          <w:rFonts w:eastAsia="Calibri" w:cs="Arial"/>
          <w:szCs w:val="24"/>
          <w:lang w:val="en-NZ"/>
        </w:rPr>
        <w:fldChar w:fldCharType="begin" w:fldLock="1"/>
      </w:r>
      <w:r>
        <w:rPr>
          <w:rFonts w:eastAsia="Calibri" w:cs="Arial"/>
          <w:szCs w:val="24"/>
        </w:rPr>
        <w:instrText>ADDIN CSL_CITATION {"citationItems":[{"id":"ITEM-1","itemData":{"DOI":"10.1007/978-3-642-37893-5_18","ISBN":"9783642378928","ISSN":"18678211","abstract":"Smartphones are a promising channel for health promotion interventions. Mobile applications can track behaviour and provide real-time guidance and support. Research on mobile interventions has mainly focused on physical health and disease management, whereas promotion of mental wellbeing has received less attention. This paper presents results of a multidisciplinary expert review of twelve currently available mobile applications for mental well-being. The aim of the study was to identify what kinds of engaging and persuasive features are used in the applications and to assess how well the features were implemented. The expert reviews were carried out from user acceptance, mobile intervention design, and persuasive design points of view. Current applications were assessed moderately good from all three perspectives but improvement needs were identified in more versatile utilisation of mobile technology, leveraging social support, and providing a wider range of personalized intervention features. © Institute for Computer Sciences, Social Informatics and Telecommunications Engineering 2013.","author":[{"dropping-particle":"","family":"Chang","given":"Ting Ray","non-dropping-particle":"","parse-names":false,"suffix":""},{"dropping-particle":"","family":"Kaasinen","given":"Eija","non-dropping-particle":"","parse-names":false,"suffix":""},{"dropping-particle":"","family":"Kaipainen","given":"Kirsikka","non-dropping-particle":"","parse-names":false,"suffix":""}],"container-title":"Lecture Notes of the Institute for Computer Sciences, Social-Informatics and Telecommunications Engineering, LNICST","id":"ITEM-1","issued":{"date-parts":[["2013"]]},"page":"154-162","title":"Persuasive design in mobile applications for mental well-being: Multidisciplinary expert review","type":"article-journal","volume":"61"},"uris":["http://www.mendeley.com/documents/?uuid=4da25816-cedc-4b57-b3a4-caad8c0b1f5e"]}],"mendeley":{"formattedCitation":"[16]","plainTextFormattedCitation":"[16]","previouslyFormattedCitation":"[16]"},"properties":{"noteIndex":0},"schema":"https://github.com/citation-style-language/schema/raw/master/csl-citation.json"}</w:instrText>
      </w:r>
      <w:r w:rsidRPr="00D461EE">
        <w:rPr>
          <w:rFonts w:eastAsia="Calibri" w:cs="Arial"/>
          <w:szCs w:val="24"/>
          <w:lang w:val="en-NZ"/>
        </w:rPr>
        <w:fldChar w:fldCharType="separate"/>
      </w:r>
      <w:r w:rsidRPr="00B84BCF">
        <w:rPr>
          <w:rFonts w:eastAsia="Calibri" w:cs="Arial"/>
          <w:noProof/>
          <w:szCs w:val="24"/>
        </w:rPr>
        <w:t>[16]</w:t>
      </w:r>
      <w:r w:rsidRPr="00D461EE">
        <w:rPr>
          <w:rFonts w:eastAsia="Calibri" w:cs="Arial"/>
          <w:szCs w:val="24"/>
          <w:lang w:val="en-GB"/>
        </w:rPr>
        <w:fldChar w:fldCharType="end"/>
      </w:r>
      <w:r w:rsidRPr="00D461EE">
        <w:rPr>
          <w:rFonts w:eastAsia="Calibri" w:cs="Arial"/>
          <w:szCs w:val="24"/>
        </w:rPr>
        <w:t xml:space="preserve">. </w:t>
      </w:r>
      <w:r>
        <w:rPr>
          <w:rFonts w:eastAsia="Calibri" w:cs="Arial"/>
          <w:szCs w:val="24"/>
        </w:rPr>
        <w:t>E</w:t>
      </w:r>
      <w:r w:rsidRPr="003144D1">
        <w:rPr>
          <w:rFonts w:eastAsia="Calibri" w:cs="Arial"/>
          <w:szCs w:val="24"/>
        </w:rPr>
        <w:t xml:space="preserve">xpert reviews </w:t>
      </w:r>
      <w:r>
        <w:rPr>
          <w:rFonts w:eastAsia="Calibri" w:cs="Arial"/>
          <w:szCs w:val="24"/>
        </w:rPr>
        <w:t xml:space="preserve">can </w:t>
      </w:r>
      <w:r w:rsidRPr="00DE265F">
        <w:rPr>
          <w:rFonts w:eastAsia="Calibri" w:cs="Arial"/>
          <w:szCs w:val="24"/>
        </w:rPr>
        <w:t>provide valuable</w:t>
      </w:r>
      <w:r>
        <w:rPr>
          <w:rFonts w:eastAsia="Calibri" w:cs="Arial"/>
          <w:szCs w:val="24"/>
        </w:rPr>
        <w:t xml:space="preserve"> </w:t>
      </w:r>
      <w:r w:rsidRPr="00DE265F">
        <w:rPr>
          <w:rFonts w:eastAsia="Calibri" w:cs="Arial"/>
          <w:szCs w:val="24"/>
        </w:rPr>
        <w:t xml:space="preserve">insight into usability problems </w:t>
      </w:r>
      <w:r>
        <w:rPr>
          <w:rFonts w:eastAsia="Calibri" w:cs="Arial"/>
          <w:szCs w:val="24"/>
        </w:rPr>
        <w:t xml:space="preserve">and can be beneficial in evaluating a diagnostic tree across all stages of development </w:t>
      </w:r>
      <w:r>
        <w:rPr>
          <w:rFonts w:eastAsia="Calibri" w:cs="Arial"/>
          <w:szCs w:val="24"/>
        </w:rPr>
        <w:fldChar w:fldCharType="begin" w:fldLock="1"/>
      </w:r>
      <w:r>
        <w:rPr>
          <w:rFonts w:eastAsia="Calibri" w:cs="Arial"/>
          <w:szCs w:val="24"/>
        </w:rPr>
        <w:instrText>ADDIN CSL_CITATION {"citationItems":[{"id":"ITEM-1","itemData":{"DOI":"10.1109/MCG.2005.102","ISSN":"02721716","author":[{"dropping-particle":"","family":"Tory","given":"Melanie","non-dropping-particle":"","parse-names":false,"suffix":""},{"dropping-particle":"","family":"Möller","given":"Torsten","non-dropping-particle":"","parse-names":false,"suffix":""}],"container-title":"IEEE Computer Graphics and Applications","id":"ITEM-1","issue":"5","issued":{"date-parts":[["2005"]]},"page":"8-11","title":"Evaluating visualizations: Do expert reviews work?","type":"article-journal","volume":"25"},"uris":["http://www.mendeley.com/documents/?uuid=de07d53d-593c-4a44-8158-2b7a0c7aecd5"]}],"mendeley":{"formattedCitation":"[17]","plainTextFormattedCitation":"[17]","previouslyFormattedCitation":"[17]"},"properties":{"noteIndex":0},"schema":"https://github.com/citation-style-language/schema/raw/master/csl-citation.json"}</w:instrText>
      </w:r>
      <w:r>
        <w:rPr>
          <w:rFonts w:eastAsia="Calibri" w:cs="Arial"/>
          <w:szCs w:val="24"/>
        </w:rPr>
        <w:fldChar w:fldCharType="separate"/>
      </w:r>
      <w:r w:rsidRPr="00B84BCF">
        <w:rPr>
          <w:rFonts w:eastAsia="Calibri" w:cs="Arial"/>
          <w:noProof/>
          <w:szCs w:val="24"/>
        </w:rPr>
        <w:t>[17]</w:t>
      </w:r>
      <w:r>
        <w:rPr>
          <w:rFonts w:eastAsia="Calibri" w:cs="Arial"/>
          <w:szCs w:val="24"/>
        </w:rPr>
        <w:fldChar w:fldCharType="end"/>
      </w:r>
      <w:r>
        <w:rPr>
          <w:rFonts w:eastAsia="Calibri" w:cs="Arial"/>
          <w:szCs w:val="24"/>
        </w:rPr>
        <w:t>.</w:t>
      </w:r>
      <w:r w:rsidRPr="008F3D72">
        <w:rPr>
          <w:rFonts w:eastAsia="Calibri" w:cs="Arial"/>
          <w:szCs w:val="24"/>
        </w:rPr>
        <w:t xml:space="preserve"> </w:t>
      </w:r>
      <w:r>
        <w:rPr>
          <w:rFonts w:eastAsia="Calibri" w:cs="Arial"/>
          <w:szCs w:val="24"/>
        </w:rPr>
        <w:t xml:space="preserve">One example is the </w:t>
      </w:r>
      <w:r>
        <w:rPr>
          <w:szCs w:val="24"/>
        </w:rPr>
        <w:t>E</w:t>
      </w:r>
      <w:r w:rsidRPr="00DC65A9">
        <w:rPr>
          <w:szCs w:val="24"/>
        </w:rPr>
        <w:t xml:space="preserve">fficient </w:t>
      </w:r>
      <w:r>
        <w:rPr>
          <w:szCs w:val="24"/>
        </w:rPr>
        <w:t>M</w:t>
      </w:r>
      <w:r w:rsidRPr="00DC65A9">
        <w:rPr>
          <w:szCs w:val="24"/>
        </w:rPr>
        <w:t xml:space="preserve">achine </w:t>
      </w:r>
      <w:r>
        <w:rPr>
          <w:szCs w:val="24"/>
        </w:rPr>
        <w:t>F</w:t>
      </w:r>
      <w:r w:rsidRPr="00DC65A9">
        <w:rPr>
          <w:szCs w:val="24"/>
        </w:rPr>
        <w:t xml:space="preserve">ault </w:t>
      </w:r>
      <w:r>
        <w:rPr>
          <w:szCs w:val="24"/>
        </w:rPr>
        <w:t>D</w:t>
      </w:r>
      <w:r w:rsidRPr="00DC65A9">
        <w:rPr>
          <w:szCs w:val="24"/>
        </w:rPr>
        <w:t xml:space="preserve">iagnosis </w:t>
      </w:r>
      <w:r>
        <w:rPr>
          <w:szCs w:val="24"/>
        </w:rPr>
        <w:t>E</w:t>
      </w:r>
      <w:r w:rsidRPr="00DC65A9">
        <w:rPr>
          <w:szCs w:val="24"/>
        </w:rPr>
        <w:t xml:space="preserve">xpert </w:t>
      </w:r>
      <w:r>
        <w:rPr>
          <w:szCs w:val="24"/>
        </w:rPr>
        <w:t>S</w:t>
      </w:r>
      <w:r w:rsidRPr="00DC65A9">
        <w:rPr>
          <w:szCs w:val="24"/>
        </w:rPr>
        <w:t>ystem (EMFDES)</w:t>
      </w:r>
      <w:r>
        <w:rPr>
          <w:szCs w:val="24"/>
        </w:rPr>
        <w:t xml:space="preserve">, where validation was done by developing diagnostic trees with the use of multiple </w:t>
      </w:r>
      <w:r w:rsidRPr="00DC65A9">
        <w:rPr>
          <w:szCs w:val="24"/>
        </w:rPr>
        <w:t>domain experts</w:t>
      </w:r>
      <w:r>
        <w:rPr>
          <w:szCs w:val="24"/>
        </w:rPr>
        <w:t xml:space="preserve"> who identified different issues within the system </w:t>
      </w:r>
      <w:r>
        <w:rPr>
          <w:rFonts w:eastAsia="Calibri" w:cs="Arial"/>
          <w:szCs w:val="24"/>
        </w:rPr>
        <w:fldChar w:fldCharType="begin" w:fldLock="1"/>
      </w:r>
      <w:r>
        <w:rPr>
          <w:rFonts w:eastAsia="Calibri" w:cs="Arial"/>
          <w:szCs w:val="24"/>
        </w:rPr>
        <w:instrText>ADDIN CSL_CITATION {"citationItems":[{"id":"ITEM-1","itemData":{"DOI":"10.1007/s00170-002-1389-9","ISSN":"02683768","abstract":"An efficient expert system for machine fault diagnosis is developed. A new search method is proposed in this system to improve the efficiency of the diagnostic process. First of all, a diagnostic tree (a decision tree) is built by domain experts according to the functions of the devices in the machine. Then, the diagnostic priorities of nodes (devices) in the tree are determined based on a fuzzy group multiple attribute decision making method. A meta knowledge base for fault diagnosis is generated automatically based on the determined priorities to guide the diagnostic process. After that, a domain knowledge base that hypothesises possible faults for each device in the tree is generated by domain experts and/or manuals. At last, the inference process starts based on the meta knowledge base and hypothesises which device is the possible cause of failure. To validate the system performance, an illustrative example (VCR troubleshooting) is presented for demonstration purposes.","author":[{"dropping-particle":"","family":"Liu","given":"S. C.","non-dropping-particle":"","parse-names":false,"suffix":""},{"dropping-particle":"","family":"Liu","given":"S. Y.","non-dropping-particle":"","parse-names":false,"suffix":""}],"container-title":"International Journal of Advanced Manufacturing Technology","id":"ITEM-1","issue":"9","issued":{"date-parts":[["2003"]]},"page":"691-698","title":"An efficient expert system for machine fault diagnosis","type":"article-journal","volume":"21"},"uris":["http://www.mendeley.com/documents/?uuid=958afc9a-560e-4b4d-a66a-2e8dad0ab006"]}],"mendeley":{"formattedCitation":"[3]","plainTextFormattedCitation":"[3]","previouslyFormattedCitation":"[3]"},"properties":{"noteIndex":0},"schema":"https://github.com/citation-style-language/schema/raw/master/csl-citation.json"}</w:instrText>
      </w:r>
      <w:r>
        <w:rPr>
          <w:rFonts w:eastAsia="Calibri" w:cs="Arial"/>
          <w:szCs w:val="24"/>
        </w:rPr>
        <w:fldChar w:fldCharType="separate"/>
      </w:r>
      <w:r w:rsidRPr="00F87EC4">
        <w:rPr>
          <w:rFonts w:eastAsia="Calibri" w:cs="Arial"/>
          <w:noProof/>
          <w:szCs w:val="24"/>
        </w:rPr>
        <w:t>[3]</w:t>
      </w:r>
      <w:r>
        <w:rPr>
          <w:rFonts w:eastAsia="Calibri" w:cs="Arial"/>
          <w:szCs w:val="24"/>
        </w:rPr>
        <w:fldChar w:fldCharType="end"/>
      </w:r>
      <w:r>
        <w:rPr>
          <w:rFonts w:eastAsia="Calibri" w:cs="Arial"/>
          <w:szCs w:val="24"/>
        </w:rPr>
        <w:t xml:space="preserve">. Another is the </w:t>
      </w:r>
      <w:r w:rsidRPr="004F3F7D">
        <w:rPr>
          <w:rFonts w:eastAsia="Calibri" w:cs="Arial"/>
          <w:szCs w:val="24"/>
        </w:rPr>
        <w:t>Healthy Habits (</w:t>
      </w:r>
      <w:proofErr w:type="spellStart"/>
      <w:r w:rsidRPr="004F3F7D">
        <w:rPr>
          <w:rFonts w:eastAsia="Calibri" w:cs="Arial"/>
          <w:szCs w:val="24"/>
        </w:rPr>
        <w:t>HeH</w:t>
      </w:r>
      <w:proofErr w:type="spellEnd"/>
      <w:r w:rsidRPr="004F3F7D">
        <w:rPr>
          <w:rFonts w:eastAsia="Calibri" w:cs="Arial"/>
          <w:szCs w:val="24"/>
        </w:rPr>
        <w:t>)</w:t>
      </w:r>
      <w:r>
        <w:rPr>
          <w:rFonts w:eastAsia="Calibri" w:cs="Arial"/>
          <w:szCs w:val="24"/>
        </w:rPr>
        <w:t xml:space="preserve"> system, where three experts with</w:t>
      </w:r>
      <w:r w:rsidRPr="004F3F7D">
        <w:rPr>
          <w:rFonts w:eastAsia="Calibri" w:cs="Arial"/>
          <w:szCs w:val="24"/>
        </w:rPr>
        <w:t xml:space="preserve"> 5-15 years of research experience </w:t>
      </w:r>
      <w:r>
        <w:rPr>
          <w:rFonts w:eastAsia="Calibri" w:cs="Arial"/>
          <w:szCs w:val="24"/>
        </w:rPr>
        <w:t>i</w:t>
      </w:r>
      <w:r w:rsidRPr="004F3F7D">
        <w:rPr>
          <w:rFonts w:eastAsia="Calibri" w:cs="Arial"/>
          <w:szCs w:val="24"/>
        </w:rPr>
        <w:t xml:space="preserve">n their </w:t>
      </w:r>
      <w:r>
        <w:rPr>
          <w:rFonts w:eastAsia="Calibri" w:cs="Arial"/>
          <w:szCs w:val="24"/>
        </w:rPr>
        <w:t xml:space="preserve">individual </w:t>
      </w:r>
      <w:r w:rsidRPr="004F3F7D">
        <w:rPr>
          <w:rFonts w:eastAsia="Calibri" w:cs="Arial"/>
          <w:szCs w:val="24"/>
        </w:rPr>
        <w:t>field</w:t>
      </w:r>
      <w:r>
        <w:rPr>
          <w:rFonts w:eastAsia="Calibri" w:cs="Arial"/>
          <w:szCs w:val="24"/>
        </w:rPr>
        <w:t>s of expertise</w:t>
      </w:r>
      <w:r w:rsidRPr="004F3F7D">
        <w:rPr>
          <w:rFonts w:eastAsia="Calibri" w:cs="Arial"/>
          <w:szCs w:val="24"/>
        </w:rPr>
        <w:t xml:space="preserve"> </w:t>
      </w:r>
      <w:r>
        <w:rPr>
          <w:rFonts w:eastAsia="Calibri" w:cs="Arial"/>
          <w:szCs w:val="24"/>
        </w:rPr>
        <w:t xml:space="preserve">reviewed the diagnostic tree and individually </w:t>
      </w:r>
      <w:r w:rsidRPr="004F3F7D">
        <w:rPr>
          <w:rFonts w:eastAsia="Calibri" w:cs="Arial"/>
          <w:szCs w:val="24"/>
        </w:rPr>
        <w:t>identif</w:t>
      </w:r>
      <w:r>
        <w:rPr>
          <w:rFonts w:eastAsia="Calibri" w:cs="Arial"/>
          <w:szCs w:val="24"/>
        </w:rPr>
        <w:t>ied</w:t>
      </w:r>
      <w:r w:rsidRPr="004F3F7D">
        <w:rPr>
          <w:rFonts w:eastAsia="Calibri" w:cs="Arial"/>
          <w:szCs w:val="24"/>
        </w:rPr>
        <w:t xml:space="preserve"> strengths and shortcomings</w:t>
      </w:r>
      <w:r>
        <w:rPr>
          <w:rFonts w:eastAsia="Calibri" w:cs="Arial"/>
          <w:szCs w:val="24"/>
        </w:rPr>
        <w:t xml:space="preserve"> </w:t>
      </w:r>
      <w:r>
        <w:rPr>
          <w:rFonts w:eastAsia="Calibri" w:cs="Arial"/>
          <w:szCs w:val="24"/>
        </w:rPr>
        <w:fldChar w:fldCharType="begin" w:fldLock="1"/>
      </w:r>
      <w:r>
        <w:rPr>
          <w:rFonts w:eastAsia="Calibri" w:cs="Arial"/>
          <w:szCs w:val="24"/>
        </w:rPr>
        <w:instrText>ADDIN CSL_CITATION {"citationItems":[{"id":"ITEM-1","itemData":{"DOI":"10.1007/978-3-642-37893-5_18","ISBN":"9783642378928","ISSN":"18678211","abstract":"Smartphones are a promising channel for health promotion interventions. Mobile applications can track behaviour and provide real-time guidance and support. Research on mobile interventions has mainly focused on physical health and disease management, whereas promotion of mental wellbeing has received less attention. This paper presents results of a multidisciplinary expert review of twelve currently available mobile applications for mental well-being. The aim of the study was to identify what kinds of engaging and persuasive features are used in the applications and to assess how well the features were implemented. The expert reviews were carried out from user acceptance, mobile intervention design, and persuasive design points of view. Current applications were assessed moderately good from all three perspectives but improvement needs were identified in more versatile utilisation of mobile technology, leveraging social support, and providing a wider range of personalized intervention features. © Institute for Computer Sciences, Social Informatics and Telecommunications Engineering 2013.","author":[{"dropping-particle":"","family":"Chang","given":"Ting Ray","non-dropping-particle":"","parse-names":false,"suffix":""},{"dropping-particle":"","family":"Kaasinen","given":"Eija","non-dropping-particle":"","parse-names":false,"suffix":""},{"dropping-particle":"","family":"Kaipainen","given":"Kirsikka","non-dropping-particle":"","parse-names":false,"suffix":""}],"container-title":"Lecture Notes of the Institute for Computer Sciences, Social-Informatics and Telecommunications Engineering, LNICST","id":"ITEM-1","issued":{"date-parts":[["2013"]]},"page":"154-162","title":"Persuasive design in mobile applications for mental well-being: Multidisciplinary expert review","type":"article-journal","volume":"61"},"uris":["http://www.mendeley.com/documents/?uuid=4da25816-cedc-4b57-b3a4-caad8c0b1f5e"]}],"mendeley":{"formattedCitation":"[16]","plainTextFormattedCitation":"[16]","previouslyFormattedCitation":"[16]"},"properties":{"noteIndex":0},"schema":"https://github.com/citation-style-language/schema/raw/master/csl-citation.json"}</w:instrText>
      </w:r>
      <w:r>
        <w:rPr>
          <w:rFonts w:eastAsia="Calibri" w:cs="Arial"/>
          <w:szCs w:val="24"/>
        </w:rPr>
        <w:fldChar w:fldCharType="separate"/>
      </w:r>
      <w:r w:rsidRPr="00B84BCF">
        <w:rPr>
          <w:rFonts w:eastAsia="Calibri" w:cs="Arial"/>
          <w:noProof/>
          <w:szCs w:val="24"/>
        </w:rPr>
        <w:t>[16]</w:t>
      </w:r>
      <w:r>
        <w:rPr>
          <w:rFonts w:eastAsia="Calibri" w:cs="Arial"/>
          <w:szCs w:val="24"/>
        </w:rPr>
        <w:fldChar w:fldCharType="end"/>
      </w:r>
      <w:r>
        <w:rPr>
          <w:rFonts w:eastAsia="Calibri" w:cs="Arial"/>
          <w:szCs w:val="24"/>
        </w:rPr>
        <w:t>.</w:t>
      </w:r>
    </w:p>
    <w:p w14:paraId="791B8C69" w14:textId="77777777" w:rsidR="00DD5338" w:rsidRDefault="00DD5338" w:rsidP="00880E8B">
      <w:pPr>
        <w:spacing w:before="120"/>
        <w:jc w:val="both"/>
        <w:rPr>
          <w:rFonts w:eastAsia="Calibri" w:cs="Arial"/>
          <w:szCs w:val="24"/>
        </w:rPr>
      </w:pPr>
      <w:bookmarkStart w:id="12" w:name="_Hlk48559764"/>
      <w:r w:rsidRPr="00D76EF9">
        <w:rPr>
          <w:rFonts w:eastAsia="Calibri" w:cs="Arial"/>
          <w:i/>
          <w:szCs w:val="24"/>
        </w:rPr>
        <w:t>Comparison.</w:t>
      </w:r>
      <w:r w:rsidRPr="00D76EF9">
        <w:rPr>
          <w:rFonts w:eastAsia="Calibri" w:cs="Arial"/>
          <w:szCs w:val="24"/>
        </w:rPr>
        <w:t xml:space="preserve"> Much research structures the diagnostic tree validation as a competition or test </w:t>
      </w:r>
      <w:r w:rsidRPr="00D76EF9">
        <w:rPr>
          <w:rFonts w:eastAsia="Calibri" w:cs="Arial"/>
          <w:szCs w:val="24"/>
        </w:rPr>
        <w:fldChar w:fldCharType="begin" w:fldLock="1"/>
      </w:r>
      <w:r>
        <w:rPr>
          <w:rFonts w:eastAsia="Calibri" w:cs="Arial"/>
          <w:szCs w:val="24"/>
        </w:rPr>
        <w:instrText>ADDIN CSL_CITATION {"citationItems":[{"id":"ITEM-1","itemData":{"DOI":"10.1162/jmlr.2003.3.4-5.621","ISBN":"1532-4435","ISSN":"1532-4435","abstract":"Cross-validation is a useful and generally applicable technique often employed in machine learning, including decision tree induction. An important disadvantage of straightforward implementation of the technique is its computational overhead. In this paper we show that, for decision trees, the computational overhead of cross-validation can be reduced significantly by integrating the cross-validation with the normal decision tree induction process. We discuss how existing decision tree algorithms can be adapted to this aim, and provide an analysis of the speedups these adaptations may yield. The analysis is supported by experimental results.","author":[{"dropping-particle":"","family":"Blockeel","given":"Hendrik","non-dropping-particle":"","parse-names":false,"suffix":""},{"dropping-particle":"","family":"Struyf","given":"Jan","non-dropping-particle":"","parse-names":false,"suffix":""}],"container-title":"Journal of Machine Learning Research","id":"ITEM-1","issue":"4-5","issued":{"date-parts":[["2001"]]},"page":"9","title":"Efficient algorithms for decision tree cross-validation","type":"article-journal","volume":"3"},"uris":["http://www.mendeley.com/documents/?uuid=dfca67fc-edd7-467a-a528-ed0b6d7e2cd1"]}],"mendeley":{"formattedCitation":"[18]","plainTextFormattedCitation":"[18]","previouslyFormattedCitation":"[18]"},"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[18]</w:t>
      </w:r>
      <w:r w:rsidRPr="00D76EF9">
        <w:rPr>
          <w:rFonts w:eastAsia="Calibri" w:cs="Arial"/>
          <w:szCs w:val="24"/>
        </w:rPr>
        <w:fldChar w:fldCharType="end"/>
      </w:r>
      <w:r w:rsidRPr="00D76EF9">
        <w:rPr>
          <w:rFonts w:eastAsia="Calibri" w:cs="Arial"/>
          <w:szCs w:val="24"/>
        </w:rPr>
        <w:t xml:space="preserve">.  </w:t>
      </w:r>
      <w:r>
        <w:rPr>
          <w:rFonts w:eastAsia="Calibri" w:cs="Arial"/>
          <w:szCs w:val="24"/>
        </w:rPr>
        <w:t xml:space="preserve">In some situations, the test </w:t>
      </w:r>
      <w:r w:rsidRPr="00D76EF9">
        <w:rPr>
          <w:rFonts w:eastAsia="Calibri" w:cs="Arial"/>
          <w:szCs w:val="24"/>
        </w:rPr>
        <w:t>is against a data set with known properties, the correct diagnosis is known, and the diagnostic tree is evaluated as fit</w:t>
      </w:r>
      <w:r>
        <w:rPr>
          <w:rFonts w:eastAsia="Calibri" w:cs="Arial"/>
          <w:szCs w:val="24"/>
        </w:rPr>
        <w:t xml:space="preserve"> for purpose,</w:t>
      </w:r>
      <w:r w:rsidRPr="00D76EF9">
        <w:rPr>
          <w:rFonts w:eastAsia="Calibri" w:cs="Arial"/>
          <w:szCs w:val="24"/>
        </w:rPr>
        <w:t xml:space="preserve"> if it correctly diagnoses a certain number of cases (precision) and does not fail to misdiagnose a certain number of cases (recall). </w:t>
      </w:r>
      <w:r>
        <w:rPr>
          <w:rFonts w:eastAsia="Calibri" w:cs="Arial"/>
          <w:szCs w:val="24"/>
        </w:rPr>
        <w:t>For instance,</w:t>
      </w:r>
      <w:r w:rsidRPr="008D52CC">
        <w:rPr>
          <w:rFonts w:eastAsia="Calibri" w:cs="Arial"/>
          <w:szCs w:val="24"/>
        </w:rPr>
        <w:t xml:space="preserve"> discrete-event systems (DESs) </w:t>
      </w:r>
      <w:r>
        <w:rPr>
          <w:rFonts w:eastAsia="Calibri" w:cs="Arial"/>
          <w:szCs w:val="24"/>
        </w:rPr>
        <w:t xml:space="preserve">are often tested by comparing them to a known dataset </w:t>
      </w:r>
      <w:r>
        <w:rPr>
          <w:rFonts w:eastAsia="Calibri" w:cs="Arial"/>
          <w:szCs w:val="24"/>
        </w:rPr>
        <w:fldChar w:fldCharType="begin" w:fldLock="1"/>
      </w:r>
      <w:r>
        <w:rPr>
          <w:rFonts w:eastAsia="Calibri" w:cs="Arial"/>
          <w:szCs w:val="24"/>
        </w:rPr>
        <w:instrText>ADDIN CSL_CITATION {"citationItems":[{"id":"ITEM-1","itemData":{"DOI":"10.1016/j.artint.2005.08.002","ISSN":"00043702","abstract":"Diagnosis of discrete-event systems (DESs) may be improved by knowledge-compilation techniques, where a large amount of model-based reasoning is anticipated off-line, by simulating the behavior of the system and generating suitable data structures (compiled knowledge) embedding diagnostic information. This knowledge is exploited on-line, based on the observation of the system behavior, so as to generate the set of candidate diagnoses (problem solution). This paper makes a step forward: the solution of a diagnostic problem is supported by the solution of another problem, provided the two problems are somewhat similar. Reuse of model-based reasoning is thus achieved by exploiting the diagnostic knowledge yielded for solving previous problems. The technique still works when the available knowledge does not fit the extent of the system, but only a partition of it, that is, when solutions are available for subsystems only. In this case, the fragmented knowledge is exploited in a modular way, where redundant computation is avoided. Similarity-based diagnosis is meant for large-scale DESs, where the degree of similarity among subsystems is high and stringent time constraints on the diagnosis response is a first-class requirement. © 2005 Elsevier B.V. All right reserved.","author":[{"dropping-particle":"","family":"Lamperti","given":"Gianfranco","non-dropping-particle":"","parse-names":false,"suffix":""},{"dropping-particle":"","family":"Zanella","given":"Marina","non-dropping-particle":"","parse-names":false,"suffix":""}],"container-title":"Artificial Intelligence","id":"ITEM-1","issue":"3","issued":{"date-parts":[["2006"]]},"page":"232-297","title":"Flexible diagnosis of discrete-event systems by similarity-based reasoning techniques","type":"article-journal","volume":"170"},"uris":["http://www.mendeley.com/documents/?uuid=2864e930-de76-4d38-b2ca-e8bbda221b36"]}],"mendeley":{"formattedCitation":"[19]","plainTextFormattedCitation":"[19]","previouslyFormattedCitation":"[19]"},"properties":{"noteIndex":0},"schema":"https://github.com/citation-style-language/schema/raw/master/csl-citation.json"}</w:instrText>
      </w:r>
      <w:r>
        <w:rPr>
          <w:rFonts w:eastAsia="Calibri" w:cs="Arial"/>
          <w:szCs w:val="24"/>
        </w:rPr>
        <w:fldChar w:fldCharType="separate"/>
      </w:r>
      <w:r w:rsidRPr="00E65D3B">
        <w:rPr>
          <w:rFonts w:eastAsia="Calibri" w:cs="Arial"/>
          <w:noProof/>
          <w:szCs w:val="24"/>
        </w:rPr>
        <w:t>[19]</w:t>
      </w:r>
      <w:r>
        <w:rPr>
          <w:rFonts w:eastAsia="Calibri" w:cs="Arial"/>
          <w:szCs w:val="24"/>
        </w:rPr>
        <w:fldChar w:fldCharType="end"/>
      </w:r>
      <w:r>
        <w:rPr>
          <w:rFonts w:eastAsia="Calibri" w:cs="Arial"/>
          <w:szCs w:val="24"/>
        </w:rPr>
        <w:t>.</w:t>
      </w:r>
      <w:bookmarkEnd w:id="12"/>
      <w:r>
        <w:rPr>
          <w:rFonts w:eastAsia="Calibri" w:cs="Arial"/>
          <w:szCs w:val="24"/>
        </w:rPr>
        <w:t xml:space="preserve"> </w:t>
      </w:r>
    </w:p>
    <w:p w14:paraId="30E67F01" w14:textId="77777777" w:rsidR="00DD5338" w:rsidRDefault="00DD5338" w:rsidP="00880E8B">
      <w:pPr>
        <w:spacing w:before="120"/>
        <w:ind w:firstLine="202"/>
        <w:jc w:val="both"/>
        <w:rPr>
          <w:rFonts w:eastAsia="Calibri" w:cs="Arial"/>
          <w:szCs w:val="24"/>
        </w:rPr>
      </w:pPr>
      <w:r w:rsidRPr="00D76EF9">
        <w:rPr>
          <w:rFonts w:eastAsia="Calibri" w:cs="Arial"/>
          <w:szCs w:val="24"/>
        </w:rPr>
        <w:t>In other situations, experts are considered the proxy for the correct answer, and the diagnostic tree is evaluated to determine how close the diagnostic tree</w:t>
      </w:r>
      <w:r>
        <w:rPr>
          <w:rFonts w:eastAsia="Calibri" w:cs="Arial"/>
          <w:szCs w:val="24"/>
        </w:rPr>
        <w:t>’</w:t>
      </w:r>
      <w:r w:rsidRPr="00D76EF9">
        <w:rPr>
          <w:rFonts w:eastAsia="Calibri" w:cs="Arial"/>
          <w:szCs w:val="24"/>
        </w:rPr>
        <w:t xml:space="preserve">s answers are to the experts’ </w:t>
      </w:r>
      <w:r w:rsidRPr="00D76EF9">
        <w:rPr>
          <w:rFonts w:eastAsia="Calibri" w:cs="Arial"/>
          <w:szCs w:val="24"/>
        </w:rPr>
        <w:fldChar w:fldCharType="begin" w:fldLock="1"/>
      </w:r>
      <w:r>
        <w:rPr>
          <w:rFonts w:eastAsia="Calibri" w:cs="Arial"/>
          <w:szCs w:val="24"/>
        </w:rPr>
        <w:instrText>ADDIN CSL_CITATION {"citationItems":[{"id":"ITEM-1","itemData":{"DOI":"10.1007/s00170-002-1389-9","ISSN":"02683768","abstract":"An efficient expert system for machine fault diagnosis is developed. A new search method is proposed in this system to improve the efficiency of the diagnostic process. First of all, a diagnostic tree (a decision tree) is built by domain experts according to the functions of the devices in the machine. Then, the diagnostic priorities of nodes (devices) in the tree are determined based on a fuzzy group multiple attribute decision making method. A meta knowledge base for fault diagnosis is generated automatically based on the determined priorities to guide the diagnostic process. After that, a domain knowledge base that hypothesises possible faults for each device in the tree is generated by domain experts and/or manuals. At last, the inference process starts based on the meta knowledge base and hypothesises which device is the possible cause of failure. To validate the system performance, an illustrative example (VCR troubleshooting) is presented for demonstration purposes.","author":[{"dropping-particle":"","family":"Liu","given":"S. C.","non-dropping-particle":"","parse-names":false,"suffix":""},{"dropping-particle":"","family":"Liu","given":"S. Y.","non-dropping-particle":"","parse-names":false,"suffix":""}],"container-title":"International Journal of Advanced Manufacturing Technology","id":"ITEM-1","issue":"9","issued":{"date-parts":[["2003"]]},"page":"691-698","title":"An efficient expert system for machine fault diagnosis","type":"article-journal","volume":"21"},"uris":["http://www.mendeley.com/documents/?uuid=958afc9a-560e-4b4d-a66a-2e8dad0ab006"]}],"mendeley":{"formattedCitation":"[3]","plainTextFormattedCitation":"[3]","previouslyFormattedCitation":"[3]"},"properties":{"noteIndex":0},"schema":"https://github.com/citation-style-language/schema/raw/master/csl-citation.json"}</w:instrText>
      </w:r>
      <w:r w:rsidRPr="00D76EF9">
        <w:rPr>
          <w:rFonts w:eastAsia="Calibri" w:cs="Arial"/>
          <w:szCs w:val="24"/>
        </w:rPr>
        <w:fldChar w:fldCharType="separate"/>
      </w:r>
      <w:r w:rsidRPr="00F87EC4">
        <w:rPr>
          <w:rFonts w:eastAsia="Calibri" w:cs="Arial"/>
          <w:noProof/>
          <w:szCs w:val="24"/>
        </w:rPr>
        <w:t>[3]</w:t>
      </w:r>
      <w:r w:rsidRPr="00D76EF9">
        <w:rPr>
          <w:rFonts w:eastAsia="Calibri" w:cs="Arial"/>
          <w:szCs w:val="24"/>
        </w:rPr>
        <w:fldChar w:fldCharType="end"/>
      </w:r>
      <w:r w:rsidRPr="00D76EF9">
        <w:rPr>
          <w:rFonts w:eastAsia="Calibri" w:cs="Arial"/>
          <w:szCs w:val="24"/>
        </w:rPr>
        <w:t xml:space="preserve">.  </w:t>
      </w:r>
      <w:r>
        <w:rPr>
          <w:rFonts w:eastAsia="Calibri" w:cs="Arial"/>
          <w:szCs w:val="24"/>
        </w:rPr>
        <w:t>A</w:t>
      </w:r>
      <w:r w:rsidRPr="00D76EF9">
        <w:rPr>
          <w:rFonts w:eastAsia="Calibri" w:cs="Arial"/>
          <w:szCs w:val="24"/>
        </w:rPr>
        <w:t xml:space="preserve">ir handling units (AHUs) </w:t>
      </w:r>
      <w:r>
        <w:rPr>
          <w:rFonts w:eastAsia="Calibri" w:cs="Arial"/>
          <w:szCs w:val="24"/>
        </w:rPr>
        <w:t>are often tested in this way</w:t>
      </w:r>
      <w:r w:rsidRPr="00D76EF9">
        <w:rPr>
          <w:rFonts w:eastAsia="Calibri" w:cs="Arial"/>
          <w:szCs w:val="24"/>
        </w:rPr>
        <w:t xml:space="preserve"> </w:t>
      </w:r>
      <w:r w:rsidRPr="00D76EF9">
        <w:rPr>
          <w:rFonts w:eastAsia="Calibri" w:cs="Arial"/>
          <w:szCs w:val="24"/>
        </w:rPr>
        <w:fldChar w:fldCharType="begin" w:fldLock="1"/>
      </w:r>
      <w:r>
        <w:rPr>
          <w:rFonts w:eastAsia="Calibri" w:cs="Arial"/>
          <w:szCs w:val="24"/>
        </w:rPr>
        <w:instrText>ADDIN CSL_CITATION {"citationItems":[{"id":"ITEM-1","itemData":{"DOI":"10.1016/j.enbuild.2016.09.039","ISSN":"03787788","abstract":"Data-driven methods for fault detection and diagnosis of air handling units (AHUs) have attracted wide attention as they do not require high-level expert knowledge of the system of concern. This paper presents a decision tree based data-driven diagnostic strategy for AHUs, in which classification and regression tree (CART) algorithm is used for decision tree induction. A great advantage of the decision tree is that it can be understood and interpreted and therefore its reliability in fault diagnosis can be validated by both testing data and expert knowledge. A steady-state detector and a regression model are incorporated into the strategy to increase the interpretability of the diagnostic strategy developed. The proposed strategy is validated using the data from ASHRAE 1312-RP. It is shown that this strategy can achieve a good diagnostic performance with an average F-measure of 0.97. The interpretation of the diagnostic decision tree using expert knowledge showed that some diagnostic rules generated in the decision tree comply with expert knowledge. Nevertheless, the interpretation also indicated that some diagnostic rules generated are not reliable and some of them are only valid under certain operating conditions, which indirectly demonstrated the importance of the interpretability of fault diagnostic models developed using data-driven methods.","author":[{"dropping-particle":"","family":"Yan","given":"Rui","non-dropping-particle":"","parse-names":false,"suffix":""},{"dropping-particle":"","family":"Ma","given":"Zhenjun","non-dropping-particle":"","parse-names":false,"suffix":""},{"dropping-particle":"","family":"Zhao","given":"Yang","non-dropping-particle":"","parse-names":false,"suffix":""},{"dropping-particle":"","family":"Kokogiannakis","given":"Georgios","non-dropping-particle":"","parse-names":false,"suffix":""}],"container-title":"Energy and Buildings","id":"ITEM-1","issued":{"date-parts":[["2016"]]},"page":"37-45","publisher":"Elsevier B.V.","title":"A decision tree based data-driven diagnostic strategy for air handling units","type":"article-journal","volume":"133"},"uris":["http://www.mendeley.com/documents/?uuid=e447882b-b0b6-44c4-9c7a-162bb2f11026"]}],"mendeley":{"formattedCitation":"[20]","plainTextFormattedCitation":"[20]","previouslyFormattedCitation":"[20]"},"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[20]</w:t>
      </w:r>
      <w:r w:rsidRPr="00D76EF9">
        <w:rPr>
          <w:rFonts w:eastAsia="Calibri" w:cs="Arial"/>
          <w:szCs w:val="24"/>
        </w:rPr>
        <w:fldChar w:fldCharType="end"/>
      </w:r>
      <w:r w:rsidRPr="00D76EF9">
        <w:rPr>
          <w:rFonts w:eastAsia="Calibri" w:cs="Arial"/>
          <w:szCs w:val="24"/>
        </w:rPr>
        <w:t xml:space="preserve">. </w:t>
      </w:r>
    </w:p>
    <w:p w14:paraId="15A313C5" w14:textId="13D7FA4A" w:rsidR="00DD5338" w:rsidRDefault="00DD5338" w:rsidP="00880E8B">
      <w:pPr>
        <w:spacing w:before="120"/>
        <w:ind w:firstLine="202"/>
        <w:jc w:val="both"/>
        <w:rPr>
          <w:rFonts w:eastAsia="Calibri" w:cs="Arial"/>
          <w:szCs w:val="24"/>
        </w:rPr>
      </w:pPr>
      <w:bookmarkStart w:id="13" w:name="_Hlk63158035"/>
      <w:r>
        <w:rPr>
          <w:rFonts w:eastAsia="Calibri" w:cs="Arial"/>
          <w:szCs w:val="24"/>
        </w:rPr>
        <w:t xml:space="preserve">The principal problem with comparison approaches is only the overall performance of the tree is evaluated.  It is possible for the tree to overall perform better than other systems, but perform worse on particular problems.  Also, in some cases, diagnostic trees perform better at comparisons because of factors unrelated to the quality of the tree.  </w:t>
      </w:r>
      <w:r w:rsidRPr="000A668B">
        <w:rPr>
          <w:rFonts w:eastAsia="Calibri" w:cs="Arial"/>
          <w:szCs w:val="24"/>
        </w:rPr>
        <w:t xml:space="preserve">For example, diagnostic tree systems can outperform human experts simply because they are more consistent, do not suffer from fatigue, and are immune to cognitive biases like framing  </w:t>
      </w:r>
      <w:r w:rsidRPr="000A668B">
        <w:rPr>
          <w:rFonts w:eastAsia="Calibri" w:cs="Arial"/>
          <w:szCs w:val="24"/>
        </w:rPr>
        <w:fldChar w:fldCharType="begin" w:fldLock="1"/>
      </w:r>
      <w:r>
        <w:rPr>
          <w:rFonts w:eastAsia="Calibri" w:cs="Arial"/>
          <w:szCs w:val="24"/>
        </w:rPr>
        <w:instrText>ADDIN CSL_CITATION {"citationItems":[{"id":"ITEM-1","itemData":{"DOI":"10.1109/MEX.1987.5006538","ISSN":"08859000","abstract":"The authors seek to establish validation as an important concern in expert systems research and development. Problems in expert system validation are discussed, and both qualitative and quantitative methods for validating expert systems are presented.","author":[{"dropping-particle":"","family":"O'Keefe","given":"Robert M.","non-dropping-particle":"","parse-names":false,"suffix":""},{"dropping-particle":"","family":"Balci","given":"Osman","non-dropping-particle":"","parse-names":false,"suffix":""},{"dropping-particle":"","family":"Smith","given":"Eric P.","non-dropping-particle":"","parse-names":false,"suffix":""}],"container-title":"IEEE Expert","id":"ITEM-1","issue":"4","issued":{"date-parts":[["1988"]]},"page":"81-90","title":"Validating Expert System Performance.","type":"article","volume":"2"},"uris":["http://www.mendeley.com/documents/?uuid=6397aafc-13a0-4236-b564-7a18bb18a00a"]}],"mendeley":{"formattedCitation":"[7]","plainTextFormattedCitation":"[7]","previouslyFormattedCitation":"[7]"},"properties":{"noteIndex":0},"schema":"https://github.com/citation-style-language/schema/raw/master/csl-citation.json"}</w:instrText>
      </w:r>
      <w:r w:rsidRPr="000A668B">
        <w:rPr>
          <w:rFonts w:eastAsia="Calibri" w:cs="Arial"/>
          <w:szCs w:val="24"/>
        </w:rPr>
        <w:fldChar w:fldCharType="separate"/>
      </w:r>
      <w:r w:rsidRPr="00B84BCF">
        <w:rPr>
          <w:rFonts w:eastAsia="Calibri" w:cs="Arial"/>
          <w:noProof/>
          <w:szCs w:val="24"/>
        </w:rPr>
        <w:t>[7]</w:t>
      </w:r>
      <w:r w:rsidRPr="000A668B">
        <w:rPr>
          <w:rFonts w:eastAsia="Calibri" w:cs="Arial"/>
          <w:szCs w:val="24"/>
        </w:rPr>
        <w:fldChar w:fldCharType="end"/>
      </w:r>
      <w:r w:rsidRPr="000A668B">
        <w:rPr>
          <w:rFonts w:eastAsia="Calibri" w:cs="Arial"/>
          <w:szCs w:val="24"/>
        </w:rPr>
        <w:t xml:space="preserve">.  </w:t>
      </w:r>
      <w:bookmarkEnd w:id="13"/>
    </w:p>
    <w:p w14:paraId="2C3A2E35" w14:textId="77777777" w:rsidR="00DD5338" w:rsidRPr="00D76EF9" w:rsidRDefault="00DD5338" w:rsidP="00880E8B">
      <w:pPr>
        <w:pStyle w:val="Heading2"/>
        <w:jc w:val="both"/>
        <w:rPr>
          <w:rFonts w:eastAsia="Calibri"/>
        </w:rPr>
      </w:pPr>
      <w:r w:rsidRPr="00D76EF9">
        <w:rPr>
          <w:rFonts w:eastAsia="Calibri"/>
        </w:rPr>
        <w:t>Quantitative</w:t>
      </w:r>
    </w:p>
    <w:p w14:paraId="4F0B5F3A" w14:textId="77777777" w:rsidR="00DD5338" w:rsidRPr="00D76EF9" w:rsidRDefault="00DD5338" w:rsidP="00880E8B">
      <w:pPr>
        <w:spacing w:before="120"/>
        <w:ind w:firstLine="202"/>
        <w:jc w:val="both"/>
        <w:rPr>
          <w:rFonts w:eastAsia="Calibri" w:cs="Arial"/>
          <w:szCs w:val="24"/>
        </w:rPr>
      </w:pPr>
      <w:r w:rsidRPr="00D76EF9">
        <w:rPr>
          <w:rFonts w:eastAsia="Calibri" w:cs="Arial"/>
          <w:szCs w:val="24"/>
        </w:rPr>
        <w:t>Various quantitative techniques have been proposed for validating diagnostic trees.  However, these quantitative techniques are generally applied in isolation, rather than being incorporated into systematic methodologies.  Most quantitative techniques also suffer from problems in their measurements.</w:t>
      </w:r>
      <w:r>
        <w:rPr>
          <w:rFonts w:eastAsia="Calibri" w:cs="Arial"/>
          <w:szCs w:val="24"/>
        </w:rPr>
        <w:t xml:space="preserve"> </w:t>
      </w:r>
      <w:r w:rsidRPr="00D76EF9">
        <w:rPr>
          <w:rFonts w:eastAsia="Calibri" w:cs="Arial"/>
          <w:szCs w:val="24"/>
        </w:rPr>
        <w:t>Applicable</w:t>
      </w:r>
      <w:r>
        <w:rPr>
          <w:rFonts w:eastAsia="Calibri" w:cs="Arial"/>
          <w:szCs w:val="24"/>
        </w:rPr>
        <w:t xml:space="preserve"> quantitative</w:t>
      </w:r>
      <w:r w:rsidRPr="00D76EF9">
        <w:rPr>
          <w:rFonts w:eastAsia="Calibri" w:cs="Arial"/>
          <w:szCs w:val="24"/>
        </w:rPr>
        <w:t xml:space="preserve"> techniques include edit distance, factor analysis and cluster analysis.</w:t>
      </w:r>
    </w:p>
    <w:p w14:paraId="025101DA" w14:textId="77777777" w:rsidR="00DD5338" w:rsidRPr="00D76EF9" w:rsidRDefault="00DD5338" w:rsidP="00880E8B">
      <w:pPr>
        <w:spacing w:before="120"/>
        <w:jc w:val="both"/>
        <w:rPr>
          <w:rFonts w:eastAsia="Calibri" w:cs="Arial"/>
          <w:szCs w:val="24"/>
        </w:rPr>
      </w:pPr>
      <w:r w:rsidRPr="00D76EF9">
        <w:rPr>
          <w:rFonts w:eastAsia="Calibri" w:cs="Arial"/>
          <w:i/>
          <w:szCs w:val="24"/>
        </w:rPr>
        <w:t>Edit distance.</w:t>
      </w:r>
      <w:r w:rsidRPr="00D76EF9">
        <w:rPr>
          <w:rFonts w:eastAsia="Calibri" w:cs="Arial"/>
          <w:szCs w:val="24"/>
        </w:rPr>
        <w:t xml:space="preserve"> When an edit distance algorithm </w:t>
      </w:r>
      <w:r>
        <w:rPr>
          <w:rFonts w:eastAsia="Calibri" w:cs="Arial"/>
          <w:szCs w:val="24"/>
        </w:rPr>
        <w:t xml:space="preserve">is applied </w:t>
      </w:r>
      <w:r w:rsidRPr="00D76EF9">
        <w:rPr>
          <w:rFonts w:eastAsia="Calibri" w:cs="Arial"/>
          <w:szCs w:val="24"/>
        </w:rPr>
        <w:t xml:space="preserve">to a diagnostic tree, one assumes two diagnostic trees built for the same purpose- for example, two separate trees developed by two independent experts.  The edit distance algorithm is applied to identify how dissimilar the two trees </w:t>
      </w:r>
      <w:r>
        <w:rPr>
          <w:rFonts w:eastAsia="Calibri" w:cs="Arial"/>
          <w:szCs w:val="24"/>
        </w:rPr>
        <w:t xml:space="preserve">are </w:t>
      </w:r>
      <w:r w:rsidRPr="00D76EF9">
        <w:rPr>
          <w:rFonts w:eastAsia="Calibri" w:cs="Arial"/>
          <w:szCs w:val="24"/>
        </w:rPr>
        <w:t>with the implication this dissimilarity indicates problems with one or both trees.</w:t>
      </w:r>
    </w:p>
    <w:p w14:paraId="78C0AA22" w14:textId="4DF788C8" w:rsidR="00DD5338" w:rsidRPr="00D76EF9" w:rsidRDefault="00DD5338" w:rsidP="00880E8B">
      <w:pPr>
        <w:spacing w:before="120"/>
        <w:ind w:firstLine="202"/>
        <w:jc w:val="both"/>
        <w:rPr>
          <w:rFonts w:eastAsia="Calibri" w:cs="Arial"/>
          <w:szCs w:val="24"/>
        </w:rPr>
      </w:pPr>
      <w:r w:rsidRPr="00D76EF9">
        <w:rPr>
          <w:rFonts w:eastAsia="Calibri" w:cs="Arial"/>
          <w:szCs w:val="24"/>
        </w:rPr>
        <w:t xml:space="preserve">Edit distance algorithms calculate the number of changes (typically identified as insertions, deletions, and updates) necessary to transform one tree into another </w:t>
      </w:r>
      <w:r w:rsidRPr="00D76EF9">
        <w:rPr>
          <w:rFonts w:eastAsia="Calibri" w:cs="Arial"/>
          <w:szCs w:val="24"/>
        </w:rPr>
        <w:fldChar w:fldCharType="begin" w:fldLock="1"/>
      </w:r>
      <w:r>
        <w:rPr>
          <w:rFonts w:eastAsia="Calibri" w:cs="Arial"/>
          <w:szCs w:val="24"/>
        </w:rPr>
        <w:instrText>ADDIN CSL_CITATION {"citationItems":[{"id":"ITEM-1","itemData":{"author":[{"dropping-particle":"","family":"Green","given":"Kris H","non-dropping-particle":"","parse-names":false,"suffix":""},{"dropping-particle":"","family":"Ricca","given":"Bernard P","non-dropping-particle":"","parse-names":false,"suffix":""}],"container-title":"Quality and Quantity","id":"ITEM-1","issue":"5","issued":{"date-parts":[["2014"]]},"page":"2037-2060","title":"Graph theoretic methods for the analysis of data in developing systems","type":"article-journal","volume":"49"},"uris":["http://www.mendeley.com/documents/?uuid=f963561d-52b2-4352-ad6c-688b48af17fd"]},{"id":"ITEM-2","itemData":{"DOI":"10.1016/j.dss.2017.06.002","ISSN":"01679236","abstract":"Process model matchers automatically identify activities that represent similar functionality in different process models. As such, they support various tasks in business process management including model collection management and process design. Yet, comparative evaluations revealed that state-of-the-art matchers fall short of offering high performance across varied datasets. To facilitate the development of more effective matchers, we systematically study, if and how the analysis of control flow information in process models can contribute to the matching process. In particular, we empirically examine the validity of analysis options and use our findings to automate the adaptation of matcher configurations to model collections.","author":[{"dropping-particle":"","family":"Klinkmüller","given":"Christopher","non-dropping-particle":"","parse-names":false,"suffix":""},{"dropping-particle":"","family":"Weber","given":"Ingo","non-dropping-particle":"","parse-names":false,"suffix":""}],"container-title":"Decision Support Systems","id":"ITEM-2","issued":{"date-parts":[["2017"]]},"page":"6-14","title":"Analyzing control flow information to improve the effectiveness of process model matching techniques","type":"article-journal","volume":"100"},"uris":["http://www.mendeley.com/documents/?uuid=19862a1d-2111-4155-b2b5-6e3e74d297ff"]}],"mendeley":{"formattedCitation":"[21], [22]","plainTextFormattedCitation":"[21], [22]","previouslyFormattedCitation":"[21], [22]"},"properties":{"noteIndex":0},"schema":"https://github.com/citation-style-language/schema/raw/master/csl-citation.json"}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[21], [22]</w:t>
      </w:r>
      <w:r w:rsidRPr="00D76EF9">
        <w:rPr>
          <w:rFonts w:eastAsia="Calibri" w:cs="Arial"/>
          <w:szCs w:val="24"/>
        </w:rPr>
        <w:fldChar w:fldCharType="end"/>
      </w:r>
      <w:r w:rsidRPr="00D76EF9">
        <w:rPr>
          <w:rFonts w:eastAsia="Calibri" w:cs="Arial"/>
          <w:szCs w:val="24"/>
        </w:rPr>
        <w:t>.  There are a number of limitations of edit distance algorithms for facilitating diagnostic tree validation.  First, edit distance algorithms produce summary statistics on the overall similarity of two trees.  These do not facilitate a diagnosis of errors.  They do not, for example, tell us that most errors occur in the top of the tree (very bad) or at the bottom of the tree (not so serious)-or tell us that most of the errors are occurring in the children of node 1. Second, edit-distance measures do not take into account sample size. Clearly if there are two trees, each having 50 nodes, where 10 changes are required to transform one into the other, this is different from two trees, each having 500 nodes where only 10 changes are required. In statistical thinking, we want to compare the statistic to some probability distribution to standardize results according to “sample size”. We then calculate confidence intervals or p values of significance, where the threshold (typically 0.05 or 0.01) is sample size independent. The tree edit-distance literature has no equivalent analogue.</w:t>
      </w:r>
    </w:p>
    <w:p w14:paraId="124BE56D" w14:textId="77777777" w:rsidR="00DD5338" w:rsidRPr="00D76EF9" w:rsidRDefault="00DD5338" w:rsidP="00880E8B">
      <w:pPr>
        <w:spacing w:before="120"/>
        <w:jc w:val="both"/>
        <w:rPr>
          <w:rFonts w:eastAsia="Calibri" w:cs="Arial"/>
          <w:szCs w:val="24"/>
        </w:rPr>
      </w:pPr>
      <w:r w:rsidRPr="00D76EF9">
        <w:rPr>
          <w:rFonts w:eastAsia="Calibri" w:cs="Arial"/>
          <w:i/>
          <w:szCs w:val="24"/>
        </w:rPr>
        <w:t>Factor analysis.</w:t>
      </w:r>
      <w:r w:rsidRPr="00D76EF9">
        <w:rPr>
          <w:rFonts w:eastAsia="Calibri" w:cs="Arial"/>
          <w:szCs w:val="24"/>
        </w:rPr>
        <w:t xml:space="preserve"> Factor analytic techniques have also been proposed for diagnostic trees</w:t>
      </w:r>
      <w:r>
        <w:rPr>
          <w:rFonts w:eastAsia="Calibri" w:cs="Arial"/>
          <w:szCs w:val="24"/>
        </w:rPr>
        <w:t xml:space="preserve"> </w:t>
      </w:r>
      <w:r>
        <w:rPr>
          <w:rFonts w:eastAsia="Calibri" w:cs="Arial"/>
          <w:szCs w:val="24"/>
        </w:rPr>
        <w:fldChar w:fldCharType="begin" w:fldLock="1"/>
      </w:r>
      <w:r>
        <w:rPr>
          <w:rFonts w:eastAsia="Calibri" w:cs="Arial"/>
          <w:szCs w:val="24"/>
        </w:rPr>
        <w:instrText>ADDIN CSL_CITATION {"citationItems":[{"id":"ITEM-1","itemData":{"DOI":"10.1006/cogp.2000.0746","ISBN":"0010-0285","ISSN":"0010-0285","PMID":"11259107","abstract":"The authors present a structural analysis of three spatial diagrams-matrices, networks, and hierarchies-that specifies 10 properties on which these diagrammatic representations are hypothesized to differ: global structure, building block, number of sets, item/link constraints, item distinguishability, link type, absence of a relation, linking relations, path, and traversal. Each property has a \"value\" for each diagram, and these property values constitute the applicability conditions for the representations. Twenty-three college students (computer science majors and math educators) selected the type of diagram they thought would be most efficient for organizing the information in each of 18 short scenarios and verbally justified the reasons for their selections. The verbal protocols were coded with respect to the structural analysis. Both the representation selection and verbal justification data provided strong support for the structural analysis. Additionally, a factor analysis of students' justifications indicated that the organization of their knowledge is consistent with the structural analysis. Students' use of the structural properties to select appropriate representations and to justify those selections indicates that the structural analysis has psychological force.","author":[{"dropping-particle":"","family":"Novick","given":"L R","non-dropping-particle":"","parse-names":false,"suffix":""},{"dropping-particle":"","family":"Hurley","given":"S M","non-dropping-particle":"","parse-names":false,"suffix":""}],"container-title":"Cognitive psychology","id":"ITEM-1","issued":{"date-parts":[["2001"]]},"page":"158-216","title":"To Matrix, Network, or Hierarchy: That Is the Question.","type":"article-journal","volume":"42"},"uris":["http://www.mendeley.com/documents/?uuid=24461f8e-22c6-4e14-9922-c54c66a4b010"]}],"mendeley":{"formattedCitation":"[23]","plainTextFormattedCitation":"[23]","previouslyFormattedCitation":"[23]"},"properties":{"noteIndex":0},"schema":"https://github.com/citation-style-language/schema/raw/master/csl-citation.json"}</w:instrText>
      </w:r>
      <w:r>
        <w:rPr>
          <w:rFonts w:eastAsia="Calibri" w:cs="Arial"/>
          <w:szCs w:val="24"/>
        </w:rPr>
        <w:fldChar w:fldCharType="separate"/>
      </w:r>
      <w:r w:rsidRPr="00E65D3B">
        <w:rPr>
          <w:rFonts w:eastAsia="Calibri" w:cs="Arial"/>
          <w:noProof/>
          <w:szCs w:val="24"/>
        </w:rPr>
        <w:t>[23]</w:t>
      </w:r>
      <w:r>
        <w:rPr>
          <w:rFonts w:eastAsia="Calibri" w:cs="Arial"/>
          <w:szCs w:val="24"/>
        </w:rPr>
        <w:fldChar w:fldCharType="end"/>
      </w:r>
      <w:r w:rsidRPr="00D76EF9">
        <w:rPr>
          <w:rFonts w:eastAsia="Calibri" w:cs="Arial"/>
          <w:szCs w:val="24"/>
        </w:rPr>
        <w:t xml:space="preserve">. Factor analysis works by grouping together items that are highly correlated, or testing a proposed model of how correlated items are to the actual correlation between items </w:t>
      </w:r>
      <w:r w:rsidRPr="00D76EF9">
        <w:rPr>
          <w:rFonts w:eastAsia="Calibri" w:cs="Arial"/>
          <w:szCs w:val="24"/>
        </w:rPr>
        <w:fldChar w:fldCharType="begin" w:fldLock="1"/>
      </w:r>
      <w:r>
        <w:rPr>
          <w:rFonts w:eastAsia="Calibri" w:cs="Arial"/>
          <w:szCs w:val="24"/>
        </w:rPr>
        <w:instrText>ADDIN CSL_CITATION {"citationItems":[{"id":"ITEM-1","itemData":{"DOI":"10.1016/j.ijpharm.2011.02.019","ISBN":"9780138132637","ISSN":"18733476","PMID":"21335075","abstract":"We provide an overview of latent variable methods used in pharmaceutics and integrated with advanced characterization techniques such as vibrational spectroscopy. The basics of the most common latent variable methods, principal component analysis (PCA), principal component regression (PCR) and partial least-squares (PLS) regression, are presented. Multiple linear regression (MLR) and methods for improved interpretation, variable selection, classification and validation are also briefly discussed. Extensive use of the methods is demonstrated by compilation of the recent literature.","author":[{"dropping-particle":"","family":"Hair","given":"Joseph F","non-dropping-particle":"","parse-names":false,"suffix":""},{"dropping-particle":"","family":"Anderson","given":"Rolph E","non-dropping-particle":"","parse-names":false,"suffix":""},{"dropping-particle":"","family":"Tatham","given":"Ronald L","non-dropping-particle":"","parse-names":false,"suffix":""},{"dropping-particle":"","family":"Black","given":"William C","non-dropping-particle":"","parse-names":false,"suffix":""}],"chapter-number":"751","collection-title":"Journal of Econometrics","container-title":"International Journal of Pharmaceutics","editor":[{"dropping-particle":"","family":"Hair","given":"Joseph F","non-dropping-particle":"","parse-names":false,"suffix":""},{"dropping-particle":"","family":"Anderson","given":"Ralph E","non-dropping-particle":"","parse-names":false,"suffix":""},{"dropping-particle":"","family":"Tatham","given":"Ronald L","non-dropping-particle":"","parse-names":false,"suffix":""},{"dropping-particle":"","family":"Black","given":"William C","non-dropping-particle":"","parse-names":false,"suffix":""}],"id":"ITEM-1","issue":"6","issued":{"date-parts":[["1998"]]},"number-of-pages":"816","publisher":"Prentice Hall","title":"Multivariate Data Analysis","type":"book","volume":"1"},"uris":["http://www.mendeley.com/documents/?uuid=7cb77e6b-4f1d-4fe1-8d5f-6ec9b615400d"]}],"mendeley":{"formattedCitation":"[24]","plainTextFormattedCitation":"[24]","previouslyFormattedCitation":"[24]"},"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[24]</w:t>
      </w:r>
      <w:r w:rsidRPr="00D76EF9">
        <w:rPr>
          <w:rFonts w:eastAsia="Calibri" w:cs="Arial"/>
          <w:szCs w:val="24"/>
        </w:rPr>
        <w:fldChar w:fldCharType="end"/>
      </w:r>
      <w:r w:rsidRPr="00D76EF9">
        <w:rPr>
          <w:rFonts w:eastAsia="Calibri" w:cs="Arial"/>
          <w:szCs w:val="24"/>
        </w:rPr>
        <w:t xml:space="preserve">.  Factor analysis is difficult to apply to diagnostic trees, because traditional factor analysis was designed for tabular, rather than the nested data found in trees.  As a result, factor analysis can only be applied to very simple trees of low nesting </w:t>
      </w:r>
      <w:r w:rsidRPr="00D76EF9">
        <w:rPr>
          <w:rFonts w:eastAsia="Calibri" w:cs="Arial"/>
          <w:szCs w:val="24"/>
        </w:rPr>
        <w:fldChar w:fldCharType="begin" w:fldLock="1"/>
      </w:r>
      <w:r>
        <w:rPr>
          <w:rFonts w:eastAsia="Calibri" w:cs="Arial"/>
          <w:szCs w:val="24"/>
        </w:rPr>
        <w:instrText>ADDIN CSL_CITATION {"citationItems":[{"id":"ITEM-1","itemData":{"DOI":"10.1177/154193120504900512","ISBN":"094528926X","ISSN":"10711813","abstract":"Software and product designers use card sorting to understand item groups and relationships. In the usability community, a common method of formal statistical analysis for open card sort data is hierarchical cluster analysis, which results in a tree of the items sorted into distinct, nested clusters. Hierarchical cluster analysis is appropriate for highly structured settings, like software menus. However, many situations call for softer clusters, such as designing websites where multiple pages link to the same target page. Factor analysis summarizes the categories created in card sorts and generates clusters that can overlap. This paper explains how to prepare card sort data for statistical analysis, describes the results of factor analysis and how to interpret them, and discusses when hierarchical cluster analysis and factor analysis are appropriate.","author":[{"dropping-particle":"","family":"Capra","given":"Miranda G.","non-dropping-particle":"","parse-names":false,"suffix":""}],"container-title":"Proceedings of the Human Factors and Ergonomics Society","id":"ITEM-1","issued":{"date-parts":[["2005"]]},"page":"691-695","title":"Factor analysis of card sort data: An alternative to hierarchical cluster analysis","type":"article-journal"},"uris":["http://www.mendeley.com/documents/?uuid=af820fb8-a1d8-4073-9094-1f20a6683400"]},{"id":"ITEM-2","itemData":{"abstract":"A large number of software metrics have been proposed for measuring the complexity Object-Oriented programs. These metrics were grouped into system, tree, and class metrics. Factor analysis was applied to each group which to obtain a small number (5 or less) of complexity domains by identifying collinear metrics. This reduction in complexity domains should faciliate the validation of the metrics and should provide a better understanding of OOP complexity factors. A side effect of this reduction is a plausible explanation of the controversy about the effectiveness of traditional metrics in measuring OOP complexity.","author":[{"dropping-particle":"","family":"Lake","given":"A.","non-dropping-particle":"","parse-names":false,"suffix":""},{"dropping-particle":"","family":"Cook","given":"C.","non-dropping-particle":"","parse-names":false,"suffix":""}],"container-title":"Proceedings of the Sixth Annual Oregon Workshop on Software Metrics","id":"ITEM-2","issued":{"date-parts":[["1994"]]},"page":"1-15","title":"Use of factor analysis to develop OOP software complexity metrics","type":"article-journal"},"uris":["http://www.mendeley.com/documents/?uuid=e0462e75-3c2b-410a-8980-bf944f4965ea"]},{"id":"ITEM-3","itemData":{"DOI":"10.1080/07481756.2005.11909764","ISSN":"07481756","abstract":"The author identifies 3 main purposes of conducting confirmatory factor analysis (CFA), and their different requirements on goodness-of-fit assessment. For a better understanding of fit indices, he proposes a hierarchical classification scheme based on J. S. Tanaka's (1993) multifaceted conceptions and discusses how to assess goodness of fit for different purposes in CFA.","author":[{"dropping-particle":"","family":"Sun","given":"Jun","non-dropping-particle":"","parse-names":false,"suffix":""}],"container-title":"Measurement and Evaluation in Counseling and Development","id":"ITEM-3","issue":"4","issued":{"date-parts":[["2005"]]},"page":"240-256","title":"Assessing goodness of fit in confirmatory factor analysis","type":"article-journal","volume":"37"},"uris":["http://www.mendeley.com/documents/?uuid=bca66e62-6fb0-4968-8fc2-69c89f3fa390"]}],"mendeley":{"formattedCitation":"[25]–[27]","plainTextFormattedCitation":"[25]–[27]","previouslyFormattedCitation":"[25]–[27]"},"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[25]–[27]</w:t>
      </w:r>
      <w:r w:rsidRPr="00D76EF9">
        <w:rPr>
          <w:rFonts w:eastAsia="Calibri" w:cs="Arial"/>
          <w:szCs w:val="24"/>
        </w:rPr>
        <w:fldChar w:fldCharType="end"/>
      </w:r>
      <w:r w:rsidRPr="00D76EF9">
        <w:rPr>
          <w:rFonts w:eastAsia="Calibri" w:cs="Arial"/>
          <w:szCs w:val="24"/>
        </w:rPr>
        <w:t>.  In addition, highly nested trees have statistical properties that confound factor analysis.  In a good, nested diagnostic tree, the children of a particular item are highly orthogonal (i.e., uncorrelated).  However, these children are moderately correlated with their parent.  For example, consider the items “(1) I c</w:t>
      </w:r>
      <w:r>
        <w:rPr>
          <w:rFonts w:eastAsia="Calibri" w:cs="Arial"/>
          <w:szCs w:val="24"/>
        </w:rPr>
        <w:t>an edit a photo using Instagram</w:t>
      </w:r>
      <w:r w:rsidRPr="00D76EF9">
        <w:rPr>
          <w:rFonts w:eastAsia="Calibri" w:cs="Arial"/>
          <w:szCs w:val="24"/>
        </w:rPr>
        <w:t xml:space="preserve">,” “(2) I know how to crop my photo” and “(3) I know how to apply effects to my photo.” (2), and (3) should relate to (1), because (1) </w:t>
      </w:r>
      <w:r>
        <w:rPr>
          <w:rFonts w:eastAsia="Calibri" w:cs="Arial"/>
          <w:szCs w:val="24"/>
        </w:rPr>
        <w:t>is</w:t>
      </w:r>
      <w:r w:rsidRPr="00D76EF9">
        <w:rPr>
          <w:rFonts w:eastAsia="Calibri" w:cs="Arial"/>
          <w:szCs w:val="24"/>
        </w:rPr>
        <w:t xml:space="preserve"> their parent</w:t>
      </w:r>
      <w:r>
        <w:rPr>
          <w:rFonts w:eastAsia="Calibri" w:cs="Arial"/>
          <w:szCs w:val="24"/>
        </w:rPr>
        <w:t>, if you know how to crop or apply effects, you know something about editing photos.</w:t>
      </w:r>
      <w:r w:rsidRPr="00D76EF9">
        <w:rPr>
          <w:rFonts w:eastAsia="Calibri" w:cs="Arial"/>
          <w:szCs w:val="24"/>
        </w:rPr>
        <w:t xml:space="preserve"> But, (2), and (3) are orthogonal to each other- knowledge of cropping should not impact knowledge of effect application and vice-versa. Hence, they should not have a strong correlation with each other. Traditional </w:t>
      </w:r>
      <w:r>
        <w:rPr>
          <w:rFonts w:eastAsia="Calibri" w:cs="Arial"/>
          <w:szCs w:val="24"/>
        </w:rPr>
        <w:t xml:space="preserve">factor analytic measures </w:t>
      </w:r>
      <w:r w:rsidRPr="00D76EF9">
        <w:rPr>
          <w:rFonts w:eastAsia="Calibri" w:cs="Arial"/>
          <w:szCs w:val="24"/>
        </w:rPr>
        <w:t xml:space="preserve">such as factor loading, “which is the correlation between the original variables and the factors, and the key to understanding of the nature of a particular factor” </w:t>
      </w:r>
      <w:r w:rsidRPr="00D76EF9">
        <w:rPr>
          <w:rFonts w:eastAsia="Calibri" w:cs="Arial"/>
          <w:szCs w:val="24"/>
        </w:rPr>
        <w:fldChar w:fldCharType="begin" w:fldLock="1"/>
      </w:r>
      <w:r>
        <w:rPr>
          <w:rFonts w:eastAsia="Calibri" w:cs="Arial"/>
          <w:szCs w:val="24"/>
        </w:rPr>
        <w:instrText>ADDIN CSL_CITATION {"citationItems":[{"id":"ITEM-1","itemData":{"DOI":"10.1016/j.ijpharm.2011.02.019","ISBN":"9780138132637","ISSN":"18733476","PMID":"21335075","abstract":"We provide an overview of latent variable methods used in pharmaceutics and integrated with advanced characterization techniques such as vibrational spectroscopy. The basics of the most common latent variable methods, principal component analysis (PCA), principal component regression (PCR) and partial least-squares (PLS) regression, are presented. Multiple linear regression (MLR) and methods for improved interpretation, variable selection, classification and validation are also briefly discussed. Extensive use of the methods is demonstrated by compilation of the recent literature.","author":[{"dropping-particle":"","family":"Hair","given":"Joseph F","non-dropping-particle":"","parse-names":false,"suffix":""},{"dropping-particle":"","family":"Anderson","given":"Rolph E","non-dropping-particle":"","parse-names":false,"suffix":""},{"dropping-particle":"","family":"Tatham","given":"Ronald L","non-dropping-particle":"","parse-names":false,"suffix":""},{"dropping-particle":"","family":"Black","given":"William C","non-dropping-particle":"","parse-names":false,"suffix":""}],"chapter-number":"751","collection-title":"Journal of Econometrics","container-title":"International Journal of Pharmaceutics","editor":[{"dropping-particle":"","family":"Hair","given":"Joseph F","non-dropping-particle":"","parse-names":false,"suffix":""},{"dropping-particle":"","family":"Anderson","given":"Ralph E","non-dropping-particle":"","parse-names":false,"suffix":""},{"dropping-particle":"","family":"Tatham","given":"Ronald L","non-dropping-particle":"","parse-names":false,"suffix":""},{"dropping-particle":"","family":"Black","given":"William C","non-dropping-particle":"","parse-names":false,"suffix":""}],"id":"ITEM-1","issue":"6","issued":{"date-parts":[["1998"]]},"number-of-pages":"816","publisher":"Prentice Hall","title":"Multivariate Data Analysis","type":"book","volume":"1"},"locator":"89","uris":["http://www.mendeley.com/documents/?uuid=7cb77e6b-4f1d-4fe1-8d5f-6ec9b615400d"]}],"mendeley":{"formattedCitation":"[24, p. 89]","plainTextFormattedCitation":"[24, p. 89]","previouslyFormattedCitation":"[24, p. 89]"},"properties":{"noteIndex":0},"schema":"https://github.com/citation-style-language/schema/raw/master/csl-citation.json"}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[24, p. 89]</w:t>
      </w:r>
      <w:r w:rsidRPr="00D76EF9">
        <w:rPr>
          <w:rFonts w:eastAsia="Calibri" w:cs="Arial"/>
          <w:szCs w:val="24"/>
        </w:rPr>
        <w:fldChar w:fldCharType="end"/>
      </w:r>
      <w:r w:rsidRPr="00D76EF9">
        <w:rPr>
          <w:rFonts w:eastAsia="Calibri" w:cs="Arial"/>
          <w:szCs w:val="24"/>
        </w:rPr>
        <w:t xml:space="preserve"> or structural-equation model-based confirmatory factor analysis </w:t>
      </w:r>
      <w:r w:rsidRPr="00D76EF9">
        <w:rPr>
          <w:rFonts w:eastAsia="Calibri" w:cs="Arial"/>
          <w:szCs w:val="24"/>
        </w:rPr>
        <w:fldChar w:fldCharType="begin" w:fldLock="1"/>
      </w:r>
      <w:r>
        <w:rPr>
          <w:rFonts w:eastAsia="Calibri" w:cs="Arial"/>
          <w:szCs w:val="24"/>
        </w:rPr>
        <w:instrText>ADDIN CSL_CITATION {"citationItems":[{"id":"ITEM-1","itemData":{"DOI":"10.1037/0033-2909.103.3.411","ISBN":"0033-2909\\r1939-1455","ISSN":"1939-1455","abstract":"In this article, we provide guidance for substantive researchers on the use of structural equation modeling in practice for theory testing and development. We present a comprehensive, two-step modeling approach that employs a series of nested models and sequential chi-square difference tests. We discuss the comparative advantages of this approach over a one-step approach. Considerations in specification, assessment of fit, and respecification of measurement models using confirmatory factor analysis are reviewed. As background to the two-step approach, the distinction between ex- ploratory and confirmatory analysis, the distinction between complementary approaches for theory testing versus predictive application, and some developments in estimation methods also are dis- cussed.","author":[{"dropping-particle":"","family":"Anderson","given":"James","non-dropping-particle":"","parse-names":false,"suffix":""},{"dropping-particle":"","family":"Gerbing","given":"David","non-dropping-particle":"","parse-names":false,"suffix":""}],"container-title":"Psychological Bulletin","id":"ITEM-1","issue":"3","issued":{"date-parts":[["1988"]]},"page":"411-423","title":"Structural Equation Modeling in Practice: A Review and Recommended Two-Step Approach","type":"article-journal","volume":"103"},"uris":["http://www.mendeley.com/documents/?uuid=5d1d6f8d-c2c4-41e8-b4d2-095c93b40a96"]},{"id":"ITEM-2","itemData":{"ISBN":"9781606238776","author":[{"dropping-particle":"","family":"Kline","given":"Rex B","non-dropping-particle":"","parse-names":false,"suffix":""}],"edition":"Third","id":"ITEM-2","issued":{"date-parts":[["1998"]]},"publisher":"The Guilford Press","publisher-place":"New York","title":"Principles and Practice of Structural Equation Modeling","type":"book"},"uris":["http://www.mendeley.com/documents/?uuid=3c934623-19a5-4798-9e61-9aac5698f0f1"]}],"mendeley":{"formattedCitation":"[28], [29]","plainTextFormattedCitation":"[28], [29]","previouslyFormattedCitation":"[28], [29]"},"properties":{"noteIndex":0},"schema":"https://github.com/citation-style-language/schema/raw/master/csl-citation.json"}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[28], [29]</w:t>
      </w:r>
      <w:r w:rsidRPr="00D76EF9">
        <w:rPr>
          <w:rFonts w:eastAsia="Calibri" w:cs="Arial"/>
          <w:szCs w:val="24"/>
        </w:rPr>
        <w:fldChar w:fldCharType="end"/>
      </w:r>
      <w:r w:rsidRPr="00D76EF9">
        <w:rPr>
          <w:rFonts w:eastAsia="Calibri" w:cs="Arial"/>
          <w:szCs w:val="24"/>
        </w:rPr>
        <w:t xml:space="preserve"> have limited applicability</w:t>
      </w:r>
      <w:r>
        <w:rPr>
          <w:rFonts w:eastAsia="Calibri" w:cs="Arial"/>
          <w:szCs w:val="24"/>
        </w:rPr>
        <w:t xml:space="preserve"> to such situations</w:t>
      </w:r>
      <w:r w:rsidRPr="00D76EF9">
        <w:rPr>
          <w:rFonts w:eastAsia="Calibri" w:cs="Arial"/>
          <w:szCs w:val="24"/>
        </w:rPr>
        <w:t>.</w:t>
      </w:r>
    </w:p>
    <w:p w14:paraId="04AD2F96" w14:textId="77777777" w:rsidR="00DD5338" w:rsidRDefault="00DD5338" w:rsidP="00880E8B">
      <w:pPr>
        <w:spacing w:before="120"/>
        <w:jc w:val="both"/>
        <w:rPr>
          <w:rFonts w:eastAsia="Calibri" w:cs="Arial"/>
          <w:szCs w:val="24"/>
        </w:rPr>
      </w:pPr>
      <w:bookmarkStart w:id="14" w:name="_Hlk49165569"/>
      <w:r w:rsidRPr="00D76EF9">
        <w:rPr>
          <w:rFonts w:eastAsia="Calibri" w:cs="Arial"/>
          <w:i/>
          <w:szCs w:val="24"/>
        </w:rPr>
        <w:t>Cluster Analysis.</w:t>
      </w:r>
      <w:r w:rsidRPr="00D76EF9">
        <w:rPr>
          <w:rFonts w:eastAsia="Calibri" w:cs="Arial"/>
          <w:szCs w:val="24"/>
        </w:rPr>
        <w:t xml:space="preserve"> </w:t>
      </w:r>
      <w:r w:rsidRPr="00834C2E">
        <w:rPr>
          <w:rFonts w:eastAsia="Calibri"/>
          <w:szCs w:val="24"/>
        </w:rPr>
        <w:t xml:space="preserve">Cluster analysis employs techniques similar to factor analysis.  In many cases, cluster analysis employs similarity measures distinct from correlation </w:t>
      </w:r>
      <w:r w:rsidRPr="00834C2E">
        <w:rPr>
          <w:rFonts w:eastAsia="Calibri"/>
          <w:szCs w:val="24"/>
        </w:rPr>
        <w:fldChar w:fldCharType="begin" w:fldLock="1"/>
      </w:r>
      <w:r>
        <w:rPr>
          <w:rFonts w:eastAsia="Calibri"/>
          <w:szCs w:val="24"/>
        </w:rPr>
        <w:instrText>ADDIN CSL_CITATION {"citationItems":[{"id":"ITEM-1","itemData":{"DOI":"10.1016/j.ijpharm.2011.02.019","ISBN":"9780138132637","ISSN":"18733476","PMID":"21335075","abstract":"We provide an overview of latent variable methods used in pharmaceutics and integrated with advanced characterization techniques such as vibrational spectroscopy. The basics of the most common latent variable methods, principal component analysis (PCA), principal component regression (PCR) and partial least-squares (PLS) regression, are presented. Multiple linear regression (MLR) and methods for improved interpretation, variable selection, classification and validation are also briefly discussed. Extensive use of the methods is demonstrated by compilation of the recent literature.","author":[{"dropping-particle":"","family":"Hair","given":"Joseph F","non-dropping-particle":"","parse-names":false,"suffix":""},{"dropping-particle":"","family":"Anderson","given":"Rolph E","non-dropping-particle":"","parse-names":false,"suffix":""},{"dropping-particle":"","family":"Tatham","given":"Ronald L","non-dropping-particle":"","parse-names":false,"suffix":""},{"dropping-particle":"","family":"Black","given":"William C","non-dropping-particle":"","parse-names":false,"suffix":""}],"chapter-number":"751","collection-title":"Journal of Econometrics","container-title":"International Journal of Pharmaceutics","editor":[{"dropping-particle":"","family":"Hair","given":"Joseph F","non-dropping-particle":"","parse-names":false,"suffix":""},{"dropping-particle":"","family":"Anderson","given":"Ralph E","non-dropping-particle":"","parse-names":false,"suffix":""},{"dropping-particle":"","family":"Tatham","given":"Ronald L","non-dropping-particle":"","parse-names":false,"suffix":""},{"dropping-particle":"","family":"Black","given":"William C","non-dropping-particle":"","parse-names":false,"suffix":""}],"id":"ITEM-1","issue":"6","issued":{"date-parts":[["1998"]]},"number-of-pages":"816","publisher":"Prentice Hall","title":"Multivariate Data Analysis","type":"book","volume":"1"},"uris":["http://www.mendeley.com/documents/?uuid=7cb77e6b-4f1d-4fe1-8d5f-6ec9b615400d"]},{"id":"ITEM-2","itemData":{"author":[{"dropping-particle":"","family":"Jiang","given":"D","non-dropping-particle":"","parse-names":false,"suffix":""},{"dropping-particle":"","family":"Tang","given":"C","non-dropping-particle":"","parse-names":false,"suffix":""},{"dropping-particle":"","family":"Zhang","given":"a","non-dropping-particle":"","parse-names":false,"suffix":""}],"container-title":"IEEE Transactions on Knowledge and Data","id":"ITEM-2","issue":"11","issued":{"date-parts":[["2004"]]},"page":"1370-1386","title":"Cluster analysis for gene expression data: A survey","type":"article-journal","volume":"16"},"uris":["http://www.mendeley.com/documents/?uuid=2c12ecec-4aaa-42e0-a6ad-b953bd392281"]}],"mendeley":{"formattedCitation":"[24], [30]","plainTextFormattedCitation":"[24], [30]","previouslyFormattedCitation":"[24], [30]"},"properties":{"noteIndex":0},"schema":"https://github.com/citation-style-language/schema/raw/master/csl-citation.json"}</w:instrText>
      </w:r>
      <w:r w:rsidRPr="00834C2E">
        <w:rPr>
          <w:rFonts w:eastAsia="Calibri"/>
          <w:szCs w:val="24"/>
        </w:rPr>
        <w:fldChar w:fldCharType="separate"/>
      </w:r>
      <w:r w:rsidRPr="00E65D3B">
        <w:rPr>
          <w:rFonts w:eastAsia="Calibri"/>
          <w:noProof/>
          <w:szCs w:val="24"/>
        </w:rPr>
        <w:t>[24], [30]</w:t>
      </w:r>
      <w:r w:rsidRPr="00834C2E">
        <w:rPr>
          <w:rFonts w:eastAsia="Calibri"/>
          <w:szCs w:val="24"/>
        </w:rPr>
        <w:fldChar w:fldCharType="end"/>
      </w:r>
      <w:r w:rsidRPr="00834C2E">
        <w:rPr>
          <w:rFonts w:eastAsia="Calibri"/>
          <w:szCs w:val="24"/>
        </w:rPr>
        <w:t xml:space="preserve">. </w:t>
      </w:r>
      <w:r>
        <w:rPr>
          <w:rFonts w:eastAsia="Calibri"/>
          <w:szCs w:val="24"/>
        </w:rPr>
        <w:t xml:space="preserve"> Diagnostic trees that employ cluster analytic techniques include those in </w:t>
      </w:r>
      <w:r>
        <w:rPr>
          <w:szCs w:val="24"/>
        </w:rPr>
        <w:t xml:space="preserve">customer relationship management (CRM), where </w:t>
      </w:r>
      <w:r w:rsidRPr="00D76EF9">
        <w:rPr>
          <w:rFonts w:eastAsia="Calibri" w:cs="Arial"/>
          <w:szCs w:val="24"/>
        </w:rPr>
        <w:t>customer reviews</w:t>
      </w:r>
      <w:r>
        <w:rPr>
          <w:rFonts w:eastAsia="Calibri" w:cs="Arial"/>
          <w:szCs w:val="24"/>
        </w:rPr>
        <w:t xml:space="preserve"> are mined for commonalities which are then employed to diagnose product weaknesses </w:t>
      </w:r>
      <w:r w:rsidRPr="00D76EF9">
        <w:rPr>
          <w:rFonts w:eastAsia="Calibri" w:cs="Arial"/>
          <w:szCs w:val="24"/>
        </w:rPr>
        <w:fldChar w:fldCharType="begin" w:fldLock="1"/>
      </w:r>
      <w:r>
        <w:rPr>
          <w:rFonts w:eastAsia="Calibri" w:cs="Arial"/>
          <w:szCs w:val="24"/>
        </w:rPr>
        <w:instrText>ADDIN CSL_CITATION {"citationItems":[{"id":"ITEM-1","itemData":{"DOI":"10.1016/j.eswa.2007.12.039","ISBN":"0957-4174","ISSN":"09574174","abstract":"Product reviews possess critical information regarding customers' concerns and their experience with the product. Such information is considered essential to firms' business intelligence which can be utilized for the purpose of conceptual design, personalization, product recommendation, better customer understanding, and finally attract more loyal customers. Previous studies of deriving useful information from customer reviews focused mainly on numerical and categorical data. Textual data have been somewhat ignored although they are deemed valuable. Existing methods of opinion mining in processing customer reviews concentrates on counting positive and negative comments of review writers, which is not enough to cover all important topics and concerns across different review articles. Instead, we propose an automatic summarization approach based on the analysis of review articles' internal topic structure to assemble customer concerns. Different from the existing summarization approaches centered on sentence ranking and clustering, our approach discovers and extracts salient topics from a set of online reviews and further ranks these topics. The final summary is then generated based on the ranked topics. The experimental study and evaluation show that the proposed approach outperforms the peer approaches, i.e. opinion mining and clustering-summarization, in terms of users' responsiveness and its ability to discover the most important topics. ?? 2007 Elsevier Ltd. All rights reserved.","author":[{"dropping-particle":"","family":"Zhan","given":"Jiaming","non-dropping-particle":"","parse-names":false,"suffix":""},{"dropping-particle":"","family":"Loh","given":"Han Tong","non-dropping-particle":"","parse-names":false,"suffix":""},{"dropping-particle":"","family":"Liu","given":"Ying","non-dropping-particle":"","parse-names":false,"suffix":""}],"container-title":"Expert Systems with Applications","id":"ITEM-1","issued":{"date-parts":[["2009"]]},"page":"2107-2115","title":"Gather customer concerns from online product reviews - A text summarization approach","type":"article-journal","volume":"36"},"uris":["http://www.mendeley.com/documents/?uuid=679beaba-56ca-4076-a3da-eef25443dce1"]}],"mendeley":{"formattedCitation":"[31]","plainTextFormattedCitation":"[31]","previouslyFormattedCitation":"[31]"},"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[31]</w:t>
      </w:r>
      <w:r w:rsidRPr="00D76EF9">
        <w:rPr>
          <w:rFonts w:eastAsia="Calibri" w:cs="Arial"/>
          <w:szCs w:val="24"/>
        </w:rPr>
        <w:fldChar w:fldCharType="end"/>
      </w:r>
      <w:r>
        <w:rPr>
          <w:rFonts w:eastAsia="Calibri" w:cs="Arial"/>
          <w:szCs w:val="24"/>
        </w:rPr>
        <w:t xml:space="preserve"> and in b</w:t>
      </w:r>
      <w:r w:rsidRPr="0044726D">
        <w:rPr>
          <w:rFonts w:eastAsia="Calibri" w:cs="Arial"/>
          <w:szCs w:val="24"/>
        </w:rPr>
        <w:t>ankruptcy prediction</w:t>
      </w:r>
      <w:r>
        <w:rPr>
          <w:rFonts w:eastAsia="Calibri" w:cs="Arial"/>
          <w:szCs w:val="24"/>
        </w:rPr>
        <w:t xml:space="preserve"> </w:t>
      </w:r>
      <w:r>
        <w:rPr>
          <w:rFonts w:eastAsia="Calibri" w:cs="Arial"/>
          <w:szCs w:val="24"/>
        </w:rPr>
        <w:fldChar w:fldCharType="begin" w:fldLock="1"/>
      </w:r>
      <w:r>
        <w:rPr>
          <w:rFonts w:eastAsia="Calibri" w:cs="Arial"/>
          <w:szCs w:val="24"/>
        </w:rPr>
        <w:instrText>ADDIN CSL_CITATION {"citationItems":[{"id":"ITEM-1","itemData":{"DOI":"10.1016/j.dss.2012.11.015","ISSN":"01679236","abstract":"This paper uses Partial Least Square Discriminant Analysis (PLS-DA) for the prediction of the 2008 USA banking crisis. PLS regression transforms a set of correlated explanatory variables into a new set of uncorrelated variables, which is appropriate in the presence of multicollinearity. PLS-DA performs a PLS regression with a dichotomous dependent variable. The performance of this technique is compared to the performance of 8 algorithms widely used in bankruptcy prediction. In terms of accuracy, precision, F-score, Type I error and Type II error, results are similar; no algorithm outperforms the others. Behind performance, each algorithm assigns a score to each bank and classifies it as solvent or failed. These results have been analyzed by means of contingency tables, correlations, cluster analysis and reduction dimensionality techniques. PLS-DA results are very close to those obtained by Linear Discriminant Analysis and Support Vector Machine. © 2012 Elsevier B.V.","author":[{"dropping-particle":"","family":"Serrano-Cinca","given":"Carlos","non-dropping-particle":"","parse-names":false,"suffix":""},{"dropping-particle":"","family":"Gutiérrez-Nieto","given":"Begoña","non-dropping-particle":"","parse-names":false,"suffix":""}],"container-title":"Decision Support Systems","id":"ITEM-1","issue":"3","issued":{"date-parts":[["2013"]]},"page":"1245-1255","publisher":"Elsevier B.V.","title":"Partial least square discriminant analysis for bankruptcy prediction","type":"article-journal","volume":"54"},"uris":["http://www.mendeley.com/documents/?uuid=d85e9a94-0770-4e78-88cc-a2a99a196d33"]}],"mendeley":{"formattedCitation":"[32]","plainTextFormattedCitation":"[32]","previouslyFormattedCitation":"[32]"},"properties":{"noteIndex":0},"schema":"https://github.com/citation-style-language/schema/raw/master/csl-citation.json"}</w:instrText>
      </w:r>
      <w:r>
        <w:rPr>
          <w:rFonts w:eastAsia="Calibri" w:cs="Arial"/>
          <w:szCs w:val="24"/>
        </w:rPr>
        <w:fldChar w:fldCharType="separate"/>
      </w:r>
      <w:r w:rsidRPr="00E65D3B">
        <w:rPr>
          <w:rFonts w:eastAsia="Calibri" w:cs="Arial"/>
          <w:noProof/>
          <w:szCs w:val="24"/>
        </w:rPr>
        <w:t>[32]</w:t>
      </w:r>
      <w:r>
        <w:rPr>
          <w:rFonts w:eastAsia="Calibri" w:cs="Arial"/>
          <w:szCs w:val="24"/>
        </w:rPr>
        <w:fldChar w:fldCharType="end"/>
      </w:r>
      <w:r>
        <w:rPr>
          <w:rFonts w:eastAsia="Calibri" w:cs="Arial"/>
          <w:szCs w:val="24"/>
        </w:rPr>
        <w:t xml:space="preserve">. </w:t>
      </w:r>
    </w:p>
    <w:p w14:paraId="03074EAF" w14:textId="77777777" w:rsidR="00DD5338" w:rsidRDefault="00DD5338" w:rsidP="00880E8B">
      <w:pPr>
        <w:spacing w:before="120"/>
        <w:ind w:firstLine="202"/>
        <w:jc w:val="both"/>
        <w:rPr>
          <w:rFonts w:eastAsia="Calibri" w:cs="Arial"/>
          <w:szCs w:val="24"/>
        </w:rPr>
      </w:pPr>
      <w:r>
        <w:rPr>
          <w:rFonts w:eastAsia="Calibri" w:cs="Arial"/>
          <w:szCs w:val="24"/>
        </w:rPr>
        <w:t xml:space="preserve">Cluster analysis algorithms employ their own specific distance measures to cluster.  Examples include single linkage clustering </w:t>
      </w:r>
      <w:r w:rsidRPr="00BE4F73">
        <w:rPr>
          <w:rFonts w:eastAsia="Calibri" w:cs="Arial"/>
          <w:noProof/>
          <w:szCs w:val="24"/>
        </w:rPr>
        <w:t>[28]</w:t>
      </w:r>
      <w:r>
        <w:rPr>
          <w:rFonts w:eastAsia="Calibri" w:cs="Arial"/>
          <w:noProof/>
          <w:szCs w:val="24"/>
        </w:rPr>
        <w:t xml:space="preserve"> </w:t>
      </w:r>
      <w:r>
        <w:rPr>
          <w:rFonts w:eastAsia="Calibri" w:cs="Arial"/>
          <w:szCs w:val="24"/>
        </w:rPr>
        <w:t>and weighted pair groups clustering</w:t>
      </w:r>
      <w:r>
        <w:rPr>
          <w:rFonts w:eastAsia="Calibri" w:cs="Arial"/>
          <w:szCs w:val="24"/>
        </w:rPr>
        <w:fldChar w:fldCharType="begin" w:fldLock="1"/>
      </w:r>
      <w:r>
        <w:rPr>
          <w:rFonts w:eastAsia="Calibri" w:cs="Arial"/>
          <w:szCs w:val="24"/>
        </w:rPr>
        <w:instrText>ADDIN CSL_CITATION {"citationItems":[{"id":"ITEM-1","itemData":{"DOI":"10.2307/2346439","ISSN":"00359254","abstract":"Minimum spanning trees (MST) and single linkage cluster analysis (SLCA) are explained and it is shown that all the information required for the SLCA of a set of points is contained in their MST. Known algorithms for finding the MST are discussed. They are efficient even when there are very many points; this makes a SLCA practicable when other methods of cluster analysis are not. The relevant computing procedures are published in the Algorithm section of the same issue of Applied Statistics. The use of the MST in the interpretation of vector diagrams arising in multivariate analysis is illustrated by an example.","author":[{"dropping-particle":"","family":"Gower","given":"J. C.","non-dropping-particle":"","parse-names":false,"suffix":""},{"dropping-particle":"","family":"Ross","given":"G. J. S.","non-dropping-particle":"","parse-names":false,"suffix":""}],"container-title":"Applied Statistics","id":"ITEM-1","issue":"1","issued":{"date-parts":[["1969"]]},"page":"54","title":"Minimum Spanning Trees and Single Linkage Cluster Analysis","type":"article-journal","volume":"18"},"uris":["http://www.mendeley.com/documents/?uuid=45ce8c6e-1b0d-4193-8cfd-ecbd888cfaf8"]},{"id":"ITEM-2","itemData":{"ISBN":"0001948000237","abstract":"Starting with correlation coefficients (based on numerous characters) among species of a systematic unit, the authors developed a method for grouping species, and regrouping the resultant assemblages, to form a classifactory hierarchy most easily expressed as a treelike diagram of relationships. The details of this method are described, using as an example a group of bees. The resulting classification was similar to that previously established by classical systematic methods, although some taxonomic changes were made in view of the new light thrown on relationships. The method is time consuming, although practical in isolated cases, with punched-card machines such as were used; it becomes generally practical with increasingly widely available digital computers.","author":[{"dropping-particle":"","family":"Sokal","given":"Robert R","non-dropping-particle":"","parse-names":false,"suffix":""}],"container-title":"University of Kansas Science Bulletin","id":"ITEM-2","issue":"February","issued":{"date-parts":[["1958"]]},"page":"1409-1438","title":"A statistical method for evaluating systematic relationships","type":"article-journal","volume":"38"},"uris":["http://www.mendeley.com/documents/?uuid=d7248e9c-313e-4c1b-9eaf-5869aa3bcabd"]}],"mendeley":{"formattedCitation":"[33], [34]","manualFormatting":" [29]","plainTextFormattedCitation":"[33], [34]","previouslyFormattedCitation":"[33], [34]"},"properties":{"noteIndex":0},"schema":"https://github.com/citation-style-language/schema/raw/master/csl-citation.json"}</w:instrText>
      </w:r>
      <w:r>
        <w:rPr>
          <w:rFonts w:eastAsia="Calibri" w:cs="Arial"/>
          <w:szCs w:val="24"/>
        </w:rPr>
        <w:fldChar w:fldCharType="separate"/>
      </w:r>
      <w:r w:rsidRPr="00BE4F73">
        <w:rPr>
          <w:rFonts w:eastAsia="Calibri" w:cs="Arial"/>
          <w:noProof/>
          <w:szCs w:val="24"/>
        </w:rPr>
        <w:t xml:space="preserve"> [29]</w:t>
      </w:r>
      <w:r>
        <w:rPr>
          <w:rFonts w:eastAsia="Calibri" w:cs="Arial"/>
          <w:szCs w:val="24"/>
        </w:rPr>
        <w:fldChar w:fldCharType="end"/>
      </w:r>
      <w:r>
        <w:rPr>
          <w:rFonts w:eastAsia="Calibri" w:cs="Arial"/>
          <w:szCs w:val="24"/>
        </w:rPr>
        <w:t xml:space="preserve">. These distance measures </w:t>
      </w:r>
      <w:r w:rsidRPr="00D76EF9">
        <w:rPr>
          <w:rFonts w:eastAsia="Calibri" w:cs="Arial"/>
          <w:szCs w:val="24"/>
        </w:rPr>
        <w:t xml:space="preserve">assume particular properties of the underlying data, which are not always true.  As a result, many cluster analytic techniques generate spurious results </w:t>
      </w:r>
      <w:r w:rsidRPr="00D76EF9">
        <w:rPr>
          <w:rFonts w:eastAsia="Calibri" w:cs="Arial"/>
          <w:szCs w:val="24"/>
        </w:rPr>
        <w:fldChar w:fldCharType="begin" w:fldLock="1"/>
      </w:r>
      <w:r>
        <w:rPr>
          <w:rFonts w:eastAsia="Calibri" w:cs="Arial"/>
          <w:szCs w:val="24"/>
        </w:rPr>
        <w:instrText>ADDIN CSL_CITATION {"citationItems":[{"id":"ITEM-1","itemData":{"DOI":"10.1002/(SICI)1097-0266(199606)17:6&lt;441::AID-SMJ819&gt;3.0.CO;2-G","ISSN":"0143-2095","PMID":"17507760","abstract":"Cluster analysis is a statistical technique that sorts observations into similar sets or groups. The use of cluster analysis presents a complex challenge because it requires several methodological choices that determine the quality of a cluster solution. This paper chronicles the application of cluster analysis in strategic management research, where the technique has been used since the late 1970s to investigate issues of central importance. Analysis of 45 published strategy studies reveals that the implementation of cluster analysis has been often less than ideal, perhaps detracting from the ability of studies to generate knowledge. Given these findings, suggestions are offered for improving the application of cluster analysis in future inquiry.","author":[{"dropping-particle":"","family":"Ketchen Jr.","given":"D.J.","non-dropping-particle":"","parse-names":false,"suffix":""},{"dropping-particle":"","family":"Shook","given":"C.L.","non-dropping-particle":"","parse-names":false,"suffix":""}],"container-title":"Strategic Management Journal","id":"ITEM-1","issue":"November 1994","issued":{"date-parts":[["1996"]]},"page":"441-458","title":"The application of cluster analysis in strategic management research: An analysis and critique","type":"article-journal","volume":"17"},"uris":["http://www.mendeley.com/documents/?uuid=9d193c63-2c3e-468e-8087-c30fabe20f83"]},{"id":"ITEM-2","itemData":{"DOI":"10.1007/BF00154794","ISBN":"9780470749913","ISSN":"00335177","author":[{"dropping-particle":"","family":"Everitt","given":"B. S","non-dropping-particle":"","parse-names":false,"suffix":""},{"dropping-particle":"","family":"Landau","given":"S","non-dropping-particle":"","parse-names":false,"suffix":""},{"dropping-particle":"","family":"Leese","given":"M.","non-dropping-particle":"","parse-names":false,"suffix":""},{"dropping-particle":"","family":"Stahl","given":"D.","non-dropping-particle":"","parse-names":false,"suffix":""}],"edition":"5","id":"ITEM-2","issue":"1","issued":{"date-parts":[["2011"]]},"number-of-pages":"75-100","publisher":"Wiley","title":"Cluster analysis","type":"book","volume":"14"},"uris":["http://www.mendeley.com/documents/?uuid=bb5d8951-704b-4a8c-80d1-eb8bc38493ab"]}],"mendeley":{"formattedCitation":"[35], [36]","plainTextFormattedCitation":"[35], [36]","previouslyFormattedCitation":"[35], [36]"},"properties":{"noteIndex":0},"schema":"https://github.com/citation-style-language/schema/raw/master/csl-citation.json"}</w:instrText>
      </w:r>
      <w:r w:rsidRPr="00D76EF9">
        <w:rPr>
          <w:rFonts w:eastAsia="Calibri" w:cs="Arial"/>
          <w:szCs w:val="24"/>
        </w:rPr>
        <w:fldChar w:fldCharType="separate"/>
      </w:r>
      <w:r w:rsidRPr="00E65D3B">
        <w:rPr>
          <w:rFonts w:eastAsia="Calibri" w:cs="Arial"/>
          <w:noProof/>
          <w:szCs w:val="24"/>
        </w:rPr>
        <w:t>[35], [36]</w:t>
      </w:r>
      <w:r w:rsidRPr="00D76EF9">
        <w:rPr>
          <w:rFonts w:eastAsia="Calibri" w:cs="Arial"/>
          <w:szCs w:val="24"/>
        </w:rPr>
        <w:fldChar w:fldCharType="end"/>
      </w:r>
      <w:r w:rsidRPr="00D76EF9">
        <w:rPr>
          <w:rFonts w:eastAsia="Calibri" w:cs="Arial"/>
          <w:szCs w:val="24"/>
        </w:rPr>
        <w:t>.</w:t>
      </w:r>
      <w:r>
        <w:rPr>
          <w:rFonts w:eastAsia="Calibri" w:cs="Arial"/>
          <w:szCs w:val="24"/>
        </w:rPr>
        <w:t xml:space="preserve"> </w:t>
      </w:r>
    </w:p>
    <w:p w14:paraId="4A624419" w14:textId="77777777" w:rsidR="00DD5338" w:rsidRDefault="00DD5338" w:rsidP="00880E8B">
      <w:pPr>
        <w:spacing w:before="120"/>
        <w:ind w:firstLine="202"/>
        <w:jc w:val="both"/>
        <w:rPr>
          <w:rFonts w:eastAsia="Calibri" w:cs="Arial"/>
          <w:szCs w:val="24"/>
        </w:rPr>
      </w:pPr>
      <w:bookmarkStart w:id="15" w:name="_Hlk63159311"/>
      <w:r w:rsidRPr="00D76EF9">
        <w:rPr>
          <w:rFonts w:eastAsia="Calibri" w:cs="Arial"/>
          <w:szCs w:val="24"/>
        </w:rPr>
        <w:t xml:space="preserve">The main problem with quantitative techniques generally is the garbage in-garbage out problem.  Quantitative techniques establish the validity of the results based on assumptions about the numeric properties of valid diagnostic trees.  Often, </w:t>
      </w:r>
      <w:r>
        <w:rPr>
          <w:rFonts w:eastAsia="Calibri" w:cs="Arial"/>
          <w:szCs w:val="24"/>
        </w:rPr>
        <w:t xml:space="preserve">valid </w:t>
      </w:r>
      <w:r w:rsidRPr="00D76EF9">
        <w:rPr>
          <w:rFonts w:eastAsia="Calibri" w:cs="Arial"/>
          <w:szCs w:val="24"/>
        </w:rPr>
        <w:t xml:space="preserve">diagnostic trees do not have those numeric properties.  </w:t>
      </w:r>
      <w:r w:rsidRPr="0069605C">
        <w:rPr>
          <w:rFonts w:eastAsia="Calibri" w:cs="Arial"/>
          <w:szCs w:val="24"/>
        </w:rPr>
        <w:t>For example, they have a sample size in which the technique was not calibrated for (edit distance), or have correlational properties not assumed by techniques such as factor analysis or cluster analysis.</w:t>
      </w:r>
      <w:r>
        <w:rPr>
          <w:rFonts w:eastAsia="Calibri" w:cs="Arial"/>
          <w:szCs w:val="24"/>
        </w:rPr>
        <w:t xml:space="preserve"> </w:t>
      </w:r>
      <w:r w:rsidRPr="00D76EF9">
        <w:rPr>
          <w:rFonts w:eastAsia="Calibri" w:cs="Arial"/>
          <w:szCs w:val="24"/>
        </w:rPr>
        <w:t>It is well recognized that quantitative techniques should only be applied when the technique user has a thorough grasp of the numeric properties of the data.  However, missing from the conversation on applying such techniques to diagnostic trees is an understanding of how the technique user can obtain sufficient understanding for ascertaining the viability of a quantitative technique</w:t>
      </w:r>
      <w:bookmarkEnd w:id="15"/>
      <w:r w:rsidRPr="00D76EF9">
        <w:rPr>
          <w:rFonts w:eastAsia="Calibri" w:cs="Arial"/>
          <w:szCs w:val="24"/>
        </w:rPr>
        <w:t>.</w:t>
      </w:r>
    </w:p>
    <w:bookmarkEnd w:id="11"/>
    <w:bookmarkEnd w:id="14"/>
    <w:p w14:paraId="18675642" w14:textId="21E1C386" w:rsidR="00DD5338" w:rsidRPr="00D76EF9" w:rsidRDefault="00DD5338" w:rsidP="00657E01">
      <w:pPr>
        <w:pStyle w:val="Heading1"/>
        <w:rPr>
          <w:rFonts w:eastAsia="Calibri"/>
        </w:rPr>
      </w:pPr>
      <w:r>
        <w:rPr>
          <w:rFonts w:eastAsia="Calibri"/>
        </w:rPr>
        <w:t>Errors Across Pairs of Diagnostic Trees</w:t>
      </w:r>
    </w:p>
    <w:p w14:paraId="4F64EC9B" w14:textId="77777777" w:rsidR="00DD5338" w:rsidRPr="003A28B1" w:rsidRDefault="00DD5338" w:rsidP="00597E9F">
      <w:pPr>
        <w:pStyle w:val="TextL-MAG"/>
        <w:ind w:firstLine="0"/>
        <w:rPr>
          <w:b/>
          <w:iCs/>
        </w:rPr>
      </w:pPr>
      <w:r w:rsidRPr="00DD5338">
        <w:t>Definitions:</w:t>
      </w:r>
      <w:r>
        <w:rPr>
          <w:rFonts w:eastAsia="Calibri"/>
          <w:lang w:val="en-GB"/>
        </w:rPr>
        <w:t xml:space="preserve"> </w:t>
      </w:r>
      <w:r w:rsidRPr="003A28B1">
        <w:t xml:space="preserve">We are proposing a methodology based on comparing diagnostic trees developed independently by two experts. In the below, we formally define terms employed in the remainder of the paper, based on definitions in </w:t>
      </w:r>
      <w:r w:rsidRPr="003A28B1">
        <w:rPr>
          <w:b/>
          <w:iCs/>
        </w:rPr>
        <w:fldChar w:fldCharType="begin" w:fldLock="1"/>
      </w:r>
      <w:r w:rsidRPr="003A28B1">
        <w:instrText>ADDIN CSL_CITATION {"citationItems":[{"id":"ITEM-1","itemData":{"DOI":"10.1007/s11135-019-00957-8","ISBN":"0123456789","ISSN":"15737845","abstract":"Diagnostic theories are fundamental to Information Systems practice and are represented in trees. One way of creating diagnostic trees is by employing independent experts to construct such trees and compare them. However, good measures of similarity to compare diagnostic trees have not been identified. This paper presents an analysis of the suitability of various measures of association to determine the similarity of two diagnostic trees using bootstrap simulations. We find that three measures of association, Goodman and Kruskal’s Lambda, Cohen’s Kappa, and Goodman and Kruskal’s Gamma (J Am Stat Assoc 49(268):732–764, 1954) each behave differently depending on what is inconsistent between the two trees thus providing both measures for assessing alignment between two trees developed by independent experts as well as identifying the causes of the differences.","author":[{"dropping-particle":"","family":"Sabbaghan","given":"Sahar","non-dropping-particle":"","parse-names":false,"suffix":""},{"dropping-particle":"","family":"Chua","given":"Cecil Eng Huang","non-dropping-particle":"","parse-names":false,"suffix":""},{"dropping-particle":"","family":"Gardner","given":"Lesley A.","non-dropping-particle":"","parse-names":false,"suffix":""}],"container-title":"Quality and Quantity","id":"ITEM-1","issue":"0123456789","issued":{"date-parts":[["2020"]]},"publisher":"Springer Netherlands","title":"Statistical measurement of trees’ similarity","type":"article-journal"},"uris":["http://www.mendeley.com/documents/?uuid=d8b03674-43d6-49db-9efb-07698e4364e4"]}],"mendeley":{"formattedCitation":"[37]","plainTextFormattedCitation":"[37]","previouslyFormattedCitation":"[37]"},"properties":{"noteIndex":0},"schema":"https://github.com/citation-style-language/schema/raw/master/csl-citation.json"}</w:instrText>
      </w:r>
      <w:r w:rsidRPr="003A28B1">
        <w:rPr>
          <w:b/>
          <w:iCs/>
        </w:rPr>
        <w:fldChar w:fldCharType="separate"/>
      </w:r>
      <w:r w:rsidRPr="003A28B1">
        <w:t>[37]</w:t>
      </w:r>
      <w:r w:rsidRPr="003A28B1">
        <w:rPr>
          <w:b/>
          <w:iCs/>
        </w:rPr>
        <w:fldChar w:fldCharType="end"/>
      </w:r>
      <w:r w:rsidRPr="003A28B1">
        <w:t>.</w:t>
      </w:r>
    </w:p>
    <w:p w14:paraId="6DD5CCD9" w14:textId="77777777" w:rsidR="00DD5338" w:rsidRDefault="00DD5338" w:rsidP="00880E8B">
      <w:pPr>
        <w:numPr>
          <w:ilvl w:val="0"/>
          <w:numId w:val="42"/>
        </w:numPr>
        <w:tabs>
          <w:tab w:val="clear" w:pos="720"/>
        </w:tabs>
        <w:ind w:left="360"/>
        <w:jc w:val="both"/>
        <w:rPr>
          <w:rFonts w:eastAsia="Calibri"/>
          <w:szCs w:val="24"/>
        </w:rPr>
      </w:pPr>
      <w:r w:rsidRPr="00BD483C">
        <w:rPr>
          <w:rFonts w:eastAsia="Calibri"/>
          <w:i/>
          <w:iCs/>
          <w:szCs w:val="24"/>
        </w:rPr>
        <w:t>Root</w:t>
      </w:r>
      <w:r w:rsidRPr="00BD483C">
        <w:rPr>
          <w:rFonts w:eastAsia="Calibri"/>
          <w:szCs w:val="24"/>
        </w:rPr>
        <w:t> is the node with no parent. The root of the tree is on level 0.</w:t>
      </w:r>
    </w:p>
    <w:p w14:paraId="3E20992B" w14:textId="77777777" w:rsidR="00DD5338" w:rsidRDefault="00DD5338" w:rsidP="00880E8B">
      <w:pPr>
        <w:numPr>
          <w:ilvl w:val="0"/>
          <w:numId w:val="42"/>
        </w:numPr>
        <w:tabs>
          <w:tab w:val="clear" w:pos="720"/>
        </w:tabs>
        <w:ind w:left="360"/>
        <w:jc w:val="both"/>
        <w:rPr>
          <w:rFonts w:eastAsia="Calibri"/>
          <w:szCs w:val="24"/>
        </w:rPr>
      </w:pPr>
      <w:r w:rsidRPr="00BD483C">
        <w:rPr>
          <w:rFonts w:eastAsia="Calibri"/>
          <w:i/>
          <w:iCs/>
          <w:szCs w:val="24"/>
        </w:rPr>
        <w:t>Top</w:t>
      </w:r>
      <w:r w:rsidRPr="00BD483C">
        <w:rPr>
          <w:rFonts w:eastAsia="Calibri"/>
          <w:szCs w:val="24"/>
        </w:rPr>
        <w:t>-</w:t>
      </w:r>
      <w:r w:rsidRPr="00BD483C">
        <w:rPr>
          <w:rFonts w:eastAsia="Calibri"/>
          <w:i/>
          <w:iCs/>
          <w:szCs w:val="24"/>
        </w:rPr>
        <w:t>level</w:t>
      </w:r>
      <w:r w:rsidRPr="00BD483C">
        <w:rPr>
          <w:rFonts w:eastAsia="Calibri"/>
          <w:szCs w:val="24"/>
        </w:rPr>
        <w:t xml:space="preserve"> are </w:t>
      </w:r>
      <w:r w:rsidRPr="008D50EB">
        <w:rPr>
          <w:rFonts w:eastAsia="Calibri"/>
          <w:szCs w:val="24"/>
        </w:rPr>
        <w:t xml:space="preserve">first-degree descendants </w:t>
      </w:r>
      <w:r w:rsidRPr="00BD483C">
        <w:rPr>
          <w:rFonts w:eastAsia="Calibri"/>
          <w:szCs w:val="24"/>
        </w:rPr>
        <w:t>of the root. The top level of the tree has a level of 1.</w:t>
      </w:r>
    </w:p>
    <w:p w14:paraId="03A0D5AD" w14:textId="77777777" w:rsidR="00DD5338" w:rsidRPr="008D50EB" w:rsidRDefault="00DD5338" w:rsidP="00880E8B">
      <w:pPr>
        <w:numPr>
          <w:ilvl w:val="0"/>
          <w:numId w:val="42"/>
        </w:numPr>
        <w:tabs>
          <w:tab w:val="clear" w:pos="720"/>
        </w:tabs>
        <w:ind w:left="360"/>
        <w:jc w:val="both"/>
        <w:rPr>
          <w:rFonts w:eastAsia="Calibri"/>
          <w:szCs w:val="24"/>
        </w:rPr>
      </w:pPr>
      <w:r w:rsidRPr="008D50EB">
        <w:rPr>
          <w:rFonts w:eastAsia="Calibri"/>
          <w:i/>
          <w:iCs/>
          <w:szCs w:val="24"/>
        </w:rPr>
        <w:t>Descendant</w:t>
      </w:r>
      <w:r w:rsidRPr="00DD4720">
        <w:rPr>
          <w:rFonts w:eastAsia="Calibri"/>
          <w:szCs w:val="24"/>
        </w:rPr>
        <w:t xml:space="preserve"> is </w:t>
      </w:r>
      <w:r w:rsidRPr="008D50EB">
        <w:rPr>
          <w:rFonts w:eastAsia="Calibri"/>
          <w:szCs w:val="24"/>
        </w:rPr>
        <w:t xml:space="preserve">the nth degree child of </w:t>
      </w:r>
      <w:r>
        <w:rPr>
          <w:rFonts w:eastAsia="Calibri"/>
          <w:szCs w:val="24"/>
        </w:rPr>
        <w:t>a parent</w:t>
      </w:r>
      <w:r w:rsidRPr="008D50EB">
        <w:rPr>
          <w:rFonts w:eastAsia="Calibri"/>
          <w:szCs w:val="24"/>
        </w:rPr>
        <w:t>. A first-degree descendant of a node is also called a child node.</w:t>
      </w:r>
    </w:p>
    <w:p w14:paraId="4C31F329" w14:textId="77777777" w:rsidR="00DD5338" w:rsidRPr="00A0422C" w:rsidRDefault="00DD5338" w:rsidP="00880E8B">
      <w:pPr>
        <w:numPr>
          <w:ilvl w:val="0"/>
          <w:numId w:val="42"/>
        </w:numPr>
        <w:tabs>
          <w:tab w:val="clear" w:pos="720"/>
        </w:tabs>
        <w:ind w:left="360"/>
        <w:jc w:val="both"/>
        <w:rPr>
          <w:rFonts w:eastAsia="Calibri"/>
          <w:szCs w:val="24"/>
        </w:rPr>
      </w:pPr>
      <w:r w:rsidRPr="00A0422C">
        <w:rPr>
          <w:rFonts w:eastAsia="Calibri"/>
          <w:i/>
          <w:iCs/>
          <w:szCs w:val="24"/>
        </w:rPr>
        <w:t>Parent</w:t>
      </w:r>
      <w:r w:rsidRPr="00A0422C">
        <w:rPr>
          <w:rFonts w:eastAsia="Calibri"/>
          <w:szCs w:val="24"/>
        </w:rPr>
        <w:t xml:space="preserve"> </w:t>
      </w:r>
      <w:r>
        <w:rPr>
          <w:rFonts w:eastAsia="Calibri"/>
          <w:szCs w:val="24"/>
        </w:rPr>
        <w:t>is a node with d</w:t>
      </w:r>
      <w:r w:rsidRPr="00250A62">
        <w:rPr>
          <w:rFonts w:eastAsia="Calibri"/>
          <w:szCs w:val="24"/>
        </w:rPr>
        <w:t>escendants</w:t>
      </w:r>
      <w:r>
        <w:rPr>
          <w:rFonts w:eastAsia="Calibri"/>
          <w:szCs w:val="24"/>
        </w:rPr>
        <w:t>.</w:t>
      </w:r>
    </w:p>
    <w:p w14:paraId="334A5745" w14:textId="77777777" w:rsidR="00DD5338" w:rsidRPr="008D50EB" w:rsidRDefault="00DD5338" w:rsidP="00880E8B">
      <w:pPr>
        <w:numPr>
          <w:ilvl w:val="0"/>
          <w:numId w:val="42"/>
        </w:numPr>
        <w:tabs>
          <w:tab w:val="clear" w:pos="720"/>
        </w:tabs>
        <w:ind w:left="360"/>
        <w:jc w:val="both"/>
        <w:rPr>
          <w:rFonts w:eastAsia="Calibri"/>
          <w:szCs w:val="24"/>
        </w:rPr>
      </w:pPr>
      <w:r w:rsidRPr="008D50EB">
        <w:rPr>
          <w:rFonts w:eastAsia="Calibri"/>
          <w:i/>
          <w:iCs/>
          <w:szCs w:val="24"/>
        </w:rPr>
        <w:t xml:space="preserve">Branch </w:t>
      </w:r>
      <w:r w:rsidRPr="00A0422C">
        <w:rPr>
          <w:rFonts w:eastAsia="Calibri"/>
          <w:szCs w:val="24"/>
        </w:rPr>
        <w:t>includes the descendants that share the same top-level node.</w:t>
      </w:r>
      <w:r>
        <w:rPr>
          <w:rFonts w:eastAsia="Calibri"/>
          <w:i/>
          <w:iCs/>
          <w:szCs w:val="24"/>
        </w:rPr>
        <w:t xml:space="preserve">  </w:t>
      </w:r>
    </w:p>
    <w:p w14:paraId="4602B0B5" w14:textId="77777777" w:rsidR="00DD5338" w:rsidRPr="00BD483C" w:rsidRDefault="00DD5338" w:rsidP="00880E8B">
      <w:pPr>
        <w:numPr>
          <w:ilvl w:val="0"/>
          <w:numId w:val="42"/>
        </w:numPr>
        <w:tabs>
          <w:tab w:val="clear" w:pos="720"/>
        </w:tabs>
        <w:ind w:left="360"/>
        <w:jc w:val="both"/>
        <w:rPr>
          <w:rFonts w:eastAsia="Calibri"/>
          <w:szCs w:val="24"/>
        </w:rPr>
      </w:pPr>
      <w:r w:rsidRPr="00BD483C">
        <w:rPr>
          <w:rFonts w:eastAsia="Calibri"/>
          <w:i/>
          <w:iCs/>
          <w:szCs w:val="24"/>
        </w:rPr>
        <w:t>Level</w:t>
      </w:r>
      <w:r w:rsidRPr="00BD483C">
        <w:rPr>
          <w:rFonts w:eastAsia="Calibri"/>
          <w:szCs w:val="24"/>
        </w:rPr>
        <w:t> is the distance of a node from the root. A node is on the </w:t>
      </w:r>
      <w:r w:rsidRPr="00BD483C">
        <w:rPr>
          <w:rFonts w:eastAsia="Calibri"/>
          <w:i/>
          <w:iCs/>
          <w:szCs w:val="24"/>
        </w:rPr>
        <w:t>n</w:t>
      </w:r>
      <w:r w:rsidRPr="00BD483C">
        <w:rPr>
          <w:rFonts w:eastAsia="Calibri"/>
          <w:szCs w:val="24"/>
        </w:rPr>
        <w:t> + 1 level of its parent node. As an example, a node located on the 3rd level is three levels below the root node and its parent is on the 2nd level. Levels closer to the root are considered higher levels and levels further from the root are considered lower levels.</w:t>
      </w:r>
    </w:p>
    <w:p w14:paraId="7041E3E5" w14:textId="77777777" w:rsidR="00DD5338" w:rsidRDefault="00DD5338" w:rsidP="00597E9F">
      <w:pPr>
        <w:pStyle w:val="Heading1"/>
        <w:rPr>
          <w:rFonts w:eastAsia="Calibri"/>
          <w:lang w:val="en-GB"/>
        </w:rPr>
      </w:pPr>
      <w:r w:rsidRPr="00DE0F40">
        <w:rPr>
          <w:rFonts w:eastAsia="Calibri"/>
          <w:lang w:val="en-GB"/>
        </w:rPr>
        <w:t>A Taxonomy of Differences Across Trees</w:t>
      </w:r>
    </w:p>
    <w:p w14:paraId="2AD0C7B9" w14:textId="5F6B2005" w:rsidR="00DD5338" w:rsidRDefault="00DD5338" w:rsidP="00880E8B">
      <w:pPr>
        <w:spacing w:before="120"/>
        <w:jc w:val="both"/>
        <w:rPr>
          <w:rFonts w:eastAsia="Calibri"/>
          <w:szCs w:val="24"/>
          <w:lang w:val="en-GB"/>
        </w:rPr>
      </w:pPr>
      <w:r>
        <w:rPr>
          <w:rFonts w:eastAsia="Calibri"/>
          <w:szCs w:val="24"/>
          <w:lang w:val="en-GB"/>
        </w:rPr>
        <w:t xml:space="preserve">For our methodology to work, we first need to identify possible ways two diagnostic trees can be structurally dissimilar.  Given two diagnostic trees </w:t>
      </w:r>
      <w:r w:rsidRPr="00B37515">
        <w:rPr>
          <w:rFonts w:eastAsia="Calibri"/>
          <w:i/>
          <w:szCs w:val="24"/>
          <w:lang w:val="en-GB"/>
        </w:rPr>
        <w:t xml:space="preserve">T </w:t>
      </w:r>
      <w:r w:rsidRPr="00B37515">
        <w:rPr>
          <w:rFonts w:eastAsia="Calibri"/>
          <w:szCs w:val="24"/>
          <w:lang w:val="en-GB"/>
        </w:rPr>
        <w:t>and</w:t>
      </w:r>
      <w:r w:rsidRPr="00B37515">
        <w:rPr>
          <w:rFonts w:eastAsia="Calibri"/>
          <w:i/>
          <w:szCs w:val="24"/>
          <w:lang w:val="en-GB"/>
        </w:rPr>
        <w:t xml:space="preserve"> T’</w:t>
      </w:r>
      <w:r>
        <w:rPr>
          <w:rFonts w:eastAsia="Calibri"/>
          <w:i/>
          <w:szCs w:val="24"/>
          <w:lang w:val="en-GB"/>
        </w:rPr>
        <w:t xml:space="preserve">, </w:t>
      </w:r>
      <w:r>
        <w:rPr>
          <w:rFonts w:eastAsia="Calibri"/>
          <w:szCs w:val="24"/>
          <w:lang w:val="en-GB"/>
        </w:rPr>
        <w:t>t</w:t>
      </w:r>
      <w:r w:rsidRPr="00B37515">
        <w:rPr>
          <w:rFonts w:eastAsia="Calibri"/>
          <w:szCs w:val="24"/>
          <w:lang w:val="en-GB"/>
        </w:rPr>
        <w:t xml:space="preserve">he following are the ways </w:t>
      </w:r>
      <w:r>
        <w:rPr>
          <w:rFonts w:eastAsia="Calibri"/>
          <w:szCs w:val="24"/>
          <w:lang w:val="en-GB"/>
        </w:rPr>
        <w:t xml:space="preserve">the trees </w:t>
      </w:r>
      <w:r w:rsidRPr="00B37515">
        <w:rPr>
          <w:rFonts w:eastAsia="Calibri"/>
          <w:szCs w:val="24"/>
          <w:lang w:val="en-GB"/>
        </w:rPr>
        <w:t xml:space="preserve">can be arranged differently. In each arrangement, the difference in position of item </w:t>
      </w:r>
      <w:r w:rsidRPr="00DD4720">
        <w:rPr>
          <w:rFonts w:eastAsia="Calibri"/>
          <w:i/>
          <w:iCs/>
          <w:szCs w:val="24"/>
          <w:lang w:val="en-GB"/>
        </w:rPr>
        <w:t>A</w:t>
      </w:r>
      <w:r w:rsidRPr="00B37515">
        <w:rPr>
          <w:rFonts w:eastAsia="Calibri"/>
          <w:szCs w:val="24"/>
          <w:lang w:val="en-GB"/>
        </w:rPr>
        <w:t xml:space="preserve"> represents a certain type of error.   Fig</w:t>
      </w:r>
      <w:r w:rsidR="00D764A8">
        <w:rPr>
          <w:rFonts w:eastAsia="Calibri"/>
          <w:szCs w:val="24"/>
          <w:lang w:val="en-GB"/>
        </w:rPr>
        <w:t>.</w:t>
      </w:r>
      <w:r w:rsidRPr="00B37515">
        <w:rPr>
          <w:rFonts w:eastAsia="Calibri"/>
          <w:szCs w:val="24"/>
          <w:lang w:val="en-GB"/>
        </w:rPr>
        <w:t xml:space="preserve"> 2 (a-c) presents these separate arrangements.  </w:t>
      </w:r>
    </w:p>
    <w:p w14:paraId="2BB8365C" w14:textId="176CB079" w:rsidR="00842F0F" w:rsidRDefault="00842F0F" w:rsidP="00880E8B">
      <w:pPr>
        <w:spacing w:before="120"/>
        <w:jc w:val="both"/>
        <w:rPr>
          <w:rFonts w:eastAsia="Calibri"/>
          <w:szCs w:val="24"/>
          <w:lang w:val="en-GB"/>
        </w:rPr>
      </w:pPr>
      <w:r>
        <w:rPr>
          <w:rFonts w:eastAsia="Calibri"/>
          <w:noProof/>
          <w:szCs w:val="24"/>
          <w:lang w:val="en-GB"/>
        </w:rPr>
        <w:drawing>
          <wp:inline distT="0" distB="0" distL="0" distR="0" wp14:anchorId="5DC56AA3" wp14:editId="08E0BE35">
            <wp:extent cx="3148279" cy="326571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9"/>
                    <a:stretch>
                      <a:fillRect/>
                    </a:stretch>
                  </pic:blipFill>
                  <pic:spPr>
                    <a:xfrm>
                      <a:off x="0" y="0"/>
                      <a:ext cx="3160865" cy="3278771"/>
                    </a:xfrm>
                    <a:prstGeom prst="rect">
                      <a:avLst/>
                    </a:prstGeom>
                  </pic:spPr>
                </pic:pic>
              </a:graphicData>
            </a:graphic>
          </wp:inline>
        </w:drawing>
      </w:r>
    </w:p>
    <w:p w14:paraId="3FBAE02F" w14:textId="0BCE2304" w:rsidR="009B4E43" w:rsidRPr="009B4E43" w:rsidRDefault="009B4E43" w:rsidP="009B4E43">
      <w:pPr>
        <w:pStyle w:val="Caption"/>
        <w:rPr>
          <w:rFonts w:eastAsia="Calibri" w:cs="Times New Roman"/>
          <w:i w:val="0"/>
          <w:iCs w:val="0"/>
          <w:color w:val="000000"/>
          <w:sz w:val="16"/>
          <w:szCs w:val="20"/>
          <w:lang w:val="en-GB"/>
        </w:rPr>
      </w:pPr>
      <w:r w:rsidRPr="009B4E43">
        <w:rPr>
          <w:i w:val="0"/>
          <w:iCs w:val="0"/>
          <w:sz w:val="16"/>
          <w:szCs w:val="14"/>
        </w:rPr>
        <w:t xml:space="preserve">Fig. </w:t>
      </w:r>
      <w:r w:rsidRPr="009B4E43">
        <w:rPr>
          <w:i w:val="0"/>
          <w:iCs w:val="0"/>
          <w:sz w:val="16"/>
          <w:szCs w:val="14"/>
        </w:rPr>
        <w:fldChar w:fldCharType="begin"/>
      </w:r>
      <w:r w:rsidRPr="009B4E43">
        <w:rPr>
          <w:i w:val="0"/>
          <w:iCs w:val="0"/>
          <w:sz w:val="16"/>
          <w:szCs w:val="14"/>
        </w:rPr>
        <w:instrText xml:space="preserve"> SEQ Figure \* ARABIC </w:instrText>
      </w:r>
      <w:r w:rsidRPr="009B4E43">
        <w:rPr>
          <w:i w:val="0"/>
          <w:iCs w:val="0"/>
          <w:sz w:val="16"/>
          <w:szCs w:val="14"/>
        </w:rPr>
        <w:fldChar w:fldCharType="separate"/>
      </w:r>
      <w:r w:rsidR="009F599A">
        <w:rPr>
          <w:i w:val="0"/>
          <w:iCs w:val="0"/>
          <w:noProof/>
          <w:sz w:val="16"/>
          <w:szCs w:val="14"/>
        </w:rPr>
        <w:t>2</w:t>
      </w:r>
      <w:r w:rsidRPr="009B4E43">
        <w:rPr>
          <w:i w:val="0"/>
          <w:iCs w:val="0"/>
          <w:noProof/>
          <w:sz w:val="16"/>
          <w:szCs w:val="14"/>
        </w:rPr>
        <w:fldChar w:fldCharType="end"/>
      </w:r>
      <w:r w:rsidRPr="009B4E43">
        <w:rPr>
          <w:i w:val="0"/>
          <w:iCs w:val="0"/>
          <w:sz w:val="16"/>
          <w:szCs w:val="14"/>
        </w:rPr>
        <w:t>.</w:t>
      </w:r>
      <w:r w:rsidRPr="009B4E43">
        <w:rPr>
          <w:i w:val="0"/>
          <w:iCs w:val="0"/>
          <w:sz w:val="16"/>
          <w:szCs w:val="14"/>
          <w:lang w:val="en-GB"/>
        </w:rPr>
        <w:t xml:space="preserve">  </w:t>
      </w:r>
      <w:r w:rsidRPr="009B4E43">
        <w:rPr>
          <w:rFonts w:eastAsia="Calibri" w:cs="Times New Roman"/>
          <w:i w:val="0"/>
          <w:iCs w:val="0"/>
          <w:color w:val="000000"/>
          <w:sz w:val="16"/>
          <w:szCs w:val="20"/>
          <w:lang w:val="en-GB"/>
        </w:rPr>
        <w:t xml:space="preserve">Presents problematic item A for </w:t>
      </w:r>
      <w:r w:rsidR="002D71D6">
        <w:rPr>
          <w:rFonts w:eastAsia="Calibri" w:cs="Times New Roman"/>
          <w:i w:val="0"/>
          <w:iCs w:val="0"/>
          <w:color w:val="000000"/>
          <w:sz w:val="16"/>
          <w:szCs w:val="20"/>
          <w:lang w:val="en-GB"/>
        </w:rPr>
        <w:t>d</w:t>
      </w:r>
      <w:r w:rsidRPr="009B4E43">
        <w:rPr>
          <w:rFonts w:eastAsia="Calibri" w:cs="Times New Roman"/>
          <w:i w:val="0"/>
          <w:iCs w:val="0"/>
          <w:color w:val="000000"/>
          <w:sz w:val="16"/>
          <w:szCs w:val="20"/>
          <w:lang w:val="en-GB"/>
        </w:rPr>
        <w:t>iagnostic tree.</w:t>
      </w:r>
    </w:p>
    <w:p w14:paraId="268ABDAE" w14:textId="33B921C0" w:rsidR="00DD5338" w:rsidRPr="00B37515" w:rsidRDefault="00DD5338" w:rsidP="00880E8B">
      <w:pPr>
        <w:spacing w:before="120"/>
        <w:jc w:val="both"/>
        <w:rPr>
          <w:rFonts w:eastAsia="Calibri"/>
          <w:szCs w:val="24"/>
          <w:lang w:val="en-GB"/>
        </w:rPr>
      </w:pPr>
      <w:r>
        <w:rPr>
          <w:rFonts w:eastAsia="Calibri"/>
          <w:i/>
          <w:szCs w:val="24"/>
          <w:lang w:val="en-GB"/>
        </w:rPr>
        <w:t>Hierarchical Movement</w:t>
      </w:r>
      <w:r>
        <w:rPr>
          <w:rFonts w:eastAsia="Calibri"/>
          <w:szCs w:val="24"/>
          <w:lang w:val="en-GB"/>
        </w:rPr>
        <w:t xml:space="preserve">. In </w:t>
      </w:r>
      <w:r w:rsidR="00D764A8">
        <w:rPr>
          <w:rFonts w:eastAsia="Calibri"/>
          <w:szCs w:val="24"/>
          <w:lang w:val="en-GB"/>
        </w:rPr>
        <w:t>Fig.</w:t>
      </w:r>
      <w:r w:rsidRPr="00B37515">
        <w:rPr>
          <w:rFonts w:eastAsia="Calibri"/>
          <w:szCs w:val="24"/>
          <w:lang w:val="en-GB"/>
        </w:rPr>
        <w:t xml:space="preserve"> 2(a) </w:t>
      </w:r>
      <w:r w:rsidRPr="00B37515">
        <w:rPr>
          <w:rFonts w:eastAsia="Calibri"/>
          <w:i/>
          <w:szCs w:val="24"/>
          <w:lang w:val="en-GB"/>
        </w:rPr>
        <w:t>A</w:t>
      </w:r>
      <w:r w:rsidRPr="00B37515">
        <w:rPr>
          <w:rFonts w:eastAsia="Calibri"/>
          <w:szCs w:val="24"/>
          <w:lang w:val="en-GB"/>
        </w:rPr>
        <w:t xml:space="preserve"> </w:t>
      </w:r>
      <w:r>
        <w:rPr>
          <w:rFonts w:eastAsia="Calibri"/>
          <w:szCs w:val="24"/>
          <w:lang w:val="en-GB"/>
        </w:rPr>
        <w:t xml:space="preserve">is </w:t>
      </w:r>
      <w:r w:rsidRPr="00B37515">
        <w:rPr>
          <w:rFonts w:eastAsia="Calibri"/>
          <w:szCs w:val="24"/>
          <w:lang w:val="en-GB"/>
        </w:rPr>
        <w:t xml:space="preserve">found in the same </w:t>
      </w:r>
      <w:r>
        <w:rPr>
          <w:rFonts w:eastAsia="Calibri"/>
          <w:szCs w:val="24"/>
          <w:lang w:val="en-GB"/>
        </w:rPr>
        <w:t>branch</w:t>
      </w:r>
      <w:r w:rsidRPr="00B37515">
        <w:rPr>
          <w:rFonts w:eastAsia="Calibri"/>
          <w:szCs w:val="24"/>
          <w:lang w:val="en-GB"/>
        </w:rPr>
        <w:t xml:space="preserve"> of items of the </w:t>
      </w:r>
      <w:r w:rsidR="00D764A8" w:rsidRPr="00B37515">
        <w:rPr>
          <w:rFonts w:eastAsia="Calibri"/>
          <w:szCs w:val="24"/>
          <w:lang w:val="en-GB"/>
        </w:rPr>
        <w:t>tree but</w:t>
      </w:r>
      <w:r w:rsidRPr="00B37515">
        <w:rPr>
          <w:rFonts w:eastAsia="Calibri"/>
          <w:szCs w:val="24"/>
          <w:lang w:val="en-GB"/>
        </w:rPr>
        <w:t xml:space="preserve"> </w:t>
      </w:r>
      <w:r>
        <w:rPr>
          <w:rFonts w:eastAsia="Calibri"/>
          <w:szCs w:val="24"/>
          <w:lang w:val="en-GB"/>
        </w:rPr>
        <w:t>is</w:t>
      </w:r>
      <w:r w:rsidRPr="00B37515">
        <w:rPr>
          <w:rFonts w:eastAsia="Calibri"/>
          <w:szCs w:val="24"/>
          <w:lang w:val="en-GB"/>
        </w:rPr>
        <w:t xml:space="preserve"> placed in different levels.  In the figure, </w:t>
      </w:r>
      <w:r>
        <w:rPr>
          <w:rFonts w:eastAsia="Calibri"/>
          <w:i/>
          <w:szCs w:val="24"/>
          <w:lang w:val="en-GB"/>
        </w:rPr>
        <w:t xml:space="preserve">A </w:t>
      </w:r>
      <w:r w:rsidRPr="00EE5F99">
        <w:rPr>
          <w:rFonts w:eastAsia="Calibri"/>
          <w:szCs w:val="24"/>
          <w:lang w:val="en-GB"/>
        </w:rPr>
        <w:t>across both trees</w:t>
      </w:r>
      <w:r>
        <w:rPr>
          <w:rFonts w:eastAsia="Calibri"/>
          <w:i/>
          <w:szCs w:val="24"/>
          <w:lang w:val="en-GB"/>
        </w:rPr>
        <w:t xml:space="preserve"> </w:t>
      </w:r>
      <w:bookmarkStart w:id="16" w:name="_Hlk48734796"/>
      <w:r>
        <w:rPr>
          <w:rFonts w:eastAsia="Calibri"/>
          <w:szCs w:val="24"/>
          <w:lang w:val="en-GB"/>
        </w:rPr>
        <w:t xml:space="preserve">is a </w:t>
      </w:r>
      <w:r w:rsidRPr="00B37515">
        <w:rPr>
          <w:rFonts w:eastAsia="Calibri"/>
          <w:szCs w:val="24"/>
          <w:lang w:val="en-GB"/>
        </w:rPr>
        <w:t>descendant</w:t>
      </w:r>
      <w:bookmarkEnd w:id="16"/>
      <w:r w:rsidRPr="00B37515">
        <w:rPr>
          <w:rFonts w:eastAsia="Calibri"/>
          <w:szCs w:val="24"/>
          <w:lang w:val="en-GB"/>
        </w:rPr>
        <w:t xml:space="preserve"> of item 1</w:t>
      </w:r>
      <w:r>
        <w:rPr>
          <w:rFonts w:eastAsia="Calibri"/>
          <w:szCs w:val="24"/>
          <w:lang w:val="en-GB"/>
        </w:rPr>
        <w:t>.</w:t>
      </w:r>
      <w:r w:rsidRPr="00B37515">
        <w:rPr>
          <w:rFonts w:eastAsia="Calibri"/>
          <w:szCs w:val="24"/>
          <w:lang w:val="en-GB"/>
        </w:rPr>
        <w:t xml:space="preserve"> </w:t>
      </w:r>
      <w:r>
        <w:rPr>
          <w:rFonts w:eastAsia="Calibri"/>
          <w:szCs w:val="24"/>
          <w:lang w:val="en-GB"/>
        </w:rPr>
        <w:t>H</w:t>
      </w:r>
      <w:r w:rsidRPr="00B37515">
        <w:rPr>
          <w:rFonts w:eastAsia="Calibri"/>
          <w:szCs w:val="24"/>
          <w:lang w:val="en-GB"/>
        </w:rPr>
        <w:t xml:space="preserve">owever, while in tree </w:t>
      </w:r>
      <w:r w:rsidRPr="00B37515">
        <w:rPr>
          <w:rFonts w:eastAsia="Calibri"/>
          <w:i/>
          <w:szCs w:val="24"/>
          <w:lang w:val="en-GB"/>
        </w:rPr>
        <w:t>T</w:t>
      </w:r>
      <w:r>
        <w:rPr>
          <w:rFonts w:eastAsia="Calibri"/>
          <w:i/>
          <w:szCs w:val="24"/>
          <w:lang w:val="en-GB"/>
        </w:rPr>
        <w:t>,</w:t>
      </w:r>
      <w:r w:rsidRPr="00B37515">
        <w:rPr>
          <w:rFonts w:eastAsia="Calibri"/>
          <w:i/>
          <w:szCs w:val="24"/>
          <w:lang w:val="en-GB"/>
        </w:rPr>
        <w:t xml:space="preserve"> </w:t>
      </w:r>
      <w:r w:rsidRPr="00DD4720">
        <w:rPr>
          <w:rFonts w:eastAsia="Calibri"/>
          <w:i/>
          <w:iCs/>
          <w:szCs w:val="24"/>
          <w:lang w:val="en-GB"/>
        </w:rPr>
        <w:t xml:space="preserve">A </w:t>
      </w:r>
      <w:r w:rsidRPr="00B37515">
        <w:rPr>
          <w:rFonts w:eastAsia="Calibri"/>
          <w:szCs w:val="24"/>
          <w:lang w:val="en-GB"/>
        </w:rPr>
        <w:t xml:space="preserve">is directly mapped to item 1, </w:t>
      </w:r>
      <w:r w:rsidRPr="00DD4720">
        <w:rPr>
          <w:rFonts w:eastAsia="Calibri"/>
          <w:i/>
          <w:iCs/>
          <w:szCs w:val="24"/>
          <w:lang w:val="en-GB"/>
        </w:rPr>
        <w:t>A</w:t>
      </w:r>
      <w:r w:rsidRPr="00B37515">
        <w:rPr>
          <w:rFonts w:eastAsia="Calibri"/>
          <w:szCs w:val="24"/>
          <w:lang w:val="en-GB"/>
        </w:rPr>
        <w:t xml:space="preserve"> in tree </w:t>
      </w:r>
      <w:r w:rsidRPr="00B37515">
        <w:rPr>
          <w:rFonts w:eastAsia="Calibri"/>
          <w:i/>
          <w:szCs w:val="24"/>
          <w:lang w:val="en-GB"/>
        </w:rPr>
        <w:t>T’</w:t>
      </w:r>
      <w:r w:rsidRPr="00B37515">
        <w:rPr>
          <w:rFonts w:eastAsia="Calibri"/>
          <w:szCs w:val="24"/>
          <w:lang w:val="en-GB"/>
        </w:rPr>
        <w:t xml:space="preserve"> is directly mapped to item 5. We call this a hierarchy movement. </w:t>
      </w:r>
    </w:p>
    <w:p w14:paraId="339B7BE7" w14:textId="74424EDF" w:rsidR="00DD5338" w:rsidRPr="00B37515" w:rsidRDefault="00DD5338" w:rsidP="00880E8B">
      <w:pPr>
        <w:spacing w:before="120"/>
        <w:jc w:val="both"/>
        <w:rPr>
          <w:rFonts w:eastAsia="Calibri"/>
          <w:szCs w:val="24"/>
          <w:lang w:val="en-GB"/>
        </w:rPr>
      </w:pPr>
      <w:r>
        <w:rPr>
          <w:rFonts w:eastAsia="Calibri"/>
          <w:i/>
          <w:szCs w:val="24"/>
          <w:lang w:val="en-GB"/>
        </w:rPr>
        <w:t>Level Movement</w:t>
      </w:r>
      <w:r>
        <w:rPr>
          <w:rFonts w:eastAsia="Calibri"/>
          <w:szCs w:val="24"/>
          <w:lang w:val="en-GB"/>
        </w:rPr>
        <w:t xml:space="preserve">. In </w:t>
      </w:r>
      <w:r w:rsidR="00D764A8">
        <w:rPr>
          <w:rFonts w:eastAsia="Calibri"/>
          <w:szCs w:val="24"/>
          <w:lang w:val="en-GB"/>
        </w:rPr>
        <w:t>Fig.</w:t>
      </w:r>
      <w:r w:rsidRPr="00B37515">
        <w:rPr>
          <w:rFonts w:eastAsia="Calibri"/>
          <w:szCs w:val="24"/>
          <w:lang w:val="en-GB"/>
        </w:rPr>
        <w:t xml:space="preserve"> 2(b), </w:t>
      </w:r>
      <w:r w:rsidRPr="00B37515">
        <w:rPr>
          <w:rFonts w:eastAsia="Calibri"/>
          <w:i/>
          <w:szCs w:val="24"/>
          <w:lang w:val="en-GB"/>
        </w:rPr>
        <w:t xml:space="preserve">A </w:t>
      </w:r>
      <w:r>
        <w:rPr>
          <w:rFonts w:eastAsia="Calibri"/>
          <w:szCs w:val="24"/>
          <w:lang w:val="en-GB"/>
        </w:rPr>
        <w:t xml:space="preserve">is </w:t>
      </w:r>
      <w:r w:rsidRPr="00B37515">
        <w:rPr>
          <w:rFonts w:eastAsia="Calibri"/>
          <w:szCs w:val="24"/>
          <w:lang w:val="en-GB"/>
        </w:rPr>
        <w:t xml:space="preserve">from completely different families of items but </w:t>
      </w:r>
      <w:r>
        <w:rPr>
          <w:rFonts w:eastAsia="Calibri"/>
          <w:szCs w:val="24"/>
          <w:lang w:val="en-GB"/>
        </w:rPr>
        <w:t xml:space="preserve">is </w:t>
      </w:r>
      <w:r w:rsidRPr="00B37515">
        <w:rPr>
          <w:rFonts w:eastAsia="Calibri"/>
          <w:szCs w:val="24"/>
          <w:lang w:val="en-GB"/>
        </w:rPr>
        <w:t xml:space="preserve">found at the same level.  In tree </w:t>
      </w:r>
      <w:r w:rsidRPr="00B37515">
        <w:rPr>
          <w:rFonts w:eastAsia="Calibri"/>
          <w:i/>
          <w:szCs w:val="24"/>
          <w:lang w:val="en-GB"/>
        </w:rPr>
        <w:t>T</w:t>
      </w:r>
      <w:r w:rsidRPr="00B37515">
        <w:rPr>
          <w:rFonts w:eastAsia="Calibri"/>
          <w:szCs w:val="24"/>
          <w:lang w:val="en-GB"/>
        </w:rPr>
        <w:t xml:space="preserve">, </w:t>
      </w:r>
      <w:r w:rsidRPr="00B37515">
        <w:rPr>
          <w:rFonts w:eastAsia="Calibri"/>
          <w:i/>
          <w:szCs w:val="24"/>
          <w:lang w:val="en-GB"/>
        </w:rPr>
        <w:t>A</w:t>
      </w:r>
      <w:r w:rsidRPr="00B37515">
        <w:rPr>
          <w:rFonts w:eastAsia="Calibri"/>
          <w:szCs w:val="24"/>
          <w:lang w:val="en-GB"/>
        </w:rPr>
        <w:t xml:space="preserve"> is a direct child item of item 1, while in tree </w:t>
      </w:r>
      <w:r w:rsidRPr="00B37515">
        <w:rPr>
          <w:rFonts w:eastAsia="Calibri"/>
          <w:i/>
          <w:szCs w:val="24"/>
          <w:lang w:val="en-GB"/>
        </w:rPr>
        <w:t>T’</w:t>
      </w:r>
      <w:r w:rsidRPr="00B37515">
        <w:rPr>
          <w:rFonts w:eastAsia="Calibri"/>
          <w:szCs w:val="24"/>
          <w:lang w:val="en-GB"/>
        </w:rPr>
        <w:t xml:space="preserve"> it is a direct child of item 2. In both cases, </w:t>
      </w:r>
      <w:r w:rsidRPr="00B37515">
        <w:rPr>
          <w:rFonts w:eastAsia="Calibri"/>
          <w:i/>
          <w:szCs w:val="24"/>
          <w:lang w:val="en-GB"/>
        </w:rPr>
        <w:t>A</w:t>
      </w:r>
      <w:r w:rsidRPr="00B37515">
        <w:rPr>
          <w:rFonts w:eastAsia="Calibri"/>
          <w:szCs w:val="24"/>
          <w:lang w:val="en-GB"/>
        </w:rPr>
        <w:t xml:space="preserve"> is on the same level. We call this a level movement.  </w:t>
      </w:r>
    </w:p>
    <w:p w14:paraId="6EED0F87" w14:textId="4C6ACD73" w:rsidR="00DD5338" w:rsidRDefault="00DD5338" w:rsidP="00880E8B">
      <w:pPr>
        <w:spacing w:before="120"/>
        <w:jc w:val="both"/>
        <w:rPr>
          <w:rFonts w:eastAsia="Calibri"/>
          <w:szCs w:val="24"/>
          <w:lang w:val="en-GB"/>
        </w:rPr>
      </w:pPr>
      <w:r>
        <w:rPr>
          <w:rFonts w:eastAsia="Calibri"/>
          <w:i/>
          <w:szCs w:val="24"/>
          <w:lang w:val="en-GB"/>
        </w:rPr>
        <w:t>Diagonal Movement.</w:t>
      </w:r>
      <w:r w:rsidRPr="00B37515">
        <w:rPr>
          <w:rFonts w:eastAsia="Calibri"/>
          <w:szCs w:val="24"/>
          <w:lang w:val="en-GB"/>
        </w:rPr>
        <w:t xml:space="preserve"> </w:t>
      </w:r>
      <w:r>
        <w:rPr>
          <w:rFonts w:eastAsia="Calibri"/>
          <w:szCs w:val="24"/>
          <w:lang w:val="en-GB"/>
        </w:rPr>
        <w:t xml:space="preserve">In </w:t>
      </w:r>
      <w:r w:rsidR="00D764A8">
        <w:rPr>
          <w:rFonts w:eastAsia="Calibri"/>
          <w:szCs w:val="24"/>
          <w:lang w:val="en-GB"/>
        </w:rPr>
        <w:t>Fig.</w:t>
      </w:r>
      <w:r w:rsidRPr="00B37515">
        <w:rPr>
          <w:rFonts w:eastAsia="Calibri"/>
          <w:szCs w:val="24"/>
          <w:lang w:val="en-GB"/>
        </w:rPr>
        <w:t xml:space="preserve"> 2(c), </w:t>
      </w:r>
      <w:r w:rsidRPr="00B37515">
        <w:rPr>
          <w:rFonts w:eastAsia="Calibri"/>
          <w:i/>
          <w:szCs w:val="24"/>
          <w:lang w:val="en-GB"/>
        </w:rPr>
        <w:t>A</w:t>
      </w:r>
      <w:r w:rsidRPr="00B37515">
        <w:rPr>
          <w:rFonts w:eastAsia="Calibri"/>
          <w:szCs w:val="24"/>
          <w:lang w:val="en-GB"/>
        </w:rPr>
        <w:t xml:space="preserve"> </w:t>
      </w:r>
      <w:r>
        <w:rPr>
          <w:rFonts w:eastAsia="Calibri"/>
          <w:szCs w:val="24"/>
          <w:lang w:val="en-GB"/>
        </w:rPr>
        <w:t xml:space="preserve">is </w:t>
      </w:r>
      <w:r w:rsidRPr="00B37515">
        <w:rPr>
          <w:rFonts w:eastAsia="Calibri"/>
          <w:szCs w:val="24"/>
          <w:lang w:val="en-GB"/>
        </w:rPr>
        <w:t xml:space="preserve">both in a different level and family of item of the tree. We call this a diagonal movement. </w:t>
      </w:r>
    </w:p>
    <w:p w14:paraId="66C19CE2" w14:textId="09405F62" w:rsidR="00842F0F" w:rsidRDefault="00DD5338" w:rsidP="00880E8B">
      <w:pPr>
        <w:jc w:val="both"/>
        <w:rPr>
          <w:rFonts w:eastAsia="Calibri"/>
          <w:szCs w:val="24"/>
          <w:lang w:val="en-GB"/>
        </w:rPr>
      </w:pPr>
      <w:r w:rsidRPr="005E219F">
        <w:rPr>
          <w:rFonts w:eastAsia="Calibri"/>
          <w:i/>
          <w:iCs/>
          <w:szCs w:val="24"/>
          <w:lang w:val="en-GB"/>
        </w:rPr>
        <w:t>Swap.</w:t>
      </w:r>
      <w:r>
        <w:rPr>
          <w:rFonts w:eastAsia="Calibri"/>
          <w:szCs w:val="24"/>
          <w:lang w:val="en-GB"/>
        </w:rPr>
        <w:t xml:space="preserve"> </w:t>
      </w:r>
      <w:r w:rsidRPr="00B37515">
        <w:rPr>
          <w:rFonts w:eastAsia="Calibri"/>
          <w:szCs w:val="24"/>
          <w:lang w:val="en-GB"/>
        </w:rPr>
        <w:t xml:space="preserve"> </w:t>
      </w:r>
      <w:r>
        <w:rPr>
          <w:rFonts w:eastAsia="Calibri"/>
          <w:szCs w:val="24"/>
          <w:lang w:val="en-GB"/>
        </w:rPr>
        <w:t xml:space="preserve">In </w:t>
      </w:r>
      <w:r w:rsidR="00D764A8">
        <w:rPr>
          <w:rFonts w:eastAsia="Calibri"/>
          <w:szCs w:val="24"/>
          <w:lang w:val="en-GB"/>
        </w:rPr>
        <w:t>Fig.</w:t>
      </w:r>
      <w:r w:rsidRPr="00B37515">
        <w:rPr>
          <w:rFonts w:eastAsia="Calibri"/>
          <w:szCs w:val="24"/>
          <w:lang w:val="en-GB"/>
        </w:rPr>
        <w:t xml:space="preserve"> 3, there </w:t>
      </w:r>
      <w:r>
        <w:rPr>
          <w:rFonts w:eastAsia="Calibri"/>
          <w:szCs w:val="24"/>
          <w:lang w:val="en-GB"/>
        </w:rPr>
        <w:t xml:space="preserve">is </w:t>
      </w:r>
      <w:r w:rsidRPr="00B37515">
        <w:rPr>
          <w:rFonts w:eastAsia="Calibri"/>
          <w:szCs w:val="24"/>
          <w:lang w:val="en-GB"/>
        </w:rPr>
        <w:t xml:space="preserve">another item </w:t>
      </w:r>
      <w:r w:rsidRPr="00B37515">
        <w:rPr>
          <w:rFonts w:eastAsia="Calibri"/>
          <w:i/>
          <w:szCs w:val="24"/>
          <w:lang w:val="en-GB"/>
        </w:rPr>
        <w:t>B</w:t>
      </w:r>
      <w:r w:rsidRPr="00B37515">
        <w:rPr>
          <w:rFonts w:eastAsia="Calibri"/>
          <w:szCs w:val="24"/>
          <w:lang w:val="en-GB"/>
        </w:rPr>
        <w:t xml:space="preserve"> where </w:t>
      </w:r>
      <w:r w:rsidRPr="00B37515">
        <w:rPr>
          <w:rFonts w:eastAsia="Calibri"/>
          <w:i/>
          <w:szCs w:val="24"/>
          <w:lang w:val="en-GB"/>
        </w:rPr>
        <w:t xml:space="preserve">A </w:t>
      </w:r>
      <w:r w:rsidRPr="00B37515">
        <w:rPr>
          <w:rFonts w:eastAsia="Calibri"/>
          <w:szCs w:val="24"/>
          <w:lang w:val="en-GB"/>
        </w:rPr>
        <w:t xml:space="preserve">and </w:t>
      </w:r>
      <w:r w:rsidRPr="00B37515">
        <w:rPr>
          <w:rFonts w:eastAsia="Calibri"/>
          <w:i/>
          <w:szCs w:val="24"/>
          <w:lang w:val="en-GB"/>
        </w:rPr>
        <w:t>B</w:t>
      </w:r>
      <w:r w:rsidRPr="00B37515">
        <w:rPr>
          <w:rFonts w:eastAsia="Calibri"/>
          <w:szCs w:val="24"/>
          <w:lang w:val="en-GB"/>
        </w:rPr>
        <w:t xml:space="preserve"> have changed places.  We call this a swap.  </w:t>
      </w:r>
      <w:r>
        <w:rPr>
          <w:rFonts w:eastAsia="Calibri"/>
          <w:szCs w:val="24"/>
          <w:lang w:val="en-GB"/>
        </w:rPr>
        <w:t xml:space="preserve">Swaps are considered because they </w:t>
      </w:r>
      <w:r w:rsidRPr="00B37515">
        <w:rPr>
          <w:rFonts w:eastAsia="Calibri"/>
          <w:szCs w:val="24"/>
          <w:lang w:val="en-GB"/>
        </w:rPr>
        <w:t xml:space="preserve">reflect a single cognitive difference between two experts. There are effectively three kinds of swaps (hierarchical, level, and diagonal).  In the contrasting examples of </w:t>
      </w:r>
      <w:r w:rsidR="00D764A8">
        <w:rPr>
          <w:rFonts w:eastAsia="Calibri"/>
          <w:szCs w:val="24"/>
          <w:lang w:val="en-GB"/>
        </w:rPr>
        <w:t>Fig.</w:t>
      </w:r>
      <w:r w:rsidRPr="00B37515">
        <w:rPr>
          <w:rFonts w:eastAsia="Calibri"/>
          <w:szCs w:val="24"/>
          <w:lang w:val="en-GB"/>
        </w:rPr>
        <w:t xml:space="preserve"> 3,</w:t>
      </w:r>
      <w:r w:rsidRPr="00B37515">
        <w:rPr>
          <w:lang w:val="en-GB"/>
        </w:rPr>
        <w:t xml:space="preserve"> </w:t>
      </w:r>
      <w:r w:rsidRPr="00B37515">
        <w:rPr>
          <w:i/>
          <w:lang w:val="en-GB"/>
        </w:rPr>
        <w:t>A</w:t>
      </w:r>
      <w:r w:rsidRPr="00B37515">
        <w:rPr>
          <w:lang w:val="en-GB"/>
        </w:rPr>
        <w:t xml:space="preserve"> and </w:t>
      </w:r>
      <w:r w:rsidRPr="00B37515">
        <w:rPr>
          <w:i/>
          <w:lang w:val="en-GB"/>
        </w:rPr>
        <w:t>B</w:t>
      </w:r>
      <w:r w:rsidRPr="00B37515">
        <w:rPr>
          <w:lang w:val="en-GB"/>
        </w:rPr>
        <w:t xml:space="preserve"> have swapped places.</w:t>
      </w:r>
      <w:r w:rsidRPr="00B37515">
        <w:rPr>
          <w:rFonts w:eastAsia="Calibri"/>
          <w:szCs w:val="24"/>
          <w:lang w:val="en-GB"/>
        </w:rPr>
        <w:t xml:space="preserve"> </w:t>
      </w:r>
    </w:p>
    <w:p w14:paraId="3F4F9D18" w14:textId="5197683B" w:rsidR="00657E01" w:rsidRDefault="00657E01" w:rsidP="00880E8B">
      <w:pPr>
        <w:spacing w:before="120"/>
        <w:jc w:val="both"/>
        <w:rPr>
          <w:rFonts w:eastAsia="Calibri"/>
          <w:noProof/>
          <w:szCs w:val="24"/>
          <w:lang w:val="en-GB"/>
        </w:rPr>
      </w:pPr>
      <w:r w:rsidRPr="005E219F">
        <w:rPr>
          <w:rFonts w:eastAsia="Calibri"/>
          <w:i/>
          <w:szCs w:val="24"/>
          <w:lang w:val="en-GB"/>
        </w:rPr>
        <w:t>Missing data points</w:t>
      </w:r>
      <w:r>
        <w:rPr>
          <w:rFonts w:eastAsia="Calibri"/>
          <w:i/>
          <w:szCs w:val="24"/>
          <w:lang w:val="en-GB"/>
        </w:rPr>
        <w:t>.</w:t>
      </w:r>
      <w:r w:rsidRPr="005E219F">
        <w:rPr>
          <w:rFonts w:eastAsia="Calibri"/>
          <w:szCs w:val="24"/>
          <w:lang w:val="en-GB"/>
        </w:rPr>
        <w:t xml:space="preserve"> </w:t>
      </w:r>
      <w:r w:rsidRPr="00B37515">
        <w:rPr>
          <w:rFonts w:eastAsia="Calibri"/>
          <w:szCs w:val="24"/>
          <w:lang w:val="en-GB"/>
        </w:rPr>
        <w:t>Finally, it is possible for one person to be unable to map an item into the tree, while the other was able to do so.  In total, there are therefore 7 kinds of errors comprising 3 kinds of movements, 3 kinds of swaps and a situation where one person put an item in the tree, but the other did not.</w:t>
      </w:r>
    </w:p>
    <w:p w14:paraId="56BA6794" w14:textId="38D3A646" w:rsidR="00657E01" w:rsidRPr="009B4E43" w:rsidRDefault="00842F0F" w:rsidP="009B4E43">
      <w:pPr>
        <w:spacing w:before="120"/>
        <w:jc w:val="both"/>
        <w:rPr>
          <w:rFonts w:eastAsia="Calibri"/>
          <w:szCs w:val="24"/>
          <w:lang w:val="en-GB"/>
        </w:rPr>
      </w:pPr>
      <w:r>
        <w:rPr>
          <w:rFonts w:eastAsia="Calibri"/>
          <w:noProof/>
          <w:szCs w:val="24"/>
          <w:lang w:val="en-GB"/>
        </w:rPr>
        <w:drawing>
          <wp:inline distT="0" distB="0" distL="0" distR="0" wp14:anchorId="7A081F9C" wp14:editId="41631DA8">
            <wp:extent cx="3230088" cy="3253874"/>
            <wp:effectExtent l="0" t="0" r="8890" b="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rotWithShape="1">
                    <a:blip r:embed="rId10"/>
                    <a:srcRect r="5064"/>
                    <a:stretch/>
                  </pic:blipFill>
                  <pic:spPr bwMode="auto">
                    <a:xfrm>
                      <a:off x="0" y="0"/>
                      <a:ext cx="3241861" cy="3265733"/>
                    </a:xfrm>
                    <a:prstGeom prst="rect">
                      <a:avLst/>
                    </a:prstGeom>
                    <a:ln>
                      <a:noFill/>
                    </a:ln>
                    <a:extLst>
                      <a:ext uri="{53640926-AAD7-44D8-BBD7-CCE9431645EC}">
                        <a14:shadowObscured xmlns:a14="http://schemas.microsoft.com/office/drawing/2010/main"/>
                      </a:ext>
                    </a:extLst>
                  </pic:spPr>
                </pic:pic>
              </a:graphicData>
            </a:graphic>
          </wp:inline>
        </w:drawing>
      </w:r>
      <w:r w:rsidR="009B4E43" w:rsidRPr="009B4E43">
        <w:rPr>
          <w:i/>
          <w:iCs/>
          <w:color w:val="000000" w:themeColor="text1"/>
          <w:szCs w:val="18"/>
          <w:lang w:val="en-GB"/>
        </w:rPr>
        <w:t xml:space="preserve"> </w:t>
      </w:r>
      <w:r w:rsidR="009B4E43" w:rsidRPr="009B4E43">
        <w:rPr>
          <w:color w:val="000000" w:themeColor="text1"/>
          <w:sz w:val="16"/>
          <w:szCs w:val="14"/>
          <w:lang w:val="en-GB"/>
        </w:rPr>
        <w:t>Fig. 3.</w:t>
      </w:r>
      <w:r w:rsidR="009B4E43" w:rsidRPr="009B4E43">
        <w:rPr>
          <w:rFonts w:eastAsia="Calibri"/>
          <w:color w:val="000000"/>
          <w:sz w:val="16"/>
          <w:lang w:val="en-GB"/>
        </w:rPr>
        <w:t xml:space="preserve">  Presents problematic item A and B for </w:t>
      </w:r>
      <w:r w:rsidR="002D71D6">
        <w:rPr>
          <w:rFonts w:eastAsia="Calibri"/>
          <w:color w:val="000000"/>
          <w:sz w:val="16"/>
          <w:lang w:val="en-GB"/>
        </w:rPr>
        <w:t>d</w:t>
      </w:r>
      <w:r w:rsidR="009B4E43" w:rsidRPr="009B4E43">
        <w:rPr>
          <w:rFonts w:eastAsia="Calibri"/>
          <w:color w:val="000000"/>
          <w:sz w:val="16"/>
          <w:lang w:val="en-GB"/>
        </w:rPr>
        <w:t>iagnostic tree.</w:t>
      </w:r>
    </w:p>
    <w:p w14:paraId="0862EFD2" w14:textId="77777777" w:rsidR="00657E01" w:rsidRPr="00B37515" w:rsidRDefault="00657E01" w:rsidP="00880E8B">
      <w:pPr>
        <w:pStyle w:val="Heading1"/>
        <w:jc w:val="both"/>
        <w:rPr>
          <w:rFonts w:eastAsiaTheme="majorEastAsia"/>
        </w:rPr>
      </w:pPr>
      <w:r w:rsidRPr="00B37515">
        <w:rPr>
          <w:rFonts w:eastAsiaTheme="majorEastAsia"/>
        </w:rPr>
        <w:t>Modified Q-Sort Approach</w:t>
      </w:r>
    </w:p>
    <w:p w14:paraId="569710E5" w14:textId="77777777" w:rsidR="00657E01" w:rsidRPr="00437D68" w:rsidRDefault="00657E01" w:rsidP="00880E8B">
      <w:pPr>
        <w:ind w:firstLine="202"/>
        <w:jc w:val="both"/>
        <w:rPr>
          <w:szCs w:val="24"/>
          <w:lang w:val="en-GB"/>
        </w:rPr>
      </w:pPr>
      <w:bookmarkStart w:id="17" w:name="_Hlk49848486"/>
      <w:bookmarkStart w:id="18" w:name="_Hlk49165411"/>
      <w:r w:rsidRPr="000A668B">
        <w:rPr>
          <w:rFonts w:eastAsia="Calibri"/>
          <w:szCs w:val="24"/>
          <w:lang w:val="en-GB"/>
        </w:rPr>
        <w:t xml:space="preserve">Our modified q-sort methodology is intended to ensure a constructed diagnostic tree is consistent across experts (i.e., has validity).  We cannot use a traditional q-sort </w:t>
      </w:r>
      <w:r w:rsidRPr="000A668B">
        <w:rPr>
          <w:rFonts w:eastAsia="Calibri"/>
          <w:szCs w:val="24"/>
          <w:lang w:val="en-GB"/>
        </w:rPr>
        <w:fldChar w:fldCharType="begin" w:fldLock="1"/>
      </w:r>
      <w:r>
        <w:rPr>
          <w:rFonts w:eastAsia="Calibri"/>
          <w:szCs w:val="24"/>
          <w:lang w:val="en-GB"/>
        </w:rPr>
        <w:instrText>ADDIN CSL_CITATION {"citationItems":[{"id":"ITEM-1","itemData":{"DOI":"10.2307/1419315","ISBN":"0 89106 000 6","ISSN":"00029556","abstract":"In this monograph a language instrument is presented which aims to permit the comprehensive description, in contemporary psychodynamic terms, of an individual's personality in a form suitable for quantitative comparison and analysis. The language instrument consists simply of a set of personality variables—the California Q-set—together with instructions for ordering these variables so as to describe a designated person. The procedure proposed is a specific application of the rather general scaling technique due to William Stephenson and known as the Q-sort method (Stephenson, 1953). A device with the desired properties, once achieved, should have wide applicability in both research and teaching settings. Currently, personality evaluations by professionally-trained observers are in disrepute as unreliable, invalid expressions of capriciously held notions of personality. There are a number of reasons, some of them valid, why this critical attitude so dominates the psychological scene. A fundamental purpose of the present monograph is to speak out for the usefulness and even the inevitability of observer-evaluations as a research method. Criticisms of observer-evaluations are discussed and some ways of meeting these concerns are proposed. By way of support for our point of view, a variety of research applications of the method and principles here advocated are described. (PsycINFO Database Record (c) 2012 APA, all rights reserved). (from the chapter)","author":[{"dropping-particle":"","family":"Block","given":"Jack","non-dropping-particle":"","parse-names":false,"suffix":""}],"container-title":"The Q-sort method in personality assessment and psychiatric research","id":"ITEM-1","issued":{"date-parts":[["1961"]]},"page":"3-26","title":"An introduction to the Q-sort method of personality description","type":"article-journal"},"uris":["http://www.mendeley.com/documents/?uuid=edc8c3b1-2838-4c57-9337-65bfd382a19e"]}],"mendeley":{"formattedCitation":"[38]","plainTextFormattedCitation":"[38]","previouslyFormattedCitation":"[38]"},"properties":{"noteIndex":0},"schema":"https://github.com/citation-style-language/schema/raw/master/csl-citation.json"}</w:instrText>
      </w:r>
      <w:r w:rsidRPr="000A668B">
        <w:rPr>
          <w:rFonts w:eastAsia="Calibri"/>
          <w:szCs w:val="24"/>
          <w:lang w:val="en-GB"/>
        </w:rPr>
        <w:fldChar w:fldCharType="separate"/>
      </w:r>
      <w:r w:rsidRPr="00E65D3B">
        <w:rPr>
          <w:rFonts w:eastAsia="Calibri"/>
          <w:noProof/>
          <w:szCs w:val="24"/>
          <w:lang w:val="en-GB"/>
        </w:rPr>
        <w:t>[38]</w:t>
      </w:r>
      <w:r w:rsidRPr="000A668B">
        <w:rPr>
          <w:rFonts w:eastAsia="Calibri"/>
          <w:szCs w:val="24"/>
          <w:lang w:val="en-GB"/>
        </w:rPr>
        <w:fldChar w:fldCharType="end"/>
      </w:r>
      <w:r w:rsidRPr="000A668B">
        <w:rPr>
          <w:rFonts w:eastAsia="Calibri"/>
          <w:szCs w:val="24"/>
          <w:lang w:val="en-GB"/>
        </w:rPr>
        <w:t>, because it only has one level of branching, where you group all items into a set of buckets. Our methodology not only assesses the validity of the tree, but also diagnoses where in the tree the inconsistencies are between experts</w:t>
      </w:r>
      <w:bookmarkEnd w:id="17"/>
      <w:r w:rsidRPr="000A668B">
        <w:rPr>
          <w:rFonts w:eastAsia="Calibri" w:cs="Arial"/>
          <w:szCs w:val="24"/>
          <w:lang w:val="en-GB"/>
        </w:rPr>
        <w:t xml:space="preserve">. </w:t>
      </w:r>
      <w:bookmarkEnd w:id="18"/>
      <w:r w:rsidRPr="000A668B">
        <w:rPr>
          <w:rFonts w:eastAsia="Calibri" w:cs="Arial"/>
          <w:szCs w:val="24"/>
          <w:lang w:val="en-GB"/>
        </w:rPr>
        <w:t>Our q-sort methodology</w:t>
      </w:r>
      <w:r w:rsidRPr="000A668B">
        <w:rPr>
          <w:szCs w:val="24"/>
          <w:lang w:val="en-GB"/>
        </w:rPr>
        <w:t xml:space="preserve"> requires three key components:</w:t>
      </w:r>
    </w:p>
    <w:p w14:paraId="7C701793" w14:textId="77777777" w:rsidR="00657E01" w:rsidRPr="00E062A2" w:rsidRDefault="00657E01" w:rsidP="00880E8B">
      <w:pPr>
        <w:jc w:val="both"/>
        <w:rPr>
          <w:szCs w:val="24"/>
        </w:rPr>
      </w:pPr>
      <w:r w:rsidRPr="00E062A2">
        <w:rPr>
          <w:b/>
          <w:szCs w:val="24"/>
        </w:rPr>
        <w:t xml:space="preserve">(1) </w:t>
      </w:r>
      <w:r>
        <w:rPr>
          <w:b/>
          <w:szCs w:val="24"/>
        </w:rPr>
        <w:t>A</w:t>
      </w:r>
      <w:r w:rsidRPr="00E062A2">
        <w:rPr>
          <w:b/>
          <w:szCs w:val="24"/>
        </w:rPr>
        <w:t>ccess to knowledge sources such as a library, or online forums.</w:t>
      </w:r>
      <w:r w:rsidRPr="00E062A2">
        <w:rPr>
          <w:szCs w:val="24"/>
        </w:rPr>
        <w:t xml:space="preserve">  The knowledge sources must be rich enough that the items for the </w:t>
      </w:r>
      <w:bookmarkStart w:id="19" w:name="_Hlk48641097"/>
      <w:r>
        <w:rPr>
          <w:szCs w:val="24"/>
        </w:rPr>
        <w:t xml:space="preserve">diagnostic </w:t>
      </w:r>
      <w:r w:rsidRPr="00E062A2">
        <w:rPr>
          <w:szCs w:val="24"/>
        </w:rPr>
        <w:t xml:space="preserve">tree </w:t>
      </w:r>
      <w:bookmarkEnd w:id="19"/>
      <w:r w:rsidRPr="00E062A2">
        <w:rPr>
          <w:szCs w:val="24"/>
        </w:rPr>
        <w:t>can be obtained from th</w:t>
      </w:r>
      <w:r>
        <w:rPr>
          <w:szCs w:val="24"/>
        </w:rPr>
        <w:t>ese</w:t>
      </w:r>
      <w:r w:rsidRPr="00E062A2">
        <w:rPr>
          <w:szCs w:val="24"/>
        </w:rPr>
        <w:t xml:space="preserve"> knowledge sources.  A variety of knowledge sources may be used</w:t>
      </w:r>
      <w:r>
        <w:rPr>
          <w:szCs w:val="24"/>
        </w:rPr>
        <w:t xml:space="preserve">.  These includes posts in </w:t>
      </w:r>
      <w:r w:rsidRPr="00E062A2">
        <w:rPr>
          <w:szCs w:val="24"/>
        </w:rPr>
        <w:t xml:space="preserve">online forums, videos, tutorials, reviews, letters, biographies, speeches, reports, books, </w:t>
      </w:r>
      <w:r w:rsidRPr="00E062A2">
        <w:rPr>
          <w:szCs w:val="24"/>
        </w:rPr>
        <w:fldChar w:fldCharType="begin" w:fldLock="1"/>
      </w:r>
      <w:r>
        <w:rPr>
          <w:szCs w:val="24"/>
        </w:rPr>
        <w:instrText>ADDIN CSL_CITATION {"citationItems":[{"id":"ITEM-1","itemData":{"DOI":"10.2307/2575405","ISBN":"0202302601","ISSN":"00377732","PMID":"1225708","abstract":"This volume is directed toward closing the gap between theory and empirical research and improving social scientists' capacities for generating theory that is relevant and useful to their research.","author":[{"dropping-particle":"","family":"Glaser","given":"Barney G","non-dropping-particle":"","parse-names":false,"suffix":""},{"dropping-particle":"","family":"Strauss","given":"Anselm L","non-dropping-particle":"","parse-names":false,"suffix":""}],"container-title":"Observations","id":"ITEM-1","issued":{"date-parts":[["1967"]]},"publisher":"Aldine Publishing Company","publisher-place":"London","title":"The Discovery of Grounded Theory: Strategies for Qualitative Research","type":"book"},"uris":["http://www.mendeley.com/documents/?uuid=ff381370-4cd6-413b-91df-dbc5331b74d0"]}],"mendeley":{"formattedCitation":"[39]","plainTextFormattedCitation":"[39]","previouslyFormattedCitation":"[39]"},"properties":{"noteIndex":0},"schema":"https://github.com/citation-style-language/schema/raw/master/csl-citation.json"}</w:instrText>
      </w:r>
      <w:r w:rsidRPr="00E062A2">
        <w:rPr>
          <w:szCs w:val="24"/>
        </w:rPr>
        <w:fldChar w:fldCharType="separate"/>
      </w:r>
      <w:r w:rsidRPr="00E65D3B">
        <w:rPr>
          <w:noProof/>
          <w:szCs w:val="24"/>
        </w:rPr>
        <w:t>[39]</w:t>
      </w:r>
      <w:r w:rsidRPr="00E062A2">
        <w:rPr>
          <w:szCs w:val="24"/>
        </w:rPr>
        <w:fldChar w:fldCharType="end"/>
      </w:r>
      <w:r w:rsidRPr="00E062A2">
        <w:rPr>
          <w:szCs w:val="24"/>
        </w:rPr>
        <w:t xml:space="preserve"> interviews, focus groups, </w:t>
      </w:r>
      <w:r>
        <w:rPr>
          <w:szCs w:val="24"/>
        </w:rPr>
        <w:t xml:space="preserve">and </w:t>
      </w:r>
      <w:r w:rsidRPr="00E062A2">
        <w:rPr>
          <w:szCs w:val="24"/>
        </w:rPr>
        <w:t>observations</w:t>
      </w:r>
      <w:r>
        <w:rPr>
          <w:szCs w:val="24"/>
        </w:rPr>
        <w:t xml:space="preserve"> of the phenomenon</w:t>
      </w:r>
      <w:r w:rsidRPr="00E062A2">
        <w:rPr>
          <w:szCs w:val="24"/>
        </w:rPr>
        <w:t xml:space="preserve">. </w:t>
      </w:r>
      <w:r>
        <w:rPr>
          <w:szCs w:val="24"/>
        </w:rPr>
        <w:t>What a relevant knowledge source</w:t>
      </w:r>
      <w:r w:rsidRPr="00E062A2">
        <w:rPr>
          <w:szCs w:val="24"/>
        </w:rPr>
        <w:t xml:space="preserve"> </w:t>
      </w:r>
      <w:r>
        <w:rPr>
          <w:szCs w:val="24"/>
        </w:rPr>
        <w:t xml:space="preserve">is, </w:t>
      </w:r>
      <w:r w:rsidRPr="00E062A2">
        <w:rPr>
          <w:szCs w:val="24"/>
        </w:rPr>
        <w:t xml:space="preserve">will differ depending on the </w:t>
      </w:r>
      <w:r>
        <w:rPr>
          <w:szCs w:val="24"/>
        </w:rPr>
        <w:t xml:space="preserve">diagnostic tree </w:t>
      </w:r>
      <w:r w:rsidRPr="00E062A2">
        <w:rPr>
          <w:szCs w:val="24"/>
        </w:rPr>
        <w:t xml:space="preserve">domain and in most </w:t>
      </w:r>
      <w:r>
        <w:rPr>
          <w:szCs w:val="24"/>
        </w:rPr>
        <w:t>case</w:t>
      </w:r>
      <w:r w:rsidRPr="00E062A2">
        <w:rPr>
          <w:szCs w:val="24"/>
        </w:rPr>
        <w:t xml:space="preserve">s, a collection of knowledge sources may be required. </w:t>
      </w:r>
    </w:p>
    <w:p w14:paraId="7345624D" w14:textId="12A35069" w:rsidR="00657E01" w:rsidRPr="00904CD2" w:rsidRDefault="00657E01" w:rsidP="00880E8B">
      <w:pPr>
        <w:jc w:val="both"/>
        <w:rPr>
          <w:szCs w:val="24"/>
        </w:rPr>
      </w:pPr>
      <w:r w:rsidRPr="00E062A2">
        <w:rPr>
          <w:b/>
          <w:szCs w:val="24"/>
        </w:rPr>
        <w:t xml:space="preserve">(2) </w:t>
      </w:r>
      <w:bookmarkStart w:id="20" w:name="_Hlk509405059"/>
      <w:r>
        <w:rPr>
          <w:b/>
          <w:szCs w:val="24"/>
        </w:rPr>
        <w:t>A</w:t>
      </w:r>
      <w:r w:rsidRPr="00E062A2">
        <w:rPr>
          <w:b/>
          <w:szCs w:val="24"/>
        </w:rPr>
        <w:t xml:space="preserve">t least two </w:t>
      </w:r>
      <w:r>
        <w:rPr>
          <w:b/>
          <w:szCs w:val="24"/>
        </w:rPr>
        <w:t>expert</w:t>
      </w:r>
      <w:r w:rsidRPr="00E062A2">
        <w:rPr>
          <w:b/>
          <w:szCs w:val="24"/>
        </w:rPr>
        <w:t xml:space="preserve">s. </w:t>
      </w:r>
      <w:r>
        <w:rPr>
          <w:b/>
          <w:szCs w:val="24"/>
        </w:rPr>
        <w:t>Expert</w:t>
      </w:r>
      <w:r w:rsidRPr="00E062A2">
        <w:rPr>
          <w:b/>
          <w:szCs w:val="24"/>
        </w:rPr>
        <w:t xml:space="preserve">s must be blind and independent </w:t>
      </w:r>
      <w:r>
        <w:rPr>
          <w:b/>
          <w:szCs w:val="24"/>
        </w:rPr>
        <w:t>of</w:t>
      </w:r>
      <w:r w:rsidRPr="00E062A2">
        <w:rPr>
          <w:b/>
          <w:szCs w:val="24"/>
        </w:rPr>
        <w:t xml:space="preserve"> the study. </w:t>
      </w:r>
      <w:r w:rsidRPr="00E062A2">
        <w:rPr>
          <w:szCs w:val="24"/>
        </w:rPr>
        <w:t xml:space="preserve">Most studies have indicated that two </w:t>
      </w:r>
      <w:r>
        <w:rPr>
          <w:szCs w:val="24"/>
        </w:rPr>
        <w:t>expert</w:t>
      </w:r>
      <w:r w:rsidRPr="00E062A2">
        <w:rPr>
          <w:szCs w:val="24"/>
        </w:rPr>
        <w:t xml:space="preserve">s </w:t>
      </w:r>
      <w:r>
        <w:rPr>
          <w:szCs w:val="24"/>
        </w:rPr>
        <w:t>are</w:t>
      </w:r>
      <w:r w:rsidRPr="00E062A2">
        <w:rPr>
          <w:szCs w:val="24"/>
        </w:rPr>
        <w:t xml:space="preserve"> sufficient</w:t>
      </w:r>
      <w:r>
        <w:rPr>
          <w:szCs w:val="24"/>
        </w:rPr>
        <w:t xml:space="preserve"> for assessing inter-rater reliability</w:t>
      </w:r>
      <w:r w:rsidRPr="00E062A2">
        <w:rPr>
          <w:szCs w:val="24"/>
        </w:rPr>
        <w:t xml:space="preserve"> </w:t>
      </w:r>
      <w:r>
        <w:rPr>
          <w:szCs w:val="24"/>
        </w:rPr>
        <w:fldChar w:fldCharType="begin" w:fldLock="1"/>
      </w:r>
      <w:r>
        <w:rPr>
          <w:szCs w:val="24"/>
        </w:rPr>
        <w:instrText>ADDIN CSL_CITATION {"citationItems":[{"id":"ITEM-1","itemData":{"abstract":"An introduction to applied probability -- Statistical inference for a single proportion -- Assessing significance in a fourfold table -- Determining sample sizes needed to detect a difference between two proportions -- How to randomize -- Comparative studies : cross-sectional, naturalistic, or multinomial sampling -- Comparative studies : prospective and retrospective sampling -- Randomized controlled trials -- The comparison of proportions from several independent samples -- Combining evidence from fourfold tables -- Logistic regression -- Poisson regression -- The analysis of data from matched samples -- Regression models for matched samples -- Analysis of correlated binary data -- Missing data -- Misclassification : effects, control, and -- The measurement of interrater agreement -- The standardization of rates.","author":[{"dropping-particle":"","family":"Fleiss","given":"JL","non-dropping-particle":"","parse-names":false,"suffix":""},{"dropping-particle":"","family":"Levin","given":"B","non-dropping-particle":"","parse-names":false,"suffix":""},{"dropping-particle":"","family":"Cho Paik","given":"M","non-dropping-particle":"","parse-names":false,"suffix":""}],"container-title":"John Wiley &amp; Sons","id":"ITEM-1","issued":{"date-parts":[["2013"]]},"number-of-pages":"800","title":"Statistical Methods for Rates and Proportions","type":"book"},"uris":["http://www.mendeley.com/documents/?uuid=501211bb-d5e2-402f-9f16-3f2a93603ef9"]},{"id":"ITEM-2","itemData":{"DOI":"10.1348/000711006X126600","ISBN":"0007-1102 (Print)\\r0007-1102 (Linking)","ISSN":"2044-8317","PMID":"18482474","abstract":"Pi (π) and kappa (κ) statistics are widely used in the areas of psychiatry and psychological testing to compute the extent of agreement between raters on nominally scaled data. It is a fact that these coefficients occasionally yield unexpected results in situations known as the paradoxes of kappa. This paper explores the origin of these limitations, and introduces an alternative and more stable agreement coefficient referred to as the AC1 coefficient. Also proposed are new variance estimators for the multiple-rater generalized π and AC1 statistics, whose validity does not depend upon the hypothesis of independence between raters. This is an improvement over existing alternative variances, which depend on the independence assumption. A Monte-Carlo simulation study demonstrates the validity of these variance estimators for confidence interval construction, and confirms the value of AC1 as an improved alternative to existing inter-rater reliability statistics.","author":[{"dropping-particle":"","family":"Gwet","given":"Kilem Li","non-dropping-particle":"","parse-names":false,"suffix":""}],"container-title":"British Journal of Mathematical and Statistical Psychology","id":"ITEM-2","issue":"1","issued":{"date-parts":[["2008"]]},"page":"29-48","title":"Computing inter-rater reliability and its variance in the presence of high agreement","type":"article-journal","volume":"61"},"uris":["http://www.mendeley.com/documents/?uuid=581337bf-ac8d-4595-9131-06b7e4e5aa22"]}],"mendeley":{"formattedCitation":"[40], [41]","plainTextFormattedCitation":"[40], [41]","previouslyFormattedCitation":"[40], [41]"},"properties":{"noteIndex":0},"schema":"https://github.com/citation-style-language/schema/raw/master/csl-citation.json"}</w:instrText>
      </w:r>
      <w:r>
        <w:rPr>
          <w:szCs w:val="24"/>
        </w:rPr>
        <w:fldChar w:fldCharType="separate"/>
      </w:r>
      <w:r w:rsidRPr="00E65D3B">
        <w:rPr>
          <w:noProof/>
          <w:szCs w:val="24"/>
        </w:rPr>
        <w:t>[40], [41]</w:t>
      </w:r>
      <w:r>
        <w:rPr>
          <w:szCs w:val="24"/>
        </w:rPr>
        <w:fldChar w:fldCharType="end"/>
      </w:r>
      <w:r w:rsidRPr="00E062A2">
        <w:rPr>
          <w:szCs w:val="24"/>
        </w:rPr>
        <w:t xml:space="preserve">. </w:t>
      </w:r>
      <w:r>
        <w:rPr>
          <w:szCs w:val="24"/>
        </w:rPr>
        <w:t>However, in cases where the context is new, then more than two experts may be requi</w:t>
      </w:r>
      <w:r w:rsidRPr="00904CD2">
        <w:rPr>
          <w:szCs w:val="24"/>
        </w:rPr>
        <w:t xml:space="preserve">red </w:t>
      </w:r>
      <w:r w:rsidRPr="00904CD2">
        <w:rPr>
          <w:szCs w:val="24"/>
        </w:rPr>
        <w:fldChar w:fldCharType="begin" w:fldLock="1"/>
      </w:r>
      <w:r>
        <w:rPr>
          <w:szCs w:val="24"/>
        </w:rPr>
        <w:instrText>ADDIN CSL_CITATION {"citationItems":[{"id":"ITEM-1","itemData":{"DOI":"10.1080/1206212X.2003.11441703","ISBN":"1206212X (ISSN)","ISSN":"1206212X","abstract":"Learning objects offer increased ability to share learning resources so that system-wide production costs can be reduced. But how can users select from a set of similar learning objects in a repository and be assured of quality? This article reviews recent developments in the establishment of learning object repositories and metadata standards, and presents a formative reliability analysis of an online, collaborative method for evaluating quality of learning objects. The method uses a 10-item Learning Object Review Instrument (LORI) within a Convergent Participation evaluation model that brings together instructional designers, media developers, and instructors. The inter-rater reliability analysis of 12 raters evaluating eight learning objects identified specific items in LORI that require fur- ther development. Overall, the collaborative process substantially increased the reliability and validity of aggregate learning object rat- ings. The study concludes with specific recommendations including changes to LORI items, a rater training process, and requirements for selecting an evaluation team.","author":[{"dropping-particle":"","family":"Vargo","given":"John","non-dropping-particle":"","parse-names":false,"suffix":""},{"dropping-particle":"","family":"Nesbit","given":"John C.","non-dropping-particle":"","parse-names":false,"suffix":""},{"dropping-particle":"","family":"Belfer","given":"Karen","non-dropping-particle":"","parse-names":false,"suffix":""},{"dropping-particle":"","family":"Archambault","given":"Anne","non-dropping-particle":"","parse-names":false,"suffix":""}],"container-title":"International Journal of Computers and Applications","id":"ITEM-1","issue":"3","issued":{"date-parts":[["2003"]]},"page":"198-205","title":"Learning object evaluation: Computer-mediated collaboration and inter-rater reliability","type":"article-journal","volume":"25"},"uris":["http://www.mendeley.com/documents/?uuid=19dcc17e-c299-4ee9-9b52-cecefdb94523"]}],"mendeley":{"formattedCitation":"[42]","plainTextFormattedCitation":"[42]","previouslyFormattedCitation":"[42]"},"properties":{"noteIndex":0},"schema":"https://github.com/citation-style-language/schema/raw/master/csl-citation.json"}</w:instrText>
      </w:r>
      <w:r w:rsidRPr="00904CD2">
        <w:rPr>
          <w:szCs w:val="24"/>
        </w:rPr>
        <w:fldChar w:fldCharType="separate"/>
      </w:r>
      <w:r w:rsidRPr="00E65D3B">
        <w:rPr>
          <w:noProof/>
          <w:szCs w:val="24"/>
        </w:rPr>
        <w:t>[42]</w:t>
      </w:r>
      <w:r w:rsidRPr="00904CD2">
        <w:rPr>
          <w:szCs w:val="24"/>
        </w:rPr>
        <w:fldChar w:fldCharType="end"/>
      </w:r>
      <w:r>
        <w:rPr>
          <w:szCs w:val="24"/>
        </w:rPr>
        <w:t>. Expert</w:t>
      </w:r>
      <w:r w:rsidRPr="00E062A2">
        <w:rPr>
          <w:szCs w:val="24"/>
        </w:rPr>
        <w:t xml:space="preserve">s </w:t>
      </w:r>
      <w:r>
        <w:rPr>
          <w:szCs w:val="24"/>
        </w:rPr>
        <w:t xml:space="preserve">should </w:t>
      </w:r>
      <w:r w:rsidRPr="00E062A2">
        <w:rPr>
          <w:szCs w:val="24"/>
        </w:rPr>
        <w:t>have the following characteristics</w:t>
      </w:r>
      <w:r>
        <w:rPr>
          <w:szCs w:val="24"/>
        </w:rPr>
        <w:t>. O</w:t>
      </w:r>
      <w:r w:rsidRPr="00E062A2">
        <w:rPr>
          <w:szCs w:val="24"/>
        </w:rPr>
        <w:t xml:space="preserve">ne, </w:t>
      </w:r>
      <w:r>
        <w:rPr>
          <w:szCs w:val="24"/>
        </w:rPr>
        <w:t>expert</w:t>
      </w:r>
      <w:r w:rsidRPr="00E062A2">
        <w:rPr>
          <w:szCs w:val="24"/>
        </w:rPr>
        <w:t>s must be expert in the domain</w:t>
      </w:r>
      <w:r>
        <w:rPr>
          <w:szCs w:val="24"/>
        </w:rPr>
        <w:t xml:space="preserve">. </w:t>
      </w:r>
      <w:r w:rsidRPr="00E062A2">
        <w:rPr>
          <w:szCs w:val="24"/>
        </w:rPr>
        <w:t xml:space="preserve">Two, </w:t>
      </w:r>
      <w:r>
        <w:rPr>
          <w:szCs w:val="24"/>
        </w:rPr>
        <w:t>expert</w:t>
      </w:r>
      <w:r w:rsidRPr="00E062A2">
        <w:rPr>
          <w:szCs w:val="24"/>
        </w:rPr>
        <w:t xml:space="preserve">s must have a strong command of the language of the </w:t>
      </w:r>
      <w:r>
        <w:rPr>
          <w:szCs w:val="24"/>
        </w:rPr>
        <w:t>topic and diagnostic tree</w:t>
      </w:r>
      <w:r w:rsidRPr="00E062A2">
        <w:rPr>
          <w:szCs w:val="24"/>
        </w:rPr>
        <w:t>. A strong</w:t>
      </w:r>
      <w:r>
        <w:rPr>
          <w:szCs w:val="24"/>
        </w:rPr>
        <w:t xml:space="preserve"> </w:t>
      </w:r>
      <w:r w:rsidRPr="00E062A2">
        <w:rPr>
          <w:szCs w:val="24"/>
        </w:rPr>
        <w:t xml:space="preserve">command of the language is necessary because </w:t>
      </w:r>
      <w:r w:rsidRPr="00E062A2">
        <w:rPr>
          <w:rFonts w:eastAsia="Calibri"/>
          <w:szCs w:val="24"/>
        </w:rPr>
        <w:t xml:space="preserve">the hierarchical layout of </w:t>
      </w:r>
      <w:r>
        <w:rPr>
          <w:rFonts w:eastAsia="Calibri"/>
          <w:szCs w:val="24"/>
        </w:rPr>
        <w:t xml:space="preserve">diagnostic tree </w:t>
      </w:r>
      <w:r w:rsidRPr="00E062A2">
        <w:rPr>
          <w:rFonts w:eastAsia="Calibri"/>
          <w:szCs w:val="24"/>
        </w:rPr>
        <w:t xml:space="preserve">items means </w:t>
      </w:r>
      <w:r>
        <w:rPr>
          <w:rFonts w:eastAsia="Calibri"/>
          <w:szCs w:val="24"/>
        </w:rPr>
        <w:t>expert</w:t>
      </w:r>
      <w:r w:rsidRPr="00E062A2">
        <w:rPr>
          <w:rFonts w:eastAsia="Calibri"/>
          <w:szCs w:val="24"/>
        </w:rPr>
        <w:t xml:space="preserve">s must understand words that clue a reader into whether an item is more or less specific. </w:t>
      </w:r>
      <w:r w:rsidRPr="00E062A2">
        <w:rPr>
          <w:szCs w:val="24"/>
        </w:rPr>
        <w:t xml:space="preserve">We found individuals with poor command of the English language fail to comprehend such hierarchy-related words as “overall” or “generally.” </w:t>
      </w:r>
      <w:bookmarkEnd w:id="20"/>
    </w:p>
    <w:p w14:paraId="47D92693" w14:textId="77777777" w:rsidR="00657E01" w:rsidRPr="00E062A2" w:rsidRDefault="00657E01" w:rsidP="00880E8B">
      <w:pPr>
        <w:jc w:val="both"/>
        <w:rPr>
          <w:b/>
          <w:szCs w:val="24"/>
        </w:rPr>
      </w:pPr>
      <w:r w:rsidRPr="00E062A2">
        <w:rPr>
          <w:b/>
          <w:szCs w:val="24"/>
        </w:rPr>
        <w:t xml:space="preserve"> (3) </w:t>
      </w:r>
      <w:r>
        <w:rPr>
          <w:b/>
          <w:szCs w:val="24"/>
        </w:rPr>
        <w:t>A</w:t>
      </w:r>
      <w:r w:rsidRPr="00E062A2">
        <w:rPr>
          <w:b/>
          <w:szCs w:val="24"/>
        </w:rPr>
        <w:t xml:space="preserve">ccess </w:t>
      </w:r>
      <w:r>
        <w:rPr>
          <w:b/>
          <w:szCs w:val="24"/>
        </w:rPr>
        <w:t>to and comfort with use of</w:t>
      </w:r>
      <w:r w:rsidRPr="00E062A2">
        <w:rPr>
          <w:b/>
          <w:szCs w:val="24"/>
        </w:rPr>
        <w:t xml:space="preserve"> the following pieces of equipment:</w:t>
      </w:r>
    </w:p>
    <w:p w14:paraId="70A99FF4" w14:textId="77777777" w:rsidR="00657E01" w:rsidRPr="00E062A2" w:rsidRDefault="00657E01" w:rsidP="00880E8B">
      <w:pPr>
        <w:numPr>
          <w:ilvl w:val="0"/>
          <w:numId w:val="43"/>
        </w:numPr>
        <w:ind w:left="360"/>
        <w:contextualSpacing/>
        <w:jc w:val="both"/>
        <w:rPr>
          <w:szCs w:val="24"/>
        </w:rPr>
      </w:pPr>
      <w:r w:rsidRPr="00E062A2">
        <w:rPr>
          <w:szCs w:val="24"/>
        </w:rPr>
        <w:t xml:space="preserve">spreadsheet software, such as Microsoft Excel, to be able to transfer the </w:t>
      </w:r>
      <w:r>
        <w:rPr>
          <w:szCs w:val="24"/>
        </w:rPr>
        <w:t xml:space="preserve">diagnostic </w:t>
      </w:r>
      <w:r w:rsidRPr="00E062A2">
        <w:rPr>
          <w:szCs w:val="24"/>
        </w:rPr>
        <w:t>tree into a table, where one column represents the parent items and the other the child items.</w:t>
      </w:r>
      <w:r w:rsidRPr="00E062A2">
        <w:t xml:space="preserve"> </w:t>
      </w:r>
      <w:r w:rsidRPr="00E062A2">
        <w:rPr>
          <w:szCs w:val="24"/>
        </w:rPr>
        <w:t xml:space="preserve">This is important to </w:t>
      </w:r>
      <w:proofErr w:type="spellStart"/>
      <w:r w:rsidRPr="00E062A2">
        <w:rPr>
          <w:szCs w:val="24"/>
        </w:rPr>
        <w:t>analyse</w:t>
      </w:r>
      <w:proofErr w:type="spellEnd"/>
      <w:r w:rsidRPr="00E062A2">
        <w:rPr>
          <w:szCs w:val="24"/>
        </w:rPr>
        <w:t xml:space="preserve"> the correspondence between the </w:t>
      </w:r>
      <w:r>
        <w:rPr>
          <w:szCs w:val="24"/>
        </w:rPr>
        <w:t>expert</w:t>
      </w:r>
      <w:r w:rsidRPr="00E062A2">
        <w:rPr>
          <w:szCs w:val="24"/>
        </w:rPr>
        <w:t>s’ trees.</w:t>
      </w:r>
    </w:p>
    <w:p w14:paraId="366A4994" w14:textId="77777777" w:rsidR="00657E01" w:rsidRPr="00E062A2" w:rsidRDefault="00657E01" w:rsidP="00880E8B">
      <w:pPr>
        <w:numPr>
          <w:ilvl w:val="0"/>
          <w:numId w:val="43"/>
        </w:numPr>
        <w:ind w:left="360"/>
        <w:contextualSpacing/>
        <w:jc w:val="both"/>
        <w:rPr>
          <w:szCs w:val="24"/>
        </w:rPr>
      </w:pPr>
      <w:r w:rsidRPr="00E062A2">
        <w:rPr>
          <w:szCs w:val="24"/>
        </w:rPr>
        <w:t xml:space="preserve">statistical software, such as SPSS, to calculate </w:t>
      </w:r>
      <w:r w:rsidRPr="00E062A2">
        <w:rPr>
          <w:rFonts w:eastAsia="Calibri"/>
          <w:szCs w:val="24"/>
        </w:rPr>
        <w:t>Goodman and Kruskal’s Lambda, Cohen’s Kappa, and Goodman and Kruskal’s Gamma </w:t>
      </w:r>
      <w:r>
        <w:rPr>
          <w:rFonts w:eastAsia="Calibri"/>
          <w:szCs w:val="24"/>
        </w:rPr>
        <w:fldChar w:fldCharType="begin" w:fldLock="1"/>
      </w:r>
      <w:r>
        <w:rPr>
          <w:rFonts w:eastAsia="Calibri"/>
          <w:szCs w:val="24"/>
        </w:rPr>
        <w:instrText>ADDIN CSL_CITATION {"citationItems":[{"id":"ITEM-1","itemData":{"author":[{"dropping-particle":"","family":"Goodman, L. A., &amp; Kruskal","given":"W. H.","non-dropping-particle":"","parse-names":false,"suffix":""}],"container-title":"Journal of the American Statistical Association","id":"ITEM-1","issued":{"date-parts":[["1954"]]},"page":"732-764","title":"Measures of association for cross classifications.","type":"article-journal","volume":"49"},"uris":["http://www.mendeley.com/documents/?uuid=d7659be5-1dcc-407c-b362-449ae4cc2889"]}],"mendeley":{"formattedCitation":"[43]","plainTextFormattedCitation":"[43]","previouslyFormattedCitation":"[43]"},"properties":{"noteIndex":0},"schema":"https://github.com/citation-style-language/schema/raw/master/csl-citation.json"}</w:instrText>
      </w:r>
      <w:r>
        <w:rPr>
          <w:rFonts w:eastAsia="Calibri"/>
          <w:szCs w:val="24"/>
        </w:rPr>
        <w:fldChar w:fldCharType="separate"/>
      </w:r>
      <w:r w:rsidRPr="00E65D3B">
        <w:rPr>
          <w:rFonts w:eastAsia="Calibri"/>
          <w:noProof/>
          <w:szCs w:val="24"/>
        </w:rPr>
        <w:t>[43]</w:t>
      </w:r>
      <w:r>
        <w:rPr>
          <w:rFonts w:eastAsia="Calibri"/>
          <w:szCs w:val="24"/>
        </w:rPr>
        <w:fldChar w:fldCharType="end"/>
      </w:r>
      <w:r>
        <w:rPr>
          <w:rFonts w:eastAsia="Calibri"/>
          <w:szCs w:val="24"/>
        </w:rPr>
        <w:t xml:space="preserve"> </w:t>
      </w:r>
      <w:r w:rsidRPr="00E062A2">
        <w:rPr>
          <w:rFonts w:eastAsia="Calibri"/>
          <w:szCs w:val="24"/>
        </w:rPr>
        <w:t xml:space="preserve">to analyze </w:t>
      </w:r>
      <w:r>
        <w:rPr>
          <w:rFonts w:eastAsia="Calibri"/>
          <w:szCs w:val="24"/>
        </w:rPr>
        <w:t>expert</w:t>
      </w:r>
      <w:r w:rsidRPr="00E062A2">
        <w:rPr>
          <w:rFonts w:eastAsia="Calibri"/>
          <w:szCs w:val="24"/>
        </w:rPr>
        <w:t>s’ trees.</w:t>
      </w:r>
    </w:p>
    <w:p w14:paraId="26958903" w14:textId="77777777" w:rsidR="00657E01" w:rsidRPr="00E062A2" w:rsidRDefault="00657E01" w:rsidP="00880E8B">
      <w:pPr>
        <w:numPr>
          <w:ilvl w:val="0"/>
          <w:numId w:val="43"/>
        </w:numPr>
        <w:ind w:left="360"/>
        <w:contextualSpacing/>
        <w:jc w:val="both"/>
        <w:rPr>
          <w:szCs w:val="24"/>
        </w:rPr>
      </w:pPr>
      <w:r w:rsidRPr="00E062A2">
        <w:rPr>
          <w:rFonts w:eastAsia="Calibri"/>
          <w:szCs w:val="24"/>
        </w:rPr>
        <w:t>digital boards that allow one to manipulate and save a tree structure</w:t>
      </w:r>
    </w:p>
    <w:p w14:paraId="51B5EE30" w14:textId="77777777" w:rsidR="00657E01" w:rsidRDefault="00657E01" w:rsidP="00880E8B">
      <w:pPr>
        <w:numPr>
          <w:ilvl w:val="0"/>
          <w:numId w:val="43"/>
        </w:numPr>
        <w:ind w:left="360"/>
        <w:contextualSpacing/>
        <w:jc w:val="both"/>
        <w:rPr>
          <w:szCs w:val="24"/>
        </w:rPr>
      </w:pPr>
      <w:r w:rsidRPr="00E062A2">
        <w:rPr>
          <w:szCs w:val="24"/>
        </w:rPr>
        <w:t xml:space="preserve">non-digital tools such as </w:t>
      </w:r>
      <w:r>
        <w:rPr>
          <w:szCs w:val="24"/>
        </w:rPr>
        <w:t>stationary</w:t>
      </w:r>
      <w:r w:rsidRPr="00E062A2">
        <w:rPr>
          <w:szCs w:val="24"/>
        </w:rPr>
        <w:t xml:space="preserve"> (paper, cards, or sticky notes), cutting tools (scissors, cutters, or clippers), and </w:t>
      </w:r>
      <w:r w:rsidRPr="008F3FD1">
        <w:rPr>
          <w:szCs w:val="24"/>
        </w:rPr>
        <w:t>writing tools (</w:t>
      </w:r>
      <w:r>
        <w:rPr>
          <w:szCs w:val="24"/>
        </w:rPr>
        <w:t xml:space="preserve">such as pencil, pen, or marker). These are </w:t>
      </w:r>
      <w:r w:rsidRPr="008F3FD1">
        <w:rPr>
          <w:szCs w:val="24"/>
        </w:rPr>
        <w:t xml:space="preserve">used to create cards to capture each item in the </w:t>
      </w:r>
      <w:r>
        <w:rPr>
          <w:szCs w:val="24"/>
        </w:rPr>
        <w:t>d</w:t>
      </w:r>
      <w:r w:rsidRPr="008F3FD1">
        <w:rPr>
          <w:szCs w:val="24"/>
        </w:rPr>
        <w:t xml:space="preserve">iagnostic tree item bank.  Experts physically drop </w:t>
      </w:r>
      <w:r>
        <w:rPr>
          <w:szCs w:val="24"/>
        </w:rPr>
        <w:t xml:space="preserve">the cards </w:t>
      </w:r>
      <w:r w:rsidRPr="008F3FD1">
        <w:rPr>
          <w:szCs w:val="24"/>
        </w:rPr>
        <w:t xml:space="preserve">into cardboard boxes in a manner similar to a traditional q-sort </w:t>
      </w:r>
      <w:r w:rsidRPr="008F3FD1">
        <w:rPr>
          <w:szCs w:val="24"/>
        </w:rPr>
        <w:fldChar w:fldCharType="begin" w:fldLock="1"/>
      </w:r>
      <w:r>
        <w:rPr>
          <w:szCs w:val="24"/>
        </w:rPr>
        <w:instrText>ADDIN CSL_CITATION {"citationItems":[{"id":"ITEM-1","itemData":{"DOI":"10.2307/1419315","ISBN":"0 89106 000 6","ISSN":"00029556","abstract":"In this monograph a language instrument is presented which aims to permit the comprehensive description, in contemporary psychodynamic terms, of an individual's personality in a form suitable for quantitative comparison and analysis. The language instrument consists simply of a set of personality variables—the California Q-set—together with instructions for ordering these variables so as to describe a designated person. The procedure proposed is a specific application of the rather general scaling technique due to William Stephenson and known as the Q-sort method (Stephenson, 1953). A device with the desired properties, once achieved, should have wide applicability in both research and teaching settings. Currently, personality evaluations by professionally-trained observers are in disrepute as unreliable, invalid expressions of capriciously held notions of personality. There are a number of reasons, some of them valid, why this critical attitude so dominates the psychological scene. A fundamental purpose of the present monograph is to speak out for the usefulness and even the inevitability of observer-evaluations as a research method. Criticisms of observer-evaluations are discussed and some ways of meeting these concerns are proposed. By way of support for our point of view, a variety of research applications of the method and principles here advocated are described. (PsycINFO Database Record (c) 2012 APA, all rights reserved). (from the chapter)","author":[{"dropping-particle":"","family":"Block","given":"Jack","non-dropping-particle":"","parse-names":false,"suffix":""}],"container-title":"The Q-sort method in personality assessment and psychiatric research","id":"ITEM-1","issued":{"date-parts":[["1961"]]},"page":"3-26","title":"An introduction to the Q-sort method of personality description","type":"article-journal"},"uris":["http://www.mendeley.com/documents/?uuid=edc8c3b1-2838-4c57-9337-65bfd382a19e"]}],"mendeley":{"formattedCitation":"[38]","plainTextFormattedCitation":"[38]","previouslyFormattedCitation":"[38]"},"properties":{"noteIndex":0},"schema":"https://github.com/citation-style-language/schema/raw/master/csl-citation.json"}</w:instrText>
      </w:r>
      <w:r w:rsidRPr="008F3FD1">
        <w:rPr>
          <w:szCs w:val="24"/>
        </w:rPr>
        <w:fldChar w:fldCharType="separate"/>
      </w:r>
      <w:r w:rsidRPr="00E65D3B">
        <w:rPr>
          <w:noProof/>
          <w:szCs w:val="24"/>
        </w:rPr>
        <w:t>[38]</w:t>
      </w:r>
      <w:r w:rsidRPr="008F3FD1">
        <w:rPr>
          <w:szCs w:val="24"/>
        </w:rPr>
        <w:fldChar w:fldCharType="end"/>
      </w:r>
      <w:r w:rsidRPr="008F3FD1">
        <w:rPr>
          <w:szCs w:val="24"/>
        </w:rPr>
        <w:t xml:space="preserve">. </w:t>
      </w:r>
      <w:r w:rsidRPr="00E062A2">
        <w:rPr>
          <w:szCs w:val="24"/>
        </w:rPr>
        <w:t>The boxes equivalent to the number of top</w:t>
      </w:r>
      <w:r>
        <w:rPr>
          <w:szCs w:val="24"/>
        </w:rPr>
        <w:t>-</w:t>
      </w:r>
      <w:r w:rsidRPr="00E062A2">
        <w:rPr>
          <w:szCs w:val="24"/>
        </w:rPr>
        <w:t xml:space="preserve">level constructs in the tree (see Step 2 below).  </w:t>
      </w:r>
    </w:p>
    <w:p w14:paraId="4B7F86D2" w14:textId="77777777" w:rsidR="00657E01" w:rsidRPr="00721AC0" w:rsidRDefault="00657E01" w:rsidP="00880E8B">
      <w:pPr>
        <w:numPr>
          <w:ilvl w:val="0"/>
          <w:numId w:val="43"/>
        </w:numPr>
        <w:ind w:left="360"/>
        <w:contextualSpacing/>
        <w:jc w:val="both"/>
        <w:rPr>
          <w:szCs w:val="24"/>
        </w:rPr>
      </w:pPr>
      <w:bookmarkStart w:id="21" w:name="_Hlk49849106"/>
      <w:r>
        <w:rPr>
          <w:szCs w:val="24"/>
        </w:rPr>
        <w:t>C</w:t>
      </w:r>
      <w:r w:rsidRPr="008F3FD1">
        <w:rPr>
          <w:szCs w:val="24"/>
        </w:rPr>
        <w:t xml:space="preserve">ollaborative </w:t>
      </w:r>
      <w:r w:rsidRPr="00721AC0">
        <w:rPr>
          <w:szCs w:val="24"/>
        </w:rPr>
        <w:t>software (such as Microsoft Team, or Zoom)</w:t>
      </w:r>
      <w:r>
        <w:rPr>
          <w:szCs w:val="24"/>
        </w:rPr>
        <w:t xml:space="preserve"> to </w:t>
      </w:r>
      <w:r w:rsidRPr="00721AC0">
        <w:rPr>
          <w:szCs w:val="24"/>
          <w:lang w:val="en-GB"/>
        </w:rPr>
        <w:t>allow simultaneous work among the experts</w:t>
      </w:r>
      <w:r w:rsidRPr="00721AC0">
        <w:rPr>
          <w:szCs w:val="24"/>
        </w:rPr>
        <w:t>, which is useful in reconciling items of the diagnostic tree.</w:t>
      </w:r>
    </w:p>
    <w:bookmarkEnd w:id="21"/>
    <w:p w14:paraId="766408E4" w14:textId="77777777" w:rsidR="00657E01" w:rsidRPr="00E062A2" w:rsidRDefault="00657E01" w:rsidP="00880E8B">
      <w:pPr>
        <w:jc w:val="both"/>
        <w:rPr>
          <w:szCs w:val="24"/>
        </w:rPr>
      </w:pPr>
      <w:r w:rsidRPr="007C1210">
        <w:rPr>
          <w:szCs w:val="24"/>
        </w:rPr>
        <w:t>We have found it important to have tools capable</w:t>
      </w:r>
      <w:r w:rsidRPr="00E062A2">
        <w:rPr>
          <w:szCs w:val="24"/>
        </w:rPr>
        <w:t xml:space="preserve"> of both representing </w:t>
      </w:r>
      <w:r>
        <w:rPr>
          <w:szCs w:val="24"/>
        </w:rPr>
        <w:t xml:space="preserve">diagnostic </w:t>
      </w:r>
      <w:r w:rsidRPr="00E062A2">
        <w:rPr>
          <w:szCs w:val="24"/>
        </w:rPr>
        <w:t>tree</w:t>
      </w:r>
      <w:r>
        <w:rPr>
          <w:szCs w:val="24"/>
        </w:rPr>
        <w:t>s</w:t>
      </w:r>
      <w:r w:rsidRPr="00E062A2">
        <w:rPr>
          <w:szCs w:val="24"/>
        </w:rPr>
        <w:t xml:space="preserve"> in a digital (digital boards) and physical (items on paper sorted into boxes) environment</w:t>
      </w:r>
      <w:r>
        <w:rPr>
          <w:szCs w:val="24"/>
        </w:rPr>
        <w:t>.</w:t>
      </w:r>
      <w:r w:rsidRPr="00E062A2">
        <w:rPr>
          <w:szCs w:val="24"/>
        </w:rPr>
        <w:t xml:space="preserve"> Some examples of ideal digital formats are digital whiteboards or large screens. Digital formats allow </w:t>
      </w:r>
      <w:r>
        <w:rPr>
          <w:szCs w:val="24"/>
        </w:rPr>
        <w:t>expert</w:t>
      </w:r>
      <w:r w:rsidRPr="00E062A2">
        <w:rPr>
          <w:szCs w:val="24"/>
        </w:rPr>
        <w:t xml:space="preserve">s to visualize the overall tree, save their work, and be able to move items around by using tools such as cut and paste. Saving work is important, because </w:t>
      </w:r>
      <w:r>
        <w:rPr>
          <w:szCs w:val="24"/>
        </w:rPr>
        <w:t>expert</w:t>
      </w:r>
      <w:r w:rsidRPr="00E062A2">
        <w:rPr>
          <w:szCs w:val="24"/>
        </w:rPr>
        <w:t>s</w:t>
      </w:r>
      <w:r>
        <w:rPr>
          <w:szCs w:val="24"/>
        </w:rPr>
        <w:t xml:space="preserve"> </w:t>
      </w:r>
      <w:r w:rsidRPr="00E062A2">
        <w:rPr>
          <w:szCs w:val="24"/>
        </w:rPr>
        <w:t>often want to restore their work from a prior point. In addition, paper formats are useful as they can be worked on in different locations (i.e., at home, office)</w:t>
      </w:r>
      <w:r w:rsidRPr="00DD4720">
        <w:rPr>
          <w:szCs w:val="24"/>
        </w:rPr>
        <w:t xml:space="preserve"> </w:t>
      </w:r>
      <w:r>
        <w:rPr>
          <w:szCs w:val="24"/>
        </w:rPr>
        <w:t>and can be spread over a large area (e.g., the floor)</w:t>
      </w:r>
      <w:r w:rsidRPr="00E062A2">
        <w:rPr>
          <w:szCs w:val="24"/>
        </w:rPr>
        <w:t>.</w:t>
      </w:r>
    </w:p>
    <w:p w14:paraId="76B61487" w14:textId="0B1D3BD8" w:rsidR="00657E01" w:rsidRDefault="00657E01" w:rsidP="00880E8B">
      <w:pPr>
        <w:jc w:val="both"/>
        <w:rPr>
          <w:rFonts w:eastAsia="Calibri" w:cs="Arial"/>
        </w:rPr>
      </w:pPr>
      <w:r w:rsidRPr="00E062A2">
        <w:rPr>
          <w:rFonts w:eastAsia="Calibri"/>
          <w:szCs w:val="24"/>
        </w:rPr>
        <w:t>As illustrated in Fig</w:t>
      </w:r>
      <w:r>
        <w:rPr>
          <w:rFonts w:eastAsia="Calibri"/>
          <w:szCs w:val="24"/>
        </w:rPr>
        <w:t>.</w:t>
      </w:r>
      <w:r w:rsidRPr="00E062A2">
        <w:rPr>
          <w:rFonts w:eastAsia="Calibri"/>
          <w:szCs w:val="24"/>
        </w:rPr>
        <w:t xml:space="preserve"> 4, our q-sort </w:t>
      </w:r>
      <w:r>
        <w:rPr>
          <w:rFonts w:eastAsia="Calibri"/>
          <w:szCs w:val="24"/>
        </w:rPr>
        <w:t>methodology</w:t>
      </w:r>
      <w:r w:rsidRPr="00E062A2">
        <w:rPr>
          <w:rFonts w:eastAsia="Calibri"/>
          <w:szCs w:val="24"/>
        </w:rPr>
        <w:t xml:space="preserve"> has the following steps</w:t>
      </w:r>
      <w:r>
        <w:rPr>
          <w:rFonts w:eastAsia="Calibri"/>
          <w:szCs w:val="24"/>
        </w:rPr>
        <w:t>:</w:t>
      </w:r>
      <w:r w:rsidRPr="00E062A2">
        <w:rPr>
          <w:rFonts w:eastAsia="Calibri" w:cs="Arial"/>
          <w:szCs w:val="24"/>
        </w:rPr>
        <w:t xml:space="preserve"> </w:t>
      </w:r>
      <w:r w:rsidRPr="00E062A2">
        <w:rPr>
          <w:rFonts w:eastAsia="Calibri" w:cs="Arial"/>
        </w:rPr>
        <w:t>(</w:t>
      </w:r>
      <w:r w:rsidRPr="00DB35CA">
        <w:rPr>
          <w:rFonts w:eastAsia="Calibri" w:cs="Arial"/>
        </w:rPr>
        <w:t xml:space="preserve">1) Build items for the </w:t>
      </w:r>
      <w:r w:rsidRPr="00DB35CA">
        <w:rPr>
          <w:szCs w:val="24"/>
        </w:rPr>
        <w:t>diagnostic tree</w:t>
      </w:r>
      <w:r w:rsidRPr="00DB35CA">
        <w:rPr>
          <w:rFonts w:eastAsia="Calibri" w:cs="Arial"/>
        </w:rPr>
        <w:t xml:space="preserve">, (2) Identify top level constructs for </w:t>
      </w:r>
      <w:r>
        <w:rPr>
          <w:rFonts w:eastAsia="Calibri" w:cs="Arial"/>
        </w:rPr>
        <w:t xml:space="preserve">the </w:t>
      </w:r>
      <w:r>
        <w:rPr>
          <w:szCs w:val="24"/>
        </w:rPr>
        <w:t>d</w:t>
      </w:r>
      <w:r w:rsidRPr="00DB35CA">
        <w:rPr>
          <w:szCs w:val="24"/>
        </w:rPr>
        <w:t>iagnostic tree</w:t>
      </w:r>
      <w:r w:rsidRPr="00DB35CA">
        <w:rPr>
          <w:rFonts w:eastAsia="Calibri" w:cs="Arial"/>
        </w:rPr>
        <w:t>, (3) Incorporate distractors, (4) Select one top-level construct, (5) Sort and map process, (6) Revise the tree</w:t>
      </w:r>
      <w:bookmarkStart w:id="22" w:name="_Hlk504466990"/>
      <w:r w:rsidRPr="00DB35CA">
        <w:rPr>
          <w:rFonts w:eastAsia="Calibri" w:cs="Arial"/>
        </w:rPr>
        <w:t xml:space="preserve">, (7) </w:t>
      </w:r>
      <w:bookmarkEnd w:id="22"/>
      <w:r w:rsidRPr="00DB35CA">
        <w:rPr>
          <w:rFonts w:eastAsia="Calibri" w:cs="Arial"/>
        </w:rPr>
        <w:t>Calculate, evaluate and interpret inter-rated scores (8)</w:t>
      </w:r>
      <w:r w:rsidRPr="00E629EE">
        <w:t xml:space="preserve"> </w:t>
      </w:r>
      <w:r>
        <w:rPr>
          <w:rFonts w:eastAsia="Calibri" w:cs="Arial"/>
        </w:rPr>
        <w:t>Address structural discrepancies, (9)</w:t>
      </w:r>
      <w:r w:rsidRPr="00DB35CA">
        <w:rPr>
          <w:rFonts w:eastAsia="Calibri" w:cs="Arial"/>
        </w:rPr>
        <w:t xml:space="preserve"> Create the final </w:t>
      </w:r>
      <w:r w:rsidRPr="00DB35CA">
        <w:rPr>
          <w:szCs w:val="24"/>
        </w:rPr>
        <w:t xml:space="preserve">diagnostic </w:t>
      </w:r>
      <w:r>
        <w:rPr>
          <w:szCs w:val="24"/>
        </w:rPr>
        <w:t>t</w:t>
      </w:r>
      <w:r w:rsidRPr="00DB35CA">
        <w:rPr>
          <w:szCs w:val="24"/>
        </w:rPr>
        <w:t>ree</w:t>
      </w:r>
      <w:r>
        <w:rPr>
          <w:szCs w:val="24"/>
        </w:rPr>
        <w:t xml:space="preserve"> and </w:t>
      </w:r>
      <w:r w:rsidRPr="00C83BC9">
        <w:rPr>
          <w:szCs w:val="24"/>
        </w:rPr>
        <w:t xml:space="preserve">(10) </w:t>
      </w:r>
      <w:r w:rsidRPr="00C83BC9">
        <w:rPr>
          <w:rFonts w:eastAsia="Calibri" w:cs="Arial"/>
        </w:rPr>
        <w:t>Empirically validate the diagnostic tree. The</w:t>
      </w:r>
      <w:r w:rsidRPr="00E062A2">
        <w:rPr>
          <w:rFonts w:eastAsia="Calibri" w:cs="Arial"/>
        </w:rPr>
        <w:t xml:space="preserve"> components required for each step are identified by color coding the steps.  Specifically, blue indicates the use of knowledge sources, green indicates the use of blind and independents </w:t>
      </w:r>
      <w:r>
        <w:rPr>
          <w:rFonts w:eastAsia="Calibri" w:cs="Arial"/>
        </w:rPr>
        <w:t>expert</w:t>
      </w:r>
      <w:r w:rsidRPr="00E062A2">
        <w:rPr>
          <w:rFonts w:eastAsia="Calibri" w:cs="Arial"/>
        </w:rPr>
        <w:t xml:space="preserve">s, and orange means both use of technology and non-digital formats.  To illustrate our q-sort </w:t>
      </w:r>
      <w:r>
        <w:rPr>
          <w:rFonts w:eastAsia="Calibri" w:cs="Arial"/>
        </w:rPr>
        <w:t>methodology</w:t>
      </w:r>
      <w:r w:rsidRPr="00E062A2">
        <w:rPr>
          <w:rFonts w:eastAsia="Calibri" w:cs="Arial"/>
        </w:rPr>
        <w:t xml:space="preserve">, we employ an example of </w:t>
      </w:r>
      <w:r w:rsidRPr="009F2277">
        <w:rPr>
          <w:rFonts w:eastAsia="Calibri" w:cs="Arial"/>
        </w:rPr>
        <w:t xml:space="preserve">developing a </w:t>
      </w:r>
      <w:r>
        <w:rPr>
          <w:szCs w:val="24"/>
        </w:rPr>
        <w:t xml:space="preserve">diagnostic </w:t>
      </w:r>
      <w:r w:rsidRPr="00E062A2">
        <w:rPr>
          <w:szCs w:val="24"/>
        </w:rPr>
        <w:t xml:space="preserve">tree </w:t>
      </w:r>
      <w:r w:rsidRPr="009F2277">
        <w:rPr>
          <w:rFonts w:eastAsia="Calibri" w:cs="Arial"/>
        </w:rPr>
        <w:t>to elicit problems users have when using Instagram.</w:t>
      </w:r>
    </w:p>
    <w:p w14:paraId="3E99E9C0" w14:textId="3791E1E6" w:rsidR="00691442" w:rsidRDefault="00901707" w:rsidP="00880E8B">
      <w:pPr>
        <w:jc w:val="both"/>
        <w:rPr>
          <w:rFonts w:eastAsia="Calibri" w:cs="Arial"/>
        </w:rPr>
      </w:pPr>
      <w:r>
        <w:rPr>
          <w:rFonts w:eastAsia="Calibri" w:cs="Arial"/>
          <w:noProof/>
        </w:rPr>
        <w:drawing>
          <wp:inline distT="0" distB="0" distL="0" distR="0" wp14:anchorId="55CDBEDD" wp14:editId="0A923CC4">
            <wp:extent cx="3491482" cy="153550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073" cy="1544118"/>
                    </a:xfrm>
                    <a:prstGeom prst="rect">
                      <a:avLst/>
                    </a:prstGeom>
                    <a:noFill/>
                    <a:ln>
                      <a:noFill/>
                    </a:ln>
                  </pic:spPr>
                </pic:pic>
              </a:graphicData>
            </a:graphic>
          </wp:inline>
        </w:drawing>
      </w:r>
    </w:p>
    <w:p w14:paraId="0F2E92D7" w14:textId="2A9EAA71" w:rsidR="009B4E43" w:rsidRDefault="009B4E43" w:rsidP="009B4E43">
      <w:pPr>
        <w:rPr>
          <w:rFonts w:eastAsia="Calibri"/>
          <w:color w:val="000000"/>
          <w:sz w:val="16"/>
        </w:rPr>
      </w:pPr>
      <w:r w:rsidRPr="009B4E43">
        <w:rPr>
          <w:color w:val="000000" w:themeColor="text1"/>
          <w:sz w:val="16"/>
          <w:szCs w:val="14"/>
        </w:rPr>
        <w:t>Fig</w:t>
      </w:r>
      <w:r>
        <w:rPr>
          <w:color w:val="000000" w:themeColor="text1"/>
          <w:sz w:val="16"/>
          <w:szCs w:val="14"/>
        </w:rPr>
        <w:t xml:space="preserve">. </w:t>
      </w:r>
      <w:r w:rsidRPr="009B4E43">
        <w:rPr>
          <w:color w:val="000000" w:themeColor="text1"/>
          <w:sz w:val="16"/>
          <w:szCs w:val="14"/>
        </w:rPr>
        <w:t>4.</w:t>
      </w:r>
      <w:r>
        <w:rPr>
          <w:color w:val="000000" w:themeColor="text1"/>
          <w:sz w:val="16"/>
          <w:szCs w:val="14"/>
        </w:rPr>
        <w:t xml:space="preserve">  </w:t>
      </w:r>
      <w:r w:rsidRPr="009B4E43">
        <w:rPr>
          <w:color w:val="000000" w:themeColor="text1"/>
          <w:sz w:val="16"/>
        </w:rPr>
        <w:t xml:space="preserve">Steps for our </w:t>
      </w:r>
      <w:r w:rsidRPr="009B4E43">
        <w:rPr>
          <w:rFonts w:eastAsia="Calibri"/>
          <w:color w:val="000000"/>
          <w:sz w:val="16"/>
        </w:rPr>
        <w:t>q-sort methodology</w:t>
      </w:r>
    </w:p>
    <w:p w14:paraId="23FD70D1" w14:textId="77777777" w:rsidR="002D71D6" w:rsidRPr="009B4E43" w:rsidRDefault="002D71D6" w:rsidP="009B4E43">
      <w:pPr>
        <w:rPr>
          <w:sz w:val="16"/>
          <w:szCs w:val="16"/>
        </w:rPr>
      </w:pPr>
    </w:p>
    <w:p w14:paraId="1D10BAB3" w14:textId="00F917B1" w:rsidR="00880E8B" w:rsidRDefault="00880E8B" w:rsidP="00880E8B">
      <w:pPr>
        <w:jc w:val="both"/>
        <w:rPr>
          <w:rFonts w:eastAsia="Calibri" w:cs="Arial"/>
          <w:szCs w:val="24"/>
        </w:rPr>
      </w:pPr>
      <w:bookmarkStart w:id="23" w:name="_Toc512951856"/>
      <w:bookmarkStart w:id="24" w:name="_Toc524428276"/>
      <w:r w:rsidRPr="00B13908">
        <w:rPr>
          <w:rStyle w:val="Heading2Char"/>
        </w:rPr>
        <w:t xml:space="preserve">Step 1: </w:t>
      </w:r>
      <w:bookmarkStart w:id="25" w:name="_Hlk49942770"/>
      <w:r w:rsidRPr="00B13908">
        <w:rPr>
          <w:rStyle w:val="Heading2Char"/>
        </w:rPr>
        <w:t xml:space="preserve">Build the items for the </w:t>
      </w:r>
      <w:r>
        <w:rPr>
          <w:rStyle w:val="Heading2Char"/>
        </w:rPr>
        <w:t>diagnostic tree</w:t>
      </w:r>
      <w:bookmarkEnd w:id="25"/>
      <w:r w:rsidRPr="00E062A2">
        <w:rPr>
          <w:rFonts w:eastAsiaTheme="majorEastAsia" w:cstheme="majorBidi"/>
          <w:b/>
          <w:i/>
          <w:color w:val="171717" w:themeColor="background2" w:themeShade="1A"/>
          <w:szCs w:val="24"/>
        </w:rPr>
        <w:t>.</w:t>
      </w:r>
      <w:bookmarkEnd w:id="23"/>
      <w:bookmarkEnd w:id="24"/>
      <w:r w:rsidRPr="00E062A2">
        <w:rPr>
          <w:rFonts w:eastAsia="Calibri" w:cs="Arial"/>
          <w:szCs w:val="24"/>
        </w:rPr>
        <w:t xml:space="preserve">  This step is supposed to identify all items that will be employed in the </w:t>
      </w:r>
      <w:r>
        <w:rPr>
          <w:rFonts w:eastAsia="Calibri" w:cs="Arial"/>
          <w:szCs w:val="24"/>
        </w:rPr>
        <w:t xml:space="preserve">diagnostic tree, as shown </w:t>
      </w:r>
      <w:r w:rsidRPr="007C1210">
        <w:rPr>
          <w:rFonts w:eastAsia="Calibri" w:cs="Arial"/>
          <w:szCs w:val="24"/>
        </w:rPr>
        <w:t>in Fig</w:t>
      </w:r>
      <w:r>
        <w:rPr>
          <w:rFonts w:eastAsia="Calibri" w:cs="Arial"/>
          <w:szCs w:val="24"/>
        </w:rPr>
        <w:t>.</w:t>
      </w:r>
      <w:r w:rsidRPr="007C1210">
        <w:rPr>
          <w:rFonts w:eastAsia="Calibri" w:cs="Arial"/>
          <w:szCs w:val="24"/>
        </w:rPr>
        <w:t xml:space="preserve"> 5. By</w:t>
      </w:r>
      <w:r w:rsidRPr="00E062A2">
        <w:rPr>
          <w:rFonts w:eastAsia="Calibri" w:cs="Arial"/>
          <w:szCs w:val="24"/>
        </w:rPr>
        <w:t xml:space="preserve"> the end of this step, the items should capture the entire scope of the problem domain of the </w:t>
      </w:r>
      <w:r>
        <w:rPr>
          <w:szCs w:val="24"/>
        </w:rPr>
        <w:t xml:space="preserve">diagnostic </w:t>
      </w:r>
      <w:r w:rsidRPr="00E062A2">
        <w:rPr>
          <w:szCs w:val="24"/>
        </w:rPr>
        <w:t>tree</w:t>
      </w:r>
      <w:r w:rsidRPr="00E062A2">
        <w:rPr>
          <w:rFonts w:eastAsia="Calibri" w:cs="Arial"/>
          <w:szCs w:val="24"/>
        </w:rPr>
        <w:t>.  The concept of scope encompasses both</w:t>
      </w:r>
      <w:r>
        <w:rPr>
          <w:rFonts w:eastAsia="Calibri" w:cs="Arial"/>
          <w:szCs w:val="24"/>
        </w:rPr>
        <w:t xml:space="preserve"> (1) that </w:t>
      </w:r>
      <w:r w:rsidRPr="00E062A2">
        <w:rPr>
          <w:rFonts w:eastAsia="Calibri" w:cs="Arial"/>
          <w:szCs w:val="24"/>
        </w:rPr>
        <w:t xml:space="preserve">all subdimensions of the concept captured in the </w:t>
      </w:r>
      <w:r>
        <w:rPr>
          <w:szCs w:val="24"/>
        </w:rPr>
        <w:t xml:space="preserve">diagnostic </w:t>
      </w:r>
      <w:r w:rsidRPr="00E062A2">
        <w:rPr>
          <w:szCs w:val="24"/>
        </w:rPr>
        <w:t>tree</w:t>
      </w:r>
      <w:r>
        <w:rPr>
          <w:szCs w:val="24"/>
        </w:rPr>
        <w:t xml:space="preserve">s </w:t>
      </w:r>
      <w:r w:rsidRPr="00E062A2">
        <w:rPr>
          <w:rFonts w:eastAsia="Calibri" w:cs="Arial"/>
          <w:szCs w:val="24"/>
        </w:rPr>
        <w:t xml:space="preserve">are represented in the items, and </w:t>
      </w:r>
      <w:r>
        <w:rPr>
          <w:rFonts w:eastAsia="Calibri" w:cs="Arial"/>
          <w:szCs w:val="24"/>
        </w:rPr>
        <w:t xml:space="preserve">(2) </w:t>
      </w:r>
      <w:r w:rsidRPr="00E062A2">
        <w:rPr>
          <w:rFonts w:eastAsia="Calibri" w:cs="Arial"/>
          <w:szCs w:val="24"/>
        </w:rPr>
        <w:t>for any possible subdimension, all possible actionable causes of that subdimension are captured in the items.</w:t>
      </w:r>
      <w:r w:rsidRPr="00E062A2">
        <w:rPr>
          <w:szCs w:val="24"/>
        </w:rPr>
        <w:t xml:space="preserve">  </w:t>
      </w:r>
      <w:r w:rsidRPr="00E062A2">
        <w:rPr>
          <w:rFonts w:eastAsia="Calibri" w:cs="Arial"/>
          <w:szCs w:val="24"/>
        </w:rPr>
        <w:t>Step 1 comprises two sub</w:t>
      </w:r>
      <w:r>
        <w:rPr>
          <w:rFonts w:eastAsia="Calibri" w:cs="Arial"/>
          <w:szCs w:val="24"/>
        </w:rPr>
        <w:t>-</w:t>
      </w:r>
      <w:r w:rsidRPr="00E062A2">
        <w:rPr>
          <w:rFonts w:eastAsia="Calibri" w:cs="Arial"/>
          <w:szCs w:val="24"/>
        </w:rPr>
        <w:t>steps which</w:t>
      </w:r>
      <w:r>
        <w:rPr>
          <w:rFonts w:eastAsia="Calibri" w:cs="Arial"/>
          <w:szCs w:val="24"/>
        </w:rPr>
        <w:t xml:space="preserve"> </w:t>
      </w:r>
      <w:r w:rsidRPr="00E062A2">
        <w:rPr>
          <w:rFonts w:eastAsia="Calibri" w:cs="Arial"/>
          <w:szCs w:val="24"/>
        </w:rPr>
        <w:t>iterate: (a) build</w:t>
      </w:r>
      <w:r>
        <w:rPr>
          <w:rFonts w:eastAsia="Calibri" w:cs="Arial"/>
          <w:szCs w:val="24"/>
        </w:rPr>
        <w:t xml:space="preserve"> </w:t>
      </w:r>
      <w:r w:rsidRPr="00E062A2">
        <w:rPr>
          <w:rFonts w:eastAsia="Calibri" w:cs="Arial"/>
          <w:szCs w:val="24"/>
        </w:rPr>
        <w:t>the item bank and (b) assess</w:t>
      </w:r>
      <w:r>
        <w:rPr>
          <w:rFonts w:eastAsia="Calibri" w:cs="Arial"/>
          <w:szCs w:val="24"/>
        </w:rPr>
        <w:t xml:space="preserve"> </w:t>
      </w:r>
      <w:r w:rsidRPr="00E062A2">
        <w:rPr>
          <w:rFonts w:eastAsia="Calibri" w:cs="Arial"/>
          <w:szCs w:val="24"/>
        </w:rPr>
        <w:t xml:space="preserve">the item bank.    </w:t>
      </w:r>
    </w:p>
    <w:p w14:paraId="25D7319B" w14:textId="32F67814" w:rsidR="00880E8B" w:rsidRDefault="00880E8B" w:rsidP="00880E8B">
      <w:pPr>
        <w:jc w:val="both"/>
        <w:rPr>
          <w:rFonts w:eastAsia="Calibri" w:cs="Arial"/>
          <w:szCs w:val="24"/>
        </w:rPr>
      </w:pPr>
      <w:r>
        <w:rPr>
          <w:rFonts w:eastAsia="Calibri" w:cs="Arial"/>
          <w:i/>
          <w:szCs w:val="24"/>
        </w:rPr>
        <w:t>Step 1(a). Build Item Bank</w:t>
      </w:r>
      <w:r>
        <w:rPr>
          <w:rFonts w:eastAsia="Calibri" w:cs="Arial"/>
          <w:szCs w:val="24"/>
        </w:rPr>
        <w:t xml:space="preserve">. </w:t>
      </w:r>
      <w:r w:rsidRPr="00E062A2">
        <w:rPr>
          <w:rFonts w:eastAsia="Calibri" w:cs="Arial"/>
          <w:szCs w:val="24"/>
        </w:rPr>
        <w:t xml:space="preserve">For step </w:t>
      </w:r>
      <w:r>
        <w:rPr>
          <w:rFonts w:eastAsia="Calibri" w:cs="Arial"/>
          <w:szCs w:val="24"/>
        </w:rPr>
        <w:t>1</w:t>
      </w:r>
      <w:r w:rsidRPr="00E062A2">
        <w:rPr>
          <w:rFonts w:eastAsia="Calibri" w:cs="Arial"/>
          <w:szCs w:val="24"/>
        </w:rPr>
        <w:t xml:space="preserve">(a), </w:t>
      </w:r>
      <w:r w:rsidRPr="00AD2EBC">
        <w:rPr>
          <w:rFonts w:eastAsia="Calibri" w:cs="Arial"/>
          <w:szCs w:val="24"/>
        </w:rPr>
        <w:t xml:space="preserve">We examine each knowledge source, which provides a distinct understanding of possible root causes of the domain.  For example, existing journal articles capture information about Instagram and Instagram self-efficacy </w:t>
      </w:r>
      <w:r w:rsidRPr="00AD2EBC">
        <w:rPr>
          <w:rFonts w:eastAsia="Calibri" w:cs="Arial"/>
          <w:szCs w:val="24"/>
        </w:rPr>
        <w:fldChar w:fldCharType="begin" w:fldLock="1"/>
      </w:r>
      <w:r>
        <w:rPr>
          <w:rFonts w:eastAsia="Calibri" w:cs="Arial"/>
          <w:szCs w:val="24"/>
        </w:rPr>
        <w:instrText>ADDIN CSL_CITATION {"citationItems":[{"id":"ITEM-1","itemData":{"DOI":"10.1016/j.chb.2015.12.059","ISBN":"1369-118X, 1369-118X","ISSN":"07475632","abstract":"Instagram is the fastest growing social network site globally. This study investigates motives for its use, and its relationship to contextual age and narcissism. A survey of 239 college students revealed that the main reasons for Instagram use are \"Surveillance/Knowledge about others,\" \"Documentation,\" \"Coolness,\" and \"Creativity.\" The next significant finding was a positive relationship between those who scored high in interpersonal interaction and using Instagram for coolness, creative purposes, and surveillance. Another interesting finding shows that there is a positive relationship between high levels of social activity (traveling, going to sporting events, visiting friends, etc.) and being motivated to use Instagram as a means of documentation. In reference to narcissism, there was a positive relationship between using Instagram to be cool and for surveillance. Theoretical contributions of this study relate to our understanding of uses and gratifications theory. This study uncovers new motives for social media use not identified in previous literature.","author":[{"dropping-particle":"","family":"Sheldon","given":"Pavica","non-dropping-particle":"","parse-names":false,"suffix":""},{"dropping-particle":"","family":"Bryant","given":"Katherine","non-dropping-particle":"","parse-names":false,"suffix":""}],"container-title":"Computers in Human Behavior","id":"ITEM-1","issued":{"date-parts":[["2016"]]},"page":"89-97","publisher":"Elsevier Ltd","title":"Instagram: Motives for its use and relationship to narcissism and contextual age","type":"article-journal","volume":"58"},"uris":["http://www.mendeley.com/documents/?uuid=ee42c201-481a-4250-a349-8d3d2a34ae1a"]},{"id":"ITEM-2","itemData":{"author":[{"dropping-particle":"","family":"Compeau","given":"Deborah R","non-dropping-particle":"","parse-names":false,"suffix":""},{"dropping-particle":"","family":"Higgins","given":"Christopher A","non-dropping-particle":"","parse-names":false,"suffix":""}],"container-title":"MIS Quarterly","id":"ITEM-2","issue":"2","issued":{"date-parts":[["1995"]]},"page":"189-211","title":"Computer Self-Efficacy: Development of a Measure and Initial Test","type":"article-journal","volume":"19"},"uris":["http://www.mendeley.com/documents/?uuid=98a97b34-c039-487f-b126-68133f341597"]},{"id":"ITEM-3","itemData":{"DOI":"10.1016/j.chb.2014.07.020","ISBN":"0747-5632","ISSN":"07475632","abstract":"This study introduces the concept of social media self-efficacy, or a person's perceived ability to reach desired outcomes in the social media environment, and examines the relationship between social media self-efficacy and how people evaluate information found online. Results of a survey of a representative sample of adult Internet users in the United States (N = 3568) indicate that users with higher social media self-efficacy find information shared via social media to be more trustworthy than do those lower in social media self-efficacy. These self-efficacious social media users also rely more both on the opinions of others and on social media specifically when evaluating or verifying the information they find online, suggesting that they may be more prone to seek out and be influenced by input from others. Practical and theoretical implications of these findings are explored. © 2014 Elsevier Ltd. All rights reserved.","author":[{"dropping-particle":"","family":"Hocevar","given":"Kristin Page","non-dropping-particle":"","parse-names":false,"suffix":""},{"dropping-particle":"","family":"Flanagin","given":"Andrew J.","non-dropping-particle":"","parse-names":false,"suffix":""},{"dropping-particle":"","family":"Metzger","given":"Miriam J.","non-dropping-particle":"","parse-names":false,"suffix":""}],"container-title":"Computers in Human Behavior","id":"ITEM-3","issued":{"date-parts":[["2014"]]},"page":"254-262","publisher":"Elsevier Ltd","title":"Social media self-efficacy and information evaluation online","type":"article-journal","volume":"39"},"uris":["http://www.mendeley.com/documents/?uuid=916106fa-7807-4dcf-815a-e79b4467ceb7"]},{"id":"ITEM-4","itemData":{"DOI":"10.1016/j.intmar.2016.05.001","ISBN":"1094-9968","ISSN":"15206653","abstract":"Cases in which employees' uses of social media harm their company's reputation highlight the need for a measure to evaluate employees' company reputation-related social media competence (RSMC). Drawing on reputation and human capital theory and data from four occupationally diverse samples of employees, this study develops and validates a new, multidimensional measure of RSMC, or an employee's ability to use social media without causing harm to the employer's reputation. Exploratory factor analyses, first- and second-order confirmatory factor analyses, and structural equation modeling all provide strong evidence of the convergent, discriminant, known-group, and nomological validities of the proposed RSMC scale. The higher-order RSMC construct also relates to job demands and resources and to two behavioral outcomes: bad mouthing and positive word of mouth. The RSMC scale also exhibits test–retest reliability and ecological validity. Thus, the new scale offers both research directions and managerial implications.","author":[{"dropping-particle":"","family":"Walsh","given":"Gianfranco","non-dropping-particle":"","parse-names":false,"suffix":""},{"dropping-particle":"","family":"Schaarschmidt","given":"Mario","non-dropping-particle":"","parse-names":false,"suffix":""},{"dropping-particle":"","family":"Kortzfleisch","given":"Harald","non-dropping-particle":"von","parse-names":false,"suffix":""}],"container-title":"Journal of Interactive Marketing","id":"ITEM-4","issued":{"date-parts":[["2016"]]},"page":"46-59","title":"Employees' Company Reputation-related Social Media Competence: Scale Development and Validation","type":"article-journal","volume":"36"},"uris":["http://www.mendeley.com/documents/?uuid=b20b9580-76a4-4cb4-96f0-73eb3fb929ce"]}],"mendeley":{"formattedCitation":"[10], [44]–[46]","plainTextFormattedCitation":"[10], [44]–[46]","previouslyFormattedCitation":"[10], [44]–[46]"},"properties":{"noteIndex":0},"schema":"https://github.com/citation-style-language/schema/raw/master/csl-citation.json"}</w:instrText>
      </w:r>
      <w:r w:rsidRPr="00AD2EBC">
        <w:rPr>
          <w:rFonts w:eastAsia="Calibri" w:cs="Arial"/>
          <w:szCs w:val="24"/>
        </w:rPr>
        <w:fldChar w:fldCharType="separate"/>
      </w:r>
      <w:r w:rsidRPr="00E65D3B">
        <w:rPr>
          <w:rFonts w:eastAsia="Calibri" w:cs="Arial"/>
          <w:noProof/>
          <w:szCs w:val="24"/>
        </w:rPr>
        <w:t>[10], [44]–[46]</w:t>
      </w:r>
      <w:r w:rsidRPr="00AD2EBC">
        <w:rPr>
          <w:rFonts w:eastAsia="Calibri" w:cs="Arial"/>
          <w:szCs w:val="24"/>
        </w:rPr>
        <w:fldChar w:fldCharType="end"/>
      </w:r>
      <w:r w:rsidRPr="00AD2EBC">
        <w:rPr>
          <w:rFonts w:eastAsia="Calibri" w:cs="Arial"/>
          <w:szCs w:val="24"/>
        </w:rPr>
        <w:t xml:space="preserve">.  Similarly, social media sources,  such as reviews and blogs, can provide a wide range of in depth information on issues a user may face with a product or service </w:t>
      </w:r>
      <w:r w:rsidRPr="00AD2EBC">
        <w:rPr>
          <w:rFonts w:eastAsia="Calibri" w:cs="Arial"/>
          <w:szCs w:val="24"/>
          <w:lang w:val="en-GB"/>
        </w:rPr>
        <w:fldChar w:fldCharType="begin" w:fldLock="1"/>
      </w:r>
      <w:r>
        <w:rPr>
          <w:rFonts w:eastAsia="Calibri" w:cs="Arial"/>
          <w:szCs w:val="24"/>
        </w:rPr>
        <w:instrText>ADDIN CSL_CITATION {"citationItems":[{"id":"ITEM-1","itemData":{"author":[{"dropping-particle":"","family":"Mudambi","given":"Susan M.","non-dropping-particle":"","parse-names":false,"suffix":""},{"dropping-particle":"","family":"Schuff","given":"David","non-dropping-particle":"","parse-names":false,"suffix":""}],"container-title":"MIS Quarterly","id":"ITEM-1","issue":"1","issued":{"date-parts":[["2010"]]},"page":"185-200","title":"What Makes a Helpful Online Review? A Study of Customer Reviews on Amazon.com","type":"article-journal","volume":"34"},"uris":["http://www.mendeley.com/documents/?uuid=a6638004-a998-4339-8ed8-1427ec38f17c"]},{"id":"ITEM-2","itemData":{"abstract":"A common assumption in prior research and practice is that more helpful online reviews will exert a greater impact on consumer attitudes and purchase decisions. We suggest that this assumption may not hold for reviews expressing anger. Building on Emotions as Social Information (EASI) theory, we propose that although expressions of anger in a negative review tend to decrease reader perceptions of review helpfulness, the same expressions tend to increase the negative influence of the review on reader attitudes and decisions. Results from a series of laboratory experiments provide support for our claims. Our findings challenge the widely accepted assumption that more \"helpful\" reviews are ultimately more persuasive, and they extend current understanding of the interpersonal effects of emotion in online communication. Our findings also suggest implications for review platforms, retailers, marketers, and manufacturers faced with the task of managing consumer reviews.","author":[{"dropping-particle":"","family":"Yin","given":"Dezhi","non-dropping-particle":"","parse-names":false,"suffix":""},{"dropping-particle":"","family":"Bond","given":"Samuel D","non-dropping-particle":"","parse-names":false,"suffix":""},{"dropping-particle":"","family":"Zhang","given":"Han","non-dropping-particle":"","parse-names":false,"suffix":""}],"container-title":"Forthcoming at MIS Quarterly","id":"ITEM-2","issued":{"date-parts":[["2020"]]},"page":"1-74","title":"Anger in consumer reviews: unhelpful but persuasive?","type":"article-journal"},"uris":["http://www.mendeley.com/documents/?uuid=7ea08bc1-bf53-422d-b698-f982ca994437"]}],"mendeley":{"formattedCitation":"[47], [48]","plainTextFormattedCitation":"[47], [48]","previouslyFormattedCitation":"[47], [48]"},"properties":{"noteIndex":0},"schema":"https://github.com/citation-style-language/schema/raw/master/csl-citation.json"}</w:instrText>
      </w:r>
      <w:r w:rsidRPr="00AD2EBC">
        <w:rPr>
          <w:rFonts w:eastAsia="Calibri" w:cs="Arial"/>
          <w:szCs w:val="24"/>
          <w:lang w:val="en-GB"/>
        </w:rPr>
        <w:fldChar w:fldCharType="separate"/>
      </w:r>
      <w:r w:rsidRPr="00E65D3B">
        <w:rPr>
          <w:rFonts w:eastAsia="Calibri" w:cs="Arial"/>
          <w:noProof/>
          <w:szCs w:val="24"/>
        </w:rPr>
        <w:t>[47], [48]</w:t>
      </w:r>
      <w:r w:rsidRPr="00AD2EBC">
        <w:rPr>
          <w:rFonts w:eastAsia="Calibri" w:cs="Arial"/>
          <w:szCs w:val="24"/>
        </w:rPr>
        <w:fldChar w:fldCharType="end"/>
      </w:r>
      <w:r w:rsidRPr="00AD2EBC">
        <w:rPr>
          <w:rFonts w:eastAsia="Calibri" w:cs="Arial"/>
          <w:szCs w:val="24"/>
        </w:rPr>
        <w:t xml:space="preserve">. For our Diagnostic Tree for Instagram, a variety of sources were used, such as websites (Instagram help and troubleshooting), reviews and comments from different app stores (Apple app store and Google play, and forums (Reddit). Each provides inspiration to create the item bank. </w:t>
      </w:r>
    </w:p>
    <w:p w14:paraId="3469674A" w14:textId="2B7D4D67" w:rsidR="00E269B1" w:rsidRDefault="00E269B1" w:rsidP="00880E8B">
      <w:pPr>
        <w:jc w:val="both"/>
        <w:rPr>
          <w:rFonts w:eastAsia="Calibri" w:cs="Arial"/>
          <w:szCs w:val="24"/>
        </w:rPr>
      </w:pPr>
      <w:r>
        <w:rPr>
          <w:rFonts w:eastAsia="Calibri" w:cs="Arial"/>
          <w:noProof/>
          <w:szCs w:val="24"/>
        </w:rPr>
        <w:drawing>
          <wp:inline distT="0" distB="0" distL="0" distR="0" wp14:anchorId="010F4243" wp14:editId="66AB9898">
            <wp:extent cx="3569817" cy="2236803"/>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2"/>
                    <a:stretch>
                      <a:fillRect/>
                    </a:stretch>
                  </pic:blipFill>
                  <pic:spPr>
                    <a:xfrm>
                      <a:off x="0" y="0"/>
                      <a:ext cx="3597061" cy="2253874"/>
                    </a:xfrm>
                    <a:prstGeom prst="rect">
                      <a:avLst/>
                    </a:prstGeom>
                  </pic:spPr>
                </pic:pic>
              </a:graphicData>
            </a:graphic>
          </wp:inline>
        </w:drawing>
      </w:r>
    </w:p>
    <w:p w14:paraId="2E085D63" w14:textId="3861024D" w:rsidR="00880E8B" w:rsidRPr="00FC264B" w:rsidRDefault="009B4E43" w:rsidP="00FC264B">
      <w:pPr>
        <w:pStyle w:val="Caption"/>
        <w:rPr>
          <w:i w:val="0"/>
          <w:iCs w:val="0"/>
          <w:sz w:val="16"/>
          <w:szCs w:val="14"/>
        </w:rPr>
      </w:pPr>
      <w:r w:rsidRPr="009B4E43">
        <w:rPr>
          <w:i w:val="0"/>
          <w:iCs w:val="0"/>
          <w:sz w:val="16"/>
          <w:szCs w:val="14"/>
        </w:rPr>
        <w:t>Fig. 5.  Flowchart of the process for building the items for the diagnostic tree</w:t>
      </w:r>
      <w:r>
        <w:rPr>
          <w:i w:val="0"/>
          <w:iCs w:val="0"/>
          <w:sz w:val="16"/>
          <w:szCs w:val="14"/>
        </w:rPr>
        <w:t>.</w:t>
      </w:r>
    </w:p>
    <w:p w14:paraId="2F7510B4" w14:textId="77777777" w:rsidR="00880E8B" w:rsidRPr="00491745" w:rsidRDefault="00880E8B" w:rsidP="00880E8B">
      <w:pPr>
        <w:jc w:val="both"/>
        <w:rPr>
          <w:rFonts w:eastAsia="Calibri" w:cs="Arial"/>
          <w:szCs w:val="24"/>
          <w:highlight w:val="yellow"/>
        </w:rPr>
      </w:pPr>
      <w:bookmarkStart w:id="26" w:name="_Hlk64286803"/>
      <w:r w:rsidRPr="00AD2EBC">
        <w:rPr>
          <w:rFonts w:eastAsia="Calibri" w:cs="Arial"/>
          <w:szCs w:val="24"/>
        </w:rPr>
        <w:t xml:space="preserve">We employ the term “item” in the same way as  Edwards and </w:t>
      </w:r>
      <w:proofErr w:type="spellStart"/>
      <w:r w:rsidRPr="00AD2EBC">
        <w:rPr>
          <w:rFonts w:eastAsia="Calibri" w:cs="Arial"/>
          <w:szCs w:val="24"/>
        </w:rPr>
        <w:t>Bagozzi</w:t>
      </w:r>
      <w:proofErr w:type="spellEnd"/>
      <w:r w:rsidRPr="00AD2EBC">
        <w:rPr>
          <w:rFonts w:eastAsia="Calibri" w:cs="Arial"/>
          <w:szCs w:val="24"/>
        </w:rPr>
        <w:t xml:space="preserve"> </w:t>
      </w:r>
      <w:r w:rsidRPr="00AD2EBC">
        <w:rPr>
          <w:rFonts w:eastAsia="Calibri" w:cs="Arial"/>
          <w:szCs w:val="24"/>
        </w:rPr>
        <w:fldChar w:fldCharType="begin" w:fldLock="1"/>
      </w:r>
      <w:r>
        <w:rPr>
          <w:rFonts w:eastAsia="Calibri" w:cs="Arial"/>
          <w:szCs w:val="24"/>
        </w:rPr>
        <w:instrText>ADDIN CSL_CITATION {"citationItems":[{"id":"ITEM-1","itemData":{"DOI":"10.1037//1082-989X.5.2","abstract":"Theory development typically focuses on relationships among theoretical con- structs, placing little emphasis on relationships between constructs and measures. In most cases, constructs are treated as causes of their measures. However, this causal flow is sometimes reversed, such that measures are viewed as causes of constructs. Procedures have been developed to identify and estimate models that specify con- structs as causes or effects of measures. However, these procedures provide little guidance for determining a priori whether constructs should be specified as causes or effects of their measures. Moreover, these procedures address few of the possible causal structures by which constructs and measures may be related. This article develops principles for specifying the direction and structure of relationships be- tween constructs and measures. These principles are illustrated using examples from psychological, sociological, and organizational research.","author":[{"dropping-particle":"","family":"Edwards","given":"Jeffrey R.","non-dropping-particle":"","parse-names":false,"suffix":""},{"dropping-particle":"","family":"Bagozzi","given":"Richard P","non-dropping-particle":"","parse-names":false,"suffix":""}],"container-title":"Psychological Methods","id":"ITEM-1","issue":"2","issued":{"date-parts":[["2000"]]},"page":"155-174","title":"On the Nature and Direction of Relationships Between Constructs and Measures","type":"article-journal","volume":"5"},"locator":"156","uris":["http://www.mendeley.com/documents/?uuid=5d58159f-a3b2-4e96-9bdf-4e8624779931"]}],"mendeley":{"formattedCitation":"[49, p. 156]","plainTextFormattedCitation":"[49, p. 156]","previouslyFormattedCitation":"[49, p. 156]"},"properties":{"noteIndex":0},"schema":"https://github.com/citation-style-language/schema/raw/master/csl-citation.json"}</w:instrText>
      </w:r>
      <w:r w:rsidRPr="00AD2EBC">
        <w:rPr>
          <w:rFonts w:eastAsia="Calibri" w:cs="Arial"/>
          <w:szCs w:val="24"/>
        </w:rPr>
        <w:fldChar w:fldCharType="separate"/>
      </w:r>
      <w:r w:rsidRPr="00E65D3B">
        <w:rPr>
          <w:rFonts w:eastAsia="Calibri" w:cs="Arial"/>
          <w:noProof/>
          <w:szCs w:val="24"/>
        </w:rPr>
        <w:t>[49, p. 156]</w:t>
      </w:r>
      <w:r w:rsidRPr="00AD2EBC">
        <w:rPr>
          <w:rFonts w:eastAsia="Calibri" w:cs="Arial"/>
          <w:szCs w:val="24"/>
        </w:rPr>
        <w:fldChar w:fldCharType="end"/>
      </w:r>
      <w:r w:rsidRPr="00AD2EBC">
        <w:rPr>
          <w:rFonts w:eastAsia="Calibri" w:cs="Arial"/>
          <w:szCs w:val="24"/>
        </w:rPr>
        <w:t xml:space="preserve"> , i.e., “observable, quantifiable scores obtained through self-report, interview, observation, or other empirical means.” A “concept” is a mental image or general notion of something. It summarizes observations and ideas about all the characteristics of that image </w:t>
      </w:r>
      <w:r w:rsidRPr="00AD2EBC">
        <w:rPr>
          <w:rFonts w:eastAsia="Calibri" w:cs="Arial"/>
          <w:szCs w:val="24"/>
        </w:rPr>
        <w:fldChar w:fldCharType="begin" w:fldLock="1"/>
      </w:r>
      <w:r>
        <w:rPr>
          <w:rFonts w:eastAsia="Calibri" w:cs="Arial"/>
          <w:szCs w:val="24"/>
        </w:rPr>
        <w:instrText>ADDIN CSL_CITATION {"citationItems":[{"id":"ITEM-1","itemData":{"DOI":"doi: http://dx.doi.org/10.4135/9781452274690.n3.","ISBN":"9781412926522","author":[{"dropping-particle":"","family":"Lauffer","given":"Armand","non-dropping-particle":"","parse-names":false,"suffix":""}],"container-title":"Understanding your social agency","edition":"3rd","id":"ITEM-1","issued":{"date-parts":[["2010"]]},"publisher":"SAGE Publications Ltd","publisher-place":"London","title":"Understanding your social agency","type":"book"},"locator":"49","uris":["http://www.mendeley.com/documents/?uuid=fb472fbc-35da-4eef-b8cf-93828b53054d"]}],"mendeley":{"formattedCitation":"[50, p. 49]","plainTextFormattedCitation":"[50, p. 49]","previouslyFormattedCitation":"[50, p. 49]"},"properties":{"noteIndex":0},"schema":"https://github.com/citation-style-language/schema/raw/master/csl-citation.json"}</w:instrText>
      </w:r>
      <w:r w:rsidRPr="00AD2EBC">
        <w:rPr>
          <w:rFonts w:eastAsia="Calibri" w:cs="Arial"/>
          <w:szCs w:val="24"/>
        </w:rPr>
        <w:fldChar w:fldCharType="separate"/>
      </w:r>
      <w:r w:rsidRPr="00E65D3B">
        <w:rPr>
          <w:rFonts w:eastAsia="Calibri" w:cs="Arial"/>
          <w:noProof/>
          <w:szCs w:val="24"/>
        </w:rPr>
        <w:t>[50, p. 49]</w:t>
      </w:r>
      <w:r w:rsidRPr="00AD2EBC">
        <w:rPr>
          <w:rFonts w:eastAsia="Calibri" w:cs="Arial"/>
          <w:szCs w:val="24"/>
        </w:rPr>
        <w:fldChar w:fldCharType="end"/>
      </w:r>
      <w:r w:rsidRPr="00AD2EBC">
        <w:rPr>
          <w:rFonts w:eastAsia="Calibri" w:cs="Arial"/>
          <w:szCs w:val="24"/>
        </w:rPr>
        <w:t>. For instance, one online review stated, “I tried to set up an account on Instagram and an automatic pop-up told me someone was already using my email on Instagram.” In this context, several concepts exist, including account creation, pop-up, and email in use. New items can be developed based on these concepts such as “I know how to create an account using my email” and “I know what to do if I can't sign up for an account because an account with my email address or phone number already exists.” As another example, a comment from 2018 from the Apple app store stated, “You can post whatever you want add anything to your story and add filters, stickers and gifs to your photos and you can explore different accounts and bookmark, like and comment on everything you find.”  Here new concepts such as “adding to a story” or “exploring bookmarks” can be identified. Consequently, items such as I know how to add a story or I know how to use a bookmark, can be constructed. As a result of step 1(a), we collected approximately 260 items for our self-efficacy Instagram survey.</w:t>
      </w:r>
    </w:p>
    <w:bookmarkEnd w:id="26"/>
    <w:p w14:paraId="390EA029" w14:textId="77777777" w:rsidR="00880E8B" w:rsidRPr="00E062A2" w:rsidRDefault="00880E8B" w:rsidP="00880E8B">
      <w:pPr>
        <w:rPr>
          <w:rFonts w:eastAsia="Calibri" w:cs="Arial"/>
          <w:szCs w:val="24"/>
        </w:rPr>
      </w:pPr>
      <w:r w:rsidRPr="00E062A2">
        <w:rPr>
          <w:rFonts w:eastAsia="Calibri" w:cs="Arial"/>
          <w:szCs w:val="24"/>
        </w:rPr>
        <w:t>For step</w:t>
      </w:r>
      <w:r>
        <w:rPr>
          <w:rFonts w:eastAsia="Calibri" w:cs="Arial"/>
          <w:szCs w:val="24"/>
        </w:rPr>
        <w:t xml:space="preserve"> 1</w:t>
      </w:r>
      <w:r w:rsidRPr="00E062A2">
        <w:rPr>
          <w:rFonts w:eastAsia="Calibri" w:cs="Arial"/>
          <w:szCs w:val="24"/>
        </w:rPr>
        <w:t>(b), we test items for the following issues:</w:t>
      </w:r>
    </w:p>
    <w:p w14:paraId="01230569" w14:textId="77777777" w:rsidR="00880E8B" w:rsidRPr="00E062A2" w:rsidRDefault="00880E8B" w:rsidP="00880E8B">
      <w:pPr>
        <w:numPr>
          <w:ilvl w:val="0"/>
          <w:numId w:val="45"/>
        </w:numPr>
        <w:ind w:left="360"/>
        <w:contextualSpacing/>
        <w:jc w:val="both"/>
        <w:rPr>
          <w:rFonts w:eastAsia="Calibri" w:cs="Arial"/>
          <w:szCs w:val="24"/>
        </w:rPr>
      </w:pPr>
      <w:r w:rsidRPr="00BE1DC4">
        <w:rPr>
          <w:rFonts w:eastAsia="Calibri" w:cs="Arial"/>
          <w:i/>
          <w:szCs w:val="24"/>
        </w:rPr>
        <w:t>similarities across items</w:t>
      </w:r>
      <w:r w:rsidRPr="00E062A2">
        <w:rPr>
          <w:rFonts w:eastAsia="Calibri" w:cs="Arial"/>
          <w:szCs w:val="24"/>
        </w:rPr>
        <w:t xml:space="preserve">- if two items essentially capture the same idea, one is dropped.  We dropped approximately </w:t>
      </w:r>
      <w:r>
        <w:rPr>
          <w:rFonts w:eastAsia="Calibri" w:cs="Arial"/>
          <w:szCs w:val="24"/>
        </w:rPr>
        <w:t>40</w:t>
      </w:r>
      <w:r w:rsidRPr="00E062A2">
        <w:rPr>
          <w:rFonts w:eastAsia="Calibri" w:cs="Arial"/>
          <w:szCs w:val="24"/>
        </w:rPr>
        <w:t xml:space="preserve"> duplicates in our</w:t>
      </w:r>
      <w:r>
        <w:rPr>
          <w:rFonts w:eastAsia="Calibri" w:cs="Arial"/>
          <w:szCs w:val="24"/>
        </w:rPr>
        <w:t xml:space="preserve"> Instagram</w:t>
      </w:r>
      <w:r w:rsidRPr="00E062A2">
        <w:rPr>
          <w:rFonts w:eastAsia="Calibri" w:cs="Arial"/>
          <w:szCs w:val="24"/>
        </w:rPr>
        <w:t xml:space="preserve"> </w:t>
      </w:r>
      <w:r>
        <w:rPr>
          <w:rFonts w:eastAsia="Calibri" w:cs="Arial"/>
          <w:szCs w:val="24"/>
        </w:rPr>
        <w:t xml:space="preserve">self-efficacy </w:t>
      </w:r>
      <w:r w:rsidRPr="00E062A2">
        <w:rPr>
          <w:rFonts w:eastAsia="Calibri" w:cs="Arial"/>
          <w:szCs w:val="24"/>
        </w:rPr>
        <w:t xml:space="preserve">survey, and </w:t>
      </w:r>
      <w:r>
        <w:rPr>
          <w:rFonts w:eastAsia="Calibri" w:cs="Arial"/>
          <w:szCs w:val="24"/>
        </w:rPr>
        <w:t>220</w:t>
      </w:r>
      <w:r w:rsidRPr="00E062A2">
        <w:rPr>
          <w:rFonts w:eastAsia="Calibri" w:cs="Arial"/>
          <w:szCs w:val="24"/>
        </w:rPr>
        <w:t xml:space="preserve"> items remained. </w:t>
      </w:r>
    </w:p>
    <w:p w14:paraId="37934FAF" w14:textId="77777777" w:rsidR="00880E8B" w:rsidRPr="00E062A2" w:rsidRDefault="00880E8B" w:rsidP="00880E8B">
      <w:pPr>
        <w:numPr>
          <w:ilvl w:val="0"/>
          <w:numId w:val="45"/>
        </w:numPr>
        <w:ind w:left="360"/>
        <w:contextualSpacing/>
        <w:jc w:val="both"/>
        <w:rPr>
          <w:rFonts w:eastAsia="Calibri" w:cs="Arial"/>
          <w:szCs w:val="24"/>
        </w:rPr>
      </w:pPr>
      <w:r w:rsidRPr="00BE1DC4">
        <w:rPr>
          <w:rFonts w:eastAsia="Calibri"/>
          <w:i/>
          <w:szCs w:val="24"/>
        </w:rPr>
        <w:t>scope testing</w:t>
      </w:r>
      <w:r w:rsidRPr="00E062A2">
        <w:rPr>
          <w:rFonts w:eastAsia="Calibri"/>
          <w:szCs w:val="24"/>
        </w:rPr>
        <w:t xml:space="preserve">- we test for “theoretical saturation” </w:t>
      </w:r>
      <w:r w:rsidRPr="00E062A2">
        <w:rPr>
          <w:rFonts w:eastAsia="Calibri"/>
          <w:szCs w:val="24"/>
        </w:rPr>
        <w:fldChar w:fldCharType="begin" w:fldLock="1"/>
      </w:r>
      <w:r>
        <w:rPr>
          <w:rFonts w:eastAsia="Calibri"/>
          <w:szCs w:val="24"/>
        </w:rPr>
        <w:instrText>ADDIN CSL_CITATION {"citationItems":[{"id":"ITEM-1","itemData":{"DOI":"10.1177/1468794107085301","ISBN":"1468-7941","ISSN":"14687941","PMID":"25246403","abstract":"Saturation is mentioned in many qualitative research reports without any explanation of what it means and how it occurred. Recognizing the saturation point presents a challenge to qualitative researchers, especially in the absence of explicit guidelines for determining data or theoretical saturation. This research note examines the saturation concept in naturalistic inquiry and the challenges it presents. In particular, it summarizes the saturation process in a grounded theory study of community-based antipoverty projects. The main argument advanced in this research note is that claims of saturation should be supported by an explanation of how saturation was achieved and substantiated by clear evidence of its occurrence.","author":[{"dropping-particle":"","family":"Bowen","given":"Glenn A.","non-dropping-particle":"","parse-names":false,"suffix":""}],"container-title":"Qualitative Research","id":"ITEM-1","issue":"1","issued":{"date-parts":[["2008"]]},"page":"137-152","title":"Naturalistic inquiry and the saturation concept: A research note","type":"article-journal","volume":"8"},"uris":["http://www.mendeley.com/documents/?uuid=4d17c344-4610-46df-9ead-272e09616ea9"]}],"mendeley":{"formattedCitation":"[51]","plainTextFormattedCitation":"[51]","previouslyFormattedCitation":"[51]"},"properties":{"noteIndex":0},"schema":"https://github.com/citation-style-language/schema/raw/master/csl-citation.json"}</w:instrText>
      </w:r>
      <w:r w:rsidRPr="00E062A2">
        <w:rPr>
          <w:rFonts w:eastAsia="Calibri"/>
          <w:szCs w:val="24"/>
        </w:rPr>
        <w:fldChar w:fldCharType="separate"/>
      </w:r>
      <w:r w:rsidRPr="00E65D3B">
        <w:rPr>
          <w:rFonts w:eastAsia="Calibri"/>
          <w:noProof/>
          <w:szCs w:val="24"/>
        </w:rPr>
        <w:t>[51]</w:t>
      </w:r>
      <w:r w:rsidRPr="00E062A2">
        <w:rPr>
          <w:rFonts w:eastAsia="Calibri"/>
          <w:szCs w:val="24"/>
        </w:rPr>
        <w:fldChar w:fldCharType="end"/>
      </w:r>
      <w:r>
        <w:rPr>
          <w:rFonts w:eastAsia="Calibri"/>
          <w:szCs w:val="24"/>
        </w:rPr>
        <w:t>.</w:t>
      </w:r>
      <w:r w:rsidRPr="00E062A2">
        <w:rPr>
          <w:rFonts w:eastAsia="Calibri"/>
          <w:szCs w:val="24"/>
        </w:rPr>
        <w:t xml:space="preserve"> This is done by ascertaining whether new items were created from step </w:t>
      </w:r>
      <w:r>
        <w:rPr>
          <w:rFonts w:eastAsia="Calibri"/>
          <w:szCs w:val="24"/>
        </w:rPr>
        <w:t>1</w:t>
      </w:r>
      <w:r w:rsidRPr="00E062A2">
        <w:rPr>
          <w:rFonts w:eastAsia="Calibri"/>
          <w:szCs w:val="24"/>
        </w:rPr>
        <w:t>(a).  We determine a threshold of a number of times</w:t>
      </w:r>
      <w:r>
        <w:rPr>
          <w:rFonts w:eastAsia="Calibri"/>
          <w:szCs w:val="24"/>
        </w:rPr>
        <w:t xml:space="preserve"> to </w:t>
      </w:r>
      <w:r w:rsidRPr="00E062A2">
        <w:rPr>
          <w:rFonts w:eastAsia="Calibri"/>
          <w:szCs w:val="24"/>
        </w:rPr>
        <w:t xml:space="preserve">check for new items </w:t>
      </w:r>
      <w:r>
        <w:rPr>
          <w:rFonts w:eastAsia="Calibri"/>
          <w:szCs w:val="24"/>
        </w:rPr>
        <w:t>before we give up. I</w:t>
      </w:r>
      <w:r w:rsidRPr="00E062A2">
        <w:rPr>
          <w:rFonts w:eastAsia="Calibri"/>
          <w:szCs w:val="24"/>
        </w:rPr>
        <w:t xml:space="preserve">n our </w:t>
      </w:r>
      <w:r>
        <w:rPr>
          <w:rFonts w:eastAsia="Calibri"/>
          <w:szCs w:val="24"/>
        </w:rPr>
        <w:t xml:space="preserve">Instagram self-efficacy </w:t>
      </w:r>
      <w:r w:rsidRPr="00E062A2">
        <w:rPr>
          <w:rFonts w:eastAsia="Calibri"/>
          <w:szCs w:val="24"/>
        </w:rPr>
        <w:t>instrument, this number was 10</w:t>
      </w:r>
      <w:r>
        <w:rPr>
          <w:rFonts w:eastAsia="Calibri"/>
          <w:szCs w:val="24"/>
        </w:rPr>
        <w:t>. T</w:t>
      </w:r>
      <w:r w:rsidRPr="00E062A2">
        <w:rPr>
          <w:rFonts w:eastAsia="Calibri"/>
          <w:szCs w:val="24"/>
        </w:rPr>
        <w:t>his number is determined by the complexity of the context of the stud</w:t>
      </w:r>
      <w:r>
        <w:rPr>
          <w:rFonts w:eastAsia="Calibri"/>
          <w:szCs w:val="24"/>
        </w:rPr>
        <w:t>y,</w:t>
      </w:r>
      <w:r w:rsidRPr="00E062A2">
        <w:rPr>
          <w:rFonts w:eastAsia="Calibri"/>
          <w:szCs w:val="24"/>
        </w:rPr>
        <w:t xml:space="preserve"> availability and sample size of the knowledge sources. If new items were created in step </w:t>
      </w:r>
      <w:r>
        <w:rPr>
          <w:rFonts w:eastAsia="Calibri"/>
          <w:szCs w:val="24"/>
        </w:rPr>
        <w:t>1</w:t>
      </w:r>
      <w:r w:rsidRPr="00E062A2">
        <w:rPr>
          <w:rFonts w:eastAsia="Calibri"/>
          <w:szCs w:val="24"/>
        </w:rPr>
        <w:t xml:space="preserve">(a), we reset the number of times back to 0, as there is potential for identifying more items and loop back to step </w:t>
      </w:r>
      <w:r>
        <w:rPr>
          <w:rFonts w:eastAsia="Calibri"/>
          <w:szCs w:val="24"/>
        </w:rPr>
        <w:t>1</w:t>
      </w:r>
      <w:r w:rsidRPr="00E062A2">
        <w:rPr>
          <w:rFonts w:eastAsia="Calibri"/>
          <w:szCs w:val="24"/>
        </w:rPr>
        <w:t xml:space="preserve">(a).  Otherwise, we increment the number of times by 1 (several sources have already been assessed).  If the number of times is less than the threshold, we loop back to step </w:t>
      </w:r>
      <w:r>
        <w:rPr>
          <w:rFonts w:eastAsia="Calibri"/>
          <w:szCs w:val="24"/>
        </w:rPr>
        <w:t>1</w:t>
      </w:r>
      <w:r w:rsidRPr="00E062A2">
        <w:rPr>
          <w:rFonts w:eastAsia="Calibri"/>
          <w:szCs w:val="24"/>
        </w:rPr>
        <w:t>(a).  Otherwise, we consider that there is no further information from the knowledge sources which we can build our items upon that can be obtained and stop</w:t>
      </w:r>
    </w:p>
    <w:p w14:paraId="2964AB71" w14:textId="77777777" w:rsidR="00880E8B" w:rsidRPr="002D0123" w:rsidRDefault="00880E8B" w:rsidP="00880E8B">
      <w:pPr>
        <w:numPr>
          <w:ilvl w:val="0"/>
          <w:numId w:val="46"/>
        </w:numPr>
        <w:ind w:left="360"/>
        <w:contextualSpacing/>
        <w:jc w:val="both"/>
        <w:rPr>
          <w:rFonts w:eastAsia="Calibri"/>
          <w:szCs w:val="24"/>
        </w:rPr>
      </w:pPr>
      <w:r w:rsidRPr="00E062A2">
        <w:rPr>
          <w:rFonts w:eastAsia="Calibri" w:cs="Arial"/>
          <w:szCs w:val="24"/>
        </w:rPr>
        <w:t xml:space="preserve">Content </w:t>
      </w:r>
      <w:r>
        <w:rPr>
          <w:rFonts w:eastAsia="Calibri" w:cs="Arial"/>
          <w:szCs w:val="24"/>
        </w:rPr>
        <w:t>validity</w:t>
      </w:r>
      <w:r w:rsidRPr="00E062A2">
        <w:rPr>
          <w:rFonts w:eastAsia="Calibri" w:cs="Arial"/>
          <w:szCs w:val="24"/>
        </w:rPr>
        <w:t xml:space="preserve">-we test items for relevance to the context of the study. This is done by employing two independent and blind </w:t>
      </w:r>
      <w:r>
        <w:rPr>
          <w:rFonts w:eastAsia="Calibri" w:cs="Arial"/>
          <w:szCs w:val="24"/>
        </w:rPr>
        <w:t>expert</w:t>
      </w:r>
      <w:r w:rsidRPr="00E062A2">
        <w:rPr>
          <w:rFonts w:eastAsia="Calibri" w:cs="Arial"/>
          <w:szCs w:val="24"/>
        </w:rPr>
        <w:t>s who go through the items</w:t>
      </w:r>
      <w:r>
        <w:rPr>
          <w:rFonts w:eastAsia="Calibri" w:cs="Arial"/>
          <w:szCs w:val="24"/>
        </w:rPr>
        <w:t>.</w:t>
      </w:r>
      <w:r w:rsidRPr="00E062A2">
        <w:rPr>
          <w:rFonts w:eastAsia="Calibri" w:cs="Arial"/>
          <w:szCs w:val="24"/>
        </w:rPr>
        <w:t xml:space="preserve"> </w:t>
      </w:r>
      <w:r>
        <w:rPr>
          <w:rFonts w:eastAsia="Calibri" w:cs="Arial"/>
          <w:szCs w:val="24"/>
        </w:rPr>
        <w:t>I</w:t>
      </w:r>
      <w:r w:rsidRPr="00E062A2">
        <w:rPr>
          <w:rFonts w:eastAsia="Calibri" w:cs="Arial"/>
          <w:szCs w:val="24"/>
        </w:rPr>
        <w:t xml:space="preserve">f both </w:t>
      </w:r>
      <w:r>
        <w:rPr>
          <w:rFonts w:eastAsia="Calibri" w:cs="Arial"/>
          <w:szCs w:val="24"/>
        </w:rPr>
        <w:t>expert</w:t>
      </w:r>
      <w:r w:rsidRPr="00E062A2">
        <w:rPr>
          <w:rFonts w:eastAsia="Calibri" w:cs="Arial"/>
          <w:szCs w:val="24"/>
        </w:rPr>
        <w:t xml:space="preserve">s mark any item as irrelevant to the context of the study, that item is dropped. </w:t>
      </w:r>
      <w:r w:rsidRPr="000A668B">
        <w:rPr>
          <w:rFonts w:eastAsia="Calibri" w:cs="Arial"/>
          <w:szCs w:val="24"/>
        </w:rPr>
        <w:t>If only one expert marks an item as irrelevant, then that item is either dropped or edited</w:t>
      </w:r>
      <w:r>
        <w:rPr>
          <w:rFonts w:eastAsia="Calibri" w:cs="Arial"/>
          <w:szCs w:val="24"/>
        </w:rPr>
        <w:t>, as this flags an error.</w:t>
      </w:r>
      <w:r w:rsidRPr="00E062A2">
        <w:rPr>
          <w:rFonts w:eastAsia="Calibri" w:cs="Arial"/>
          <w:szCs w:val="24"/>
        </w:rPr>
        <w:t xml:space="preserve"> </w:t>
      </w:r>
      <w:r w:rsidRPr="002F3A72">
        <w:rPr>
          <w:rFonts w:eastAsia="Calibri"/>
          <w:szCs w:val="24"/>
        </w:rPr>
        <w:t xml:space="preserve">For example, in our Instagram </w:t>
      </w:r>
      <w:r>
        <w:rPr>
          <w:rFonts w:eastAsia="Calibri"/>
          <w:szCs w:val="24"/>
        </w:rPr>
        <w:t>self-efficacy diagnostic tree</w:t>
      </w:r>
      <w:r w:rsidRPr="002F3A72">
        <w:rPr>
          <w:rFonts w:eastAsia="Calibri"/>
          <w:szCs w:val="24"/>
        </w:rPr>
        <w:t xml:space="preserve">, </w:t>
      </w:r>
      <w:r w:rsidRPr="002F3A72">
        <w:rPr>
          <w:rFonts w:eastAsia="Calibri" w:cs="Arial"/>
          <w:szCs w:val="24"/>
        </w:rPr>
        <w:t xml:space="preserve">several items referred to </w:t>
      </w:r>
      <w:r>
        <w:rPr>
          <w:rFonts w:eastAsia="Calibri" w:cs="Arial"/>
          <w:szCs w:val="24"/>
        </w:rPr>
        <w:t xml:space="preserve">using Instagram for business. </w:t>
      </w:r>
      <w:r w:rsidRPr="002F3A72">
        <w:rPr>
          <w:rFonts w:eastAsia="Calibri" w:cs="Arial"/>
          <w:szCs w:val="24"/>
        </w:rPr>
        <w:t xml:space="preserve">However, in our context, </w:t>
      </w:r>
      <w:r>
        <w:rPr>
          <w:rFonts w:eastAsia="Calibri" w:cs="Arial"/>
          <w:szCs w:val="24"/>
        </w:rPr>
        <w:t>we only focused on perceived Instagram skill for daily use</w:t>
      </w:r>
      <w:r w:rsidRPr="002F3A72">
        <w:rPr>
          <w:rFonts w:eastAsia="Calibri" w:cs="Arial"/>
          <w:szCs w:val="24"/>
        </w:rPr>
        <w:t>.</w:t>
      </w:r>
      <w:r>
        <w:rPr>
          <w:rFonts w:eastAsia="Calibri" w:cs="Arial"/>
          <w:szCs w:val="24"/>
        </w:rPr>
        <w:t xml:space="preserve"> T</w:t>
      </w:r>
      <w:r w:rsidRPr="002F3A72">
        <w:rPr>
          <w:rFonts w:eastAsia="Calibri" w:cs="Arial"/>
          <w:szCs w:val="24"/>
        </w:rPr>
        <w:t xml:space="preserve">hese </w:t>
      </w:r>
      <w:r w:rsidRPr="002F3A72">
        <w:rPr>
          <w:rFonts w:eastAsia="Calibri"/>
          <w:szCs w:val="24"/>
        </w:rPr>
        <w:t>items were mark</w:t>
      </w:r>
      <w:r>
        <w:rPr>
          <w:rFonts w:eastAsia="Calibri"/>
          <w:szCs w:val="24"/>
        </w:rPr>
        <w:t>ed</w:t>
      </w:r>
      <w:r w:rsidRPr="002F3A72">
        <w:rPr>
          <w:rFonts w:eastAsia="Calibri"/>
          <w:szCs w:val="24"/>
        </w:rPr>
        <w:t xml:space="preserve"> as not relevant by both </w:t>
      </w:r>
      <w:r>
        <w:rPr>
          <w:rFonts w:eastAsia="Calibri"/>
          <w:szCs w:val="24"/>
        </w:rPr>
        <w:t>expert</w:t>
      </w:r>
      <w:r w:rsidRPr="002F3A72">
        <w:rPr>
          <w:rFonts w:eastAsia="Calibri"/>
          <w:szCs w:val="24"/>
        </w:rPr>
        <w:t>s and dropped.</w:t>
      </w:r>
      <w:r>
        <w:rPr>
          <w:rFonts w:eastAsia="Calibri"/>
          <w:szCs w:val="24"/>
        </w:rPr>
        <w:t xml:space="preserve"> In</w:t>
      </w:r>
      <w:r w:rsidRPr="002D0123">
        <w:rPr>
          <w:rFonts w:eastAsia="Calibri" w:cs="Arial"/>
          <w:szCs w:val="24"/>
        </w:rPr>
        <w:t xml:space="preserve"> our </w:t>
      </w:r>
      <w:r>
        <w:rPr>
          <w:rFonts w:eastAsia="Calibri" w:cs="Arial"/>
          <w:szCs w:val="24"/>
        </w:rPr>
        <w:t>diagnostic tree</w:t>
      </w:r>
      <w:r w:rsidRPr="002D0123">
        <w:rPr>
          <w:rFonts w:eastAsia="Calibri" w:cs="Arial"/>
          <w:szCs w:val="24"/>
        </w:rPr>
        <w:t xml:space="preserve">, nearly 20 items were dropped, leaving 200 items. </w:t>
      </w:r>
    </w:p>
    <w:p w14:paraId="1611DC34" w14:textId="77777777" w:rsidR="00880E8B" w:rsidRDefault="00880E8B" w:rsidP="00880E8B">
      <w:pPr>
        <w:spacing w:before="120"/>
        <w:jc w:val="both"/>
        <w:rPr>
          <w:rFonts w:eastAsia="Calibri"/>
          <w:szCs w:val="24"/>
        </w:rPr>
      </w:pPr>
      <w:bookmarkStart w:id="27" w:name="_Toc512951857"/>
      <w:bookmarkStart w:id="28" w:name="_Toc524428277"/>
      <w:bookmarkStart w:id="29" w:name="_Hlk64286167"/>
      <w:r w:rsidRPr="004C1B7A">
        <w:rPr>
          <w:rStyle w:val="Heading2Char"/>
        </w:rPr>
        <w:t>Step 2: Identify top-level constructs for</w:t>
      </w:r>
      <w:r>
        <w:rPr>
          <w:rStyle w:val="Heading2Char"/>
        </w:rPr>
        <w:t xml:space="preserve"> the</w:t>
      </w:r>
      <w:r w:rsidRPr="004C1B7A">
        <w:rPr>
          <w:rStyle w:val="Heading2Char"/>
        </w:rPr>
        <w:t xml:space="preserve"> </w:t>
      </w:r>
      <w:r>
        <w:rPr>
          <w:rStyle w:val="Heading2Char"/>
        </w:rPr>
        <w:t>diagnostic tree</w:t>
      </w:r>
      <w:r w:rsidRPr="00E062A2">
        <w:rPr>
          <w:rFonts w:eastAsiaTheme="majorEastAsia" w:cstheme="majorBidi"/>
          <w:b/>
          <w:i/>
          <w:color w:val="171717" w:themeColor="background2" w:themeShade="1A"/>
          <w:szCs w:val="24"/>
        </w:rPr>
        <w:t>.</w:t>
      </w:r>
      <w:bookmarkEnd w:id="27"/>
      <w:bookmarkEnd w:id="28"/>
      <w:r w:rsidRPr="00E062A2">
        <w:rPr>
          <w:rFonts w:eastAsia="Calibri"/>
        </w:rPr>
        <w:t xml:space="preserve"> </w:t>
      </w:r>
      <w:bookmarkStart w:id="30" w:name="_Hlk64119105"/>
      <w:r w:rsidRPr="00E062A2">
        <w:rPr>
          <w:rFonts w:eastAsia="Calibri"/>
          <w:szCs w:val="24"/>
        </w:rPr>
        <w:t xml:space="preserve">Top-level constructs formatively define the domain of the </w:t>
      </w:r>
      <w:r>
        <w:rPr>
          <w:szCs w:val="24"/>
        </w:rPr>
        <w:t xml:space="preserve">diagnostic </w:t>
      </w:r>
      <w:r w:rsidRPr="00E062A2">
        <w:rPr>
          <w:rFonts w:eastAsia="Calibri"/>
          <w:szCs w:val="24"/>
        </w:rPr>
        <w:t>tree.  This step determines what these constructs are, so all items can be mapped to these constructs</w:t>
      </w:r>
      <w:r>
        <w:rPr>
          <w:rFonts w:eastAsia="Calibri"/>
          <w:szCs w:val="24"/>
        </w:rPr>
        <w:t>. There are two ways to identify top-level constructs. One way is to perform a traditional q-sort.  There are two varieties of traditional q-sort possible, both of which require two independent and blind experts.  In the first variety, boxes are prelabelled, and experts sort items into the boxes.  In the second variety, experts determine the number of boxes and sort into those boxes.  In both varieties, inter-rater reliability is assessed using</w:t>
      </w:r>
      <w:r w:rsidRPr="000E29B4">
        <w:rPr>
          <w:rFonts w:eastAsia="Calibri"/>
          <w:szCs w:val="24"/>
        </w:rPr>
        <w:t xml:space="preserve"> the 0.6</w:t>
      </w:r>
      <w:r>
        <w:rPr>
          <w:rFonts w:eastAsia="Calibri"/>
          <w:szCs w:val="24"/>
        </w:rPr>
        <w:t xml:space="preserve"> </w:t>
      </w:r>
      <w:r w:rsidRPr="00B27387">
        <w:rPr>
          <w:rFonts w:eastAsia="Calibri"/>
          <w:szCs w:val="24"/>
        </w:rPr>
        <w:t>Cohen’s Kappa</w:t>
      </w:r>
      <w:r w:rsidRPr="000E29B4">
        <w:rPr>
          <w:rFonts w:eastAsia="Calibri"/>
          <w:szCs w:val="24"/>
        </w:rPr>
        <w:t xml:space="preserve"> threshold used for exploratory research</w:t>
      </w:r>
      <w:r>
        <w:rPr>
          <w:rFonts w:eastAsia="Calibri"/>
          <w:szCs w:val="24"/>
        </w:rPr>
        <w:t xml:space="preserve"> </w:t>
      </w:r>
      <w:r>
        <w:rPr>
          <w:rFonts w:eastAsia="Calibri"/>
          <w:szCs w:val="24"/>
        </w:rPr>
        <w:fldChar w:fldCharType="begin" w:fldLock="1"/>
      </w:r>
      <w:r>
        <w:rPr>
          <w:rFonts w:eastAsia="Calibri"/>
          <w:szCs w:val="24"/>
        </w:rPr>
        <w:instrText>ADDIN CSL_CITATION {"citationItems":[{"id":"ITEM-1","itemData":{"DOI":"10.2307/2529310","ISSN":"0006341X","author":[{"dropping-particle":"","family":"Landis","given":"Richard J","non-dropping-particle":"","parse-names":false,"suffix":""},{"dropping-particle":"","family":"Koch","given":"Gary G","non-dropping-particle":"","parse-names":false,"suffix":""}],"container-title":"Biometrics","id":"ITEM-1","issue":"1","issued":{"date-parts":[["1977"]]},"page":"159-174","title":"The Measurement of Observer Agreement for Categorical Data","type":"article-journal","volume":"33"},"uris":["http://www.mendeley.com/documents/?uuid=b53fc539-8e3b-4097-ae95-0cd00ce5698c"]}],"mendeley":{"formattedCitation":"[52]","plainTextFormattedCitation":"[52]","previouslyFormattedCitation":"[52]"},"properties":{"noteIndex":0},"schema":"https://github.com/citation-style-language/schema/raw/master/csl-citation.json"}</w:instrText>
      </w:r>
      <w:r>
        <w:rPr>
          <w:rFonts w:eastAsia="Calibri"/>
          <w:szCs w:val="24"/>
        </w:rPr>
        <w:fldChar w:fldCharType="separate"/>
      </w:r>
      <w:r w:rsidRPr="00E65D3B">
        <w:rPr>
          <w:rFonts w:eastAsia="Calibri"/>
          <w:noProof/>
          <w:szCs w:val="24"/>
        </w:rPr>
        <w:t>[52]</w:t>
      </w:r>
      <w:r>
        <w:rPr>
          <w:rFonts w:eastAsia="Calibri"/>
          <w:szCs w:val="24"/>
        </w:rPr>
        <w:fldChar w:fldCharType="end"/>
      </w:r>
      <w:r w:rsidRPr="000E29B4">
        <w:rPr>
          <w:rFonts w:eastAsia="Calibri"/>
          <w:szCs w:val="24"/>
        </w:rPr>
        <w:t>.</w:t>
      </w:r>
      <w:r>
        <w:rPr>
          <w:rFonts w:eastAsia="Calibri"/>
          <w:szCs w:val="24"/>
        </w:rPr>
        <w:t xml:space="preserve">  As an example, in our Instagram self-efficacy d</w:t>
      </w:r>
      <w:r w:rsidRPr="002E15BE">
        <w:rPr>
          <w:rFonts w:eastAsia="Calibri"/>
          <w:szCs w:val="24"/>
        </w:rPr>
        <w:t>iagnostic tree</w:t>
      </w:r>
      <w:r>
        <w:rPr>
          <w:rFonts w:eastAsia="Calibri"/>
          <w:szCs w:val="24"/>
        </w:rPr>
        <w:t xml:space="preserve">, we employed two blind and independent experts to go through the items and put them into as many categories as they saw fit. </w:t>
      </w:r>
      <w:r w:rsidRPr="00231920">
        <w:rPr>
          <w:rFonts w:eastAsia="Calibri"/>
          <w:szCs w:val="24"/>
        </w:rPr>
        <w:t xml:space="preserve">Each </w:t>
      </w:r>
      <w:r>
        <w:rPr>
          <w:rFonts w:eastAsia="Calibri"/>
          <w:szCs w:val="24"/>
        </w:rPr>
        <w:t>expert</w:t>
      </w:r>
      <w:r w:rsidRPr="00231920">
        <w:rPr>
          <w:rFonts w:eastAsia="Calibri"/>
          <w:szCs w:val="24"/>
        </w:rPr>
        <w:t xml:space="preserve"> grouped the items in 5 categories</w:t>
      </w:r>
      <w:r>
        <w:rPr>
          <w:rFonts w:eastAsia="Calibri"/>
          <w:szCs w:val="24"/>
        </w:rPr>
        <w:t xml:space="preserve"> independently</w:t>
      </w:r>
      <w:r w:rsidRPr="00231920">
        <w:rPr>
          <w:szCs w:val="24"/>
        </w:rPr>
        <w:t xml:space="preserve">, where </w:t>
      </w:r>
      <w:r w:rsidRPr="00231920">
        <w:rPr>
          <w:rFonts w:eastAsia="Calibri"/>
          <w:szCs w:val="24"/>
        </w:rPr>
        <w:t>the researcher then labelled each category based on the items inside</w:t>
      </w:r>
      <w:r w:rsidRPr="00C83BC9">
        <w:rPr>
          <w:rFonts w:eastAsia="Calibri"/>
          <w:szCs w:val="24"/>
        </w:rPr>
        <w:t>. The 5 identified categories were, (1) l</w:t>
      </w:r>
      <w:r w:rsidRPr="00C83BC9">
        <w:rPr>
          <w:szCs w:val="24"/>
          <w:lang w:val="en-GB"/>
        </w:rPr>
        <w:t xml:space="preserve">inking Instagram to other social media accounts, (2) social information management, (3) </w:t>
      </w:r>
      <w:r>
        <w:rPr>
          <w:szCs w:val="24"/>
          <w:lang w:val="en-GB"/>
        </w:rPr>
        <w:t>content</w:t>
      </w:r>
      <w:r w:rsidRPr="00C83BC9">
        <w:rPr>
          <w:szCs w:val="24"/>
          <w:lang w:val="en-GB"/>
        </w:rPr>
        <w:t xml:space="preserve"> creation, (4) interactions, and (5) account management</w:t>
      </w:r>
      <w:r w:rsidRPr="00C83BC9">
        <w:rPr>
          <w:rFonts w:eastAsia="Calibri"/>
          <w:szCs w:val="24"/>
        </w:rPr>
        <w:t>.</w:t>
      </w:r>
      <w:r w:rsidRPr="00DE4957">
        <w:rPr>
          <w:rFonts w:eastAsia="Calibri"/>
          <w:szCs w:val="24"/>
        </w:rPr>
        <w:t xml:space="preserve"> We then assessed inter-rater reliability. </w:t>
      </w:r>
      <w:r w:rsidRPr="00DE4957">
        <w:rPr>
          <w:rFonts w:eastAsia="Calibri" w:cs="Arial"/>
          <w:szCs w:val="24"/>
        </w:rPr>
        <w:t>Kappa</w:t>
      </w:r>
      <w:r w:rsidRPr="00E062A2">
        <w:rPr>
          <w:rFonts w:eastAsia="Calibri" w:cs="Arial"/>
          <w:szCs w:val="24"/>
        </w:rPr>
        <w:t xml:space="preserve"> was 0.</w:t>
      </w:r>
      <w:r>
        <w:rPr>
          <w:rFonts w:eastAsia="Calibri" w:cs="Arial"/>
          <w:szCs w:val="24"/>
        </w:rPr>
        <w:t>601</w:t>
      </w:r>
      <w:r w:rsidRPr="00E062A2">
        <w:rPr>
          <w:rFonts w:eastAsia="Calibri" w:cs="Arial"/>
          <w:szCs w:val="24"/>
        </w:rPr>
        <w:t xml:space="preserve">, above the recommended </w:t>
      </w:r>
      <w:r w:rsidRPr="00C23A40">
        <w:rPr>
          <w:rFonts w:eastAsia="Calibri" w:cs="Arial"/>
          <w:szCs w:val="24"/>
        </w:rPr>
        <w:t>threshold for exploratory studies</w:t>
      </w:r>
      <w:r>
        <w:rPr>
          <w:rFonts w:eastAsia="Calibri" w:cs="Arial"/>
          <w:szCs w:val="24"/>
        </w:rPr>
        <w:t xml:space="preserve"> </w:t>
      </w:r>
      <w:r>
        <w:rPr>
          <w:rFonts w:eastAsia="Calibri" w:cs="Arial"/>
          <w:szCs w:val="24"/>
        </w:rPr>
        <w:fldChar w:fldCharType="begin" w:fldLock="1"/>
      </w:r>
      <w:r>
        <w:rPr>
          <w:rFonts w:eastAsia="Calibri" w:cs="Arial"/>
          <w:szCs w:val="24"/>
        </w:rPr>
        <w:instrText>ADDIN CSL_CITATION {"citationItems":[{"id":"ITEM-1","itemData":{"DOI":"10.2307/2529310","ISSN":"0006341X","author":[{"dropping-particle":"","family":"Landis","given":"Richard J","non-dropping-particle":"","parse-names":false,"suffix":""},{"dropping-particle":"","family":"Koch","given":"Gary G","non-dropping-particle":"","parse-names":false,"suffix":""}],"container-title":"Biometrics","id":"ITEM-1","issue":"1","issued":{"date-parts":[["1977"]]},"page":"159-174","title":"The Measurement of Observer Agreement for Categorical Data","type":"article-journal","volume":"33"},"uris":["http://www.mendeley.com/documents/?uuid=b53fc539-8e3b-4097-ae95-0cd00ce5698c"]}],"mendeley":{"formattedCitation":"[52]","plainTextFormattedCitation":"[52]","previouslyFormattedCitation":"[52]"},"properties":{"noteIndex":0},"schema":"https://github.com/citation-style-language/schema/raw/master/csl-citation.json"}</w:instrText>
      </w:r>
      <w:r>
        <w:rPr>
          <w:rFonts w:eastAsia="Calibri" w:cs="Arial"/>
          <w:szCs w:val="24"/>
        </w:rPr>
        <w:fldChar w:fldCharType="separate"/>
      </w:r>
      <w:r w:rsidRPr="00E65D3B">
        <w:rPr>
          <w:rFonts w:eastAsia="Calibri" w:cs="Arial"/>
          <w:noProof/>
          <w:szCs w:val="24"/>
        </w:rPr>
        <w:t>[52]</w:t>
      </w:r>
      <w:r>
        <w:rPr>
          <w:rFonts w:eastAsia="Calibri" w:cs="Arial"/>
          <w:szCs w:val="24"/>
        </w:rPr>
        <w:fldChar w:fldCharType="end"/>
      </w:r>
      <w:r>
        <w:rPr>
          <w:rFonts w:eastAsia="Calibri"/>
          <w:szCs w:val="24"/>
        </w:rPr>
        <w:t>.</w:t>
      </w:r>
      <w:r w:rsidRPr="006A7B56">
        <w:rPr>
          <w:rFonts w:eastAsia="Calibri"/>
          <w:szCs w:val="24"/>
        </w:rPr>
        <w:t xml:space="preserve"> </w:t>
      </w:r>
      <w:r w:rsidRPr="00E062A2">
        <w:rPr>
          <w:rFonts w:eastAsia="Calibri"/>
          <w:szCs w:val="24"/>
        </w:rPr>
        <w:t xml:space="preserve">If the Cohen’s Kappa threshold is met, there are still other issues that need to be resolved.  </w:t>
      </w:r>
      <w:r>
        <w:rPr>
          <w:rFonts w:eastAsia="Calibri"/>
          <w:szCs w:val="24"/>
        </w:rPr>
        <w:t>For instance, s</w:t>
      </w:r>
      <w:r w:rsidRPr="00B27387">
        <w:rPr>
          <w:rFonts w:eastAsia="Calibri"/>
          <w:szCs w:val="24"/>
        </w:rPr>
        <w:t>ome items may not map to the top-level constructs.</w:t>
      </w:r>
      <w:r w:rsidRPr="00B27387">
        <w:t xml:space="preserve"> </w:t>
      </w:r>
      <w:r w:rsidRPr="00B27387">
        <w:rPr>
          <w:rFonts w:eastAsia="Calibri"/>
          <w:szCs w:val="24"/>
        </w:rPr>
        <w:t xml:space="preserve">When this occurs, a decision has to be made as to whether additional top-level constructs should be established.  </w:t>
      </w:r>
      <w:r w:rsidRPr="00B27387">
        <w:rPr>
          <w:rFonts w:eastAsia="Calibri" w:cs="Arial"/>
          <w:szCs w:val="24"/>
        </w:rPr>
        <w:t xml:space="preserve">In this </w:t>
      </w:r>
      <w:r>
        <w:rPr>
          <w:rFonts w:eastAsia="Calibri" w:cs="Arial"/>
          <w:szCs w:val="24"/>
        </w:rPr>
        <w:t>cas</w:t>
      </w:r>
      <w:r w:rsidRPr="00B27387">
        <w:rPr>
          <w:rFonts w:eastAsia="Calibri" w:cs="Arial"/>
          <w:szCs w:val="24"/>
        </w:rPr>
        <w:t>e, a new box is labelled and added to the other boxes. The q-sorting is then repeated</w:t>
      </w:r>
      <w:r>
        <w:rPr>
          <w:rFonts w:eastAsia="Calibri" w:cs="Arial"/>
          <w:szCs w:val="24"/>
        </w:rPr>
        <w:t>,</w:t>
      </w:r>
      <w:r w:rsidRPr="00B27387">
        <w:rPr>
          <w:rFonts w:eastAsia="Calibri" w:cs="Arial"/>
          <w:szCs w:val="24"/>
        </w:rPr>
        <w:t xml:space="preserve"> and inter-rater reliability is assessed. </w:t>
      </w:r>
    </w:p>
    <w:p w14:paraId="46397BAD" w14:textId="77777777" w:rsidR="00880E8B" w:rsidRDefault="00880E8B" w:rsidP="00880E8B">
      <w:pPr>
        <w:spacing w:before="120"/>
        <w:ind w:firstLine="202"/>
        <w:jc w:val="both"/>
        <w:rPr>
          <w:rFonts w:eastAsia="Calibri"/>
          <w:szCs w:val="24"/>
        </w:rPr>
      </w:pPr>
      <w:r>
        <w:rPr>
          <w:rFonts w:eastAsia="Calibri"/>
          <w:szCs w:val="24"/>
        </w:rPr>
        <w:t xml:space="preserve">Another way is to review the literature to establish the framework and scope of the top-level constructs of </w:t>
      </w:r>
      <w:r>
        <w:rPr>
          <w:szCs w:val="24"/>
        </w:rPr>
        <w:t xml:space="preserve">the diagnostic </w:t>
      </w:r>
      <w:r w:rsidRPr="00E062A2">
        <w:rPr>
          <w:szCs w:val="24"/>
        </w:rPr>
        <w:t>tree</w:t>
      </w:r>
      <w:r>
        <w:rPr>
          <w:rFonts w:eastAsia="Calibri"/>
          <w:szCs w:val="24"/>
        </w:rPr>
        <w:t>. For instance, in the context of c</w:t>
      </w:r>
      <w:r w:rsidRPr="00304FFC">
        <w:rPr>
          <w:rFonts w:eastAsia="Calibri"/>
          <w:szCs w:val="24"/>
        </w:rPr>
        <w:t>omputer self-efficacy (CSE)</w:t>
      </w:r>
      <w:r>
        <w:rPr>
          <w:rFonts w:eastAsia="Calibri"/>
          <w:szCs w:val="24"/>
        </w:rPr>
        <w:t xml:space="preserve"> which</w:t>
      </w:r>
      <w:r w:rsidRPr="00304FFC">
        <w:rPr>
          <w:rFonts w:eastAsia="Calibri"/>
          <w:szCs w:val="24"/>
        </w:rPr>
        <w:t xml:space="preserve"> is a person’s judgment of his or her ability to use a computer system</w:t>
      </w:r>
      <w:r>
        <w:rPr>
          <w:rFonts w:eastAsia="Calibri"/>
          <w:szCs w:val="24"/>
        </w:rPr>
        <w:t xml:space="preserve">, the top-level constructs can be developed using the theoretical framework of a study such as Scott and </w:t>
      </w:r>
      <w:proofErr w:type="spellStart"/>
      <w:r>
        <w:rPr>
          <w:rFonts w:eastAsia="Calibri"/>
          <w:szCs w:val="24"/>
        </w:rPr>
        <w:t>Walzak</w:t>
      </w:r>
      <w:proofErr w:type="spellEnd"/>
      <w:r>
        <w:rPr>
          <w:rFonts w:eastAsia="Calibri"/>
          <w:szCs w:val="24"/>
        </w:rPr>
        <w:t xml:space="preserve">  </w:t>
      </w:r>
      <w:r>
        <w:rPr>
          <w:rFonts w:eastAsia="Calibri"/>
          <w:szCs w:val="24"/>
        </w:rPr>
        <w:fldChar w:fldCharType="begin" w:fldLock="1"/>
      </w:r>
      <w:r>
        <w:rPr>
          <w:rFonts w:eastAsia="Calibri"/>
          <w:szCs w:val="24"/>
        </w:rPr>
        <w:instrText>ADDIN CSL_CITATION {"citationItems":[{"id":"ITEM-1","itemData":{"DOI":"10.1016/j.im.2008.10.003","ISBN":"0378-7206","ISSN":"03787206","abstract":"Computer self-efficacy (CSE) is a person's judgment of his or her ability to use a computer system. We investigated cognitive engagement, prior experience, computer anxiety, and organizational support as determinants of CSE in the use of a multimedia ERP system's training tool. We also examined the impact of CSE on its acceptance. We determined the benefits of a sequential multi-method approach using structural equation modeling and neural network analysis. High reliability predictions of individual CSE were achieved with a sequential multi-method approach. Specifically, we obtained almost 68% perfect CSE group prediction overall, with almost 85% perfect CSE group prediction using fuzzy sets and over 94% accuracy within one group classification. The resulting CSE assessment and classification enables management interventions, such as allocating users to appropriate instruction for more effective training. © 2009 Elsevier B.V. All rights reserved.","author":[{"dropping-particle":"","family":"Scott","given":"Judy E.","non-dropping-particle":"","parse-names":false,"suffix":""},{"dropping-particle":"","family":"Walczak","given":"Steven","non-dropping-particle":"","parse-names":false,"suffix":""}],"container-title":"Information and Management","id":"ITEM-1","issue":"4","issued":{"date-parts":[["2009"]]},"page":"221-232","publisher":"Elsevier B.V.","title":"Cognitive engagement with a multimedia ERP training tool: Assessing computer self-efficacy and technology acceptance","type":"article-journal","volume":"46"},"uris":["http://www.mendeley.com/documents/?uuid=0596152a-9bbf-4307-82c1-ffa2137a74c9"]}],"mendeley":{"formattedCitation":"[53]","plainTextFormattedCitation":"[53]","previouslyFormattedCitation":"[53]"},"properties":{"noteIndex":0},"schema":"https://github.com/citation-style-language/schema/raw/master/csl-citation.json"}</w:instrText>
      </w:r>
      <w:r>
        <w:rPr>
          <w:rFonts w:eastAsia="Calibri"/>
          <w:szCs w:val="24"/>
        </w:rPr>
        <w:fldChar w:fldCharType="separate"/>
      </w:r>
      <w:r w:rsidRPr="00E65D3B">
        <w:rPr>
          <w:rFonts w:eastAsia="Calibri"/>
          <w:noProof/>
          <w:szCs w:val="24"/>
        </w:rPr>
        <w:t>[53]</w:t>
      </w:r>
      <w:r>
        <w:rPr>
          <w:rFonts w:eastAsia="Calibri"/>
          <w:szCs w:val="24"/>
        </w:rPr>
        <w:fldChar w:fldCharType="end"/>
      </w:r>
      <w:r>
        <w:rPr>
          <w:rFonts w:eastAsia="Calibri"/>
          <w:szCs w:val="24"/>
        </w:rPr>
        <w:t xml:space="preserve"> who unpack CSE to </w:t>
      </w:r>
      <w:r w:rsidRPr="00304FFC">
        <w:rPr>
          <w:rFonts w:eastAsia="Calibri"/>
          <w:szCs w:val="24"/>
        </w:rPr>
        <w:t>cognitive engagement, prior experience, computer anxiety, and organizational support</w:t>
      </w:r>
      <w:r>
        <w:rPr>
          <w:rFonts w:eastAsia="Calibri"/>
          <w:szCs w:val="24"/>
        </w:rPr>
        <w:t>.</w:t>
      </w:r>
    </w:p>
    <w:p w14:paraId="264A6BF3" w14:textId="77777777" w:rsidR="00880E8B" w:rsidRDefault="00880E8B" w:rsidP="00880E8B">
      <w:pPr>
        <w:spacing w:before="120"/>
        <w:contextualSpacing/>
        <w:jc w:val="both"/>
        <w:rPr>
          <w:rFonts w:eastAsia="Calibri" w:cs="Arial"/>
          <w:szCs w:val="24"/>
        </w:rPr>
      </w:pPr>
      <w:bookmarkStart w:id="31" w:name="_Toc512951858"/>
      <w:bookmarkStart w:id="32" w:name="_Toc524428278"/>
      <w:bookmarkStart w:id="33" w:name="_Hlk509559935"/>
      <w:bookmarkEnd w:id="29"/>
      <w:bookmarkEnd w:id="30"/>
      <w:r w:rsidRPr="007E3671">
        <w:rPr>
          <w:rStyle w:val="Heading2Char"/>
        </w:rPr>
        <w:t>Step 3: Incorporate duplicate and distractor items in the bank</w:t>
      </w:r>
      <w:r w:rsidRPr="00B27387">
        <w:rPr>
          <w:rFonts w:eastAsiaTheme="majorEastAsia" w:cstheme="majorBidi"/>
          <w:b/>
          <w:i/>
          <w:color w:val="171717" w:themeColor="background2" w:themeShade="1A"/>
          <w:szCs w:val="24"/>
        </w:rPr>
        <w:t>.</w:t>
      </w:r>
      <w:bookmarkEnd w:id="31"/>
      <w:bookmarkEnd w:id="32"/>
      <w:r w:rsidRPr="00B27387">
        <w:rPr>
          <w:rFonts w:eastAsia="Calibri"/>
          <w:szCs w:val="24"/>
        </w:rPr>
        <w:t xml:space="preserve"> This step is principally employed to partial out error of the </w:t>
      </w:r>
      <w:r>
        <w:rPr>
          <w:szCs w:val="24"/>
        </w:rPr>
        <w:t xml:space="preserve">diagnostic </w:t>
      </w:r>
      <w:r w:rsidRPr="00E062A2">
        <w:rPr>
          <w:szCs w:val="24"/>
        </w:rPr>
        <w:t>tree</w:t>
      </w:r>
      <w:r w:rsidRPr="00B27387">
        <w:rPr>
          <w:rFonts w:eastAsia="Calibri"/>
          <w:szCs w:val="24"/>
        </w:rPr>
        <w:t xml:space="preserve"> instrument from error associated with the </w:t>
      </w:r>
      <w:r>
        <w:rPr>
          <w:rFonts w:eastAsia="Calibri"/>
          <w:szCs w:val="24"/>
        </w:rPr>
        <w:t>expert</w:t>
      </w:r>
      <w:r w:rsidRPr="00B27387">
        <w:rPr>
          <w:rFonts w:eastAsia="Calibri"/>
          <w:szCs w:val="24"/>
        </w:rPr>
        <w:t xml:space="preserve">. The typical </w:t>
      </w:r>
      <w:r>
        <w:rPr>
          <w:szCs w:val="24"/>
        </w:rPr>
        <w:t xml:space="preserve">diagnostic </w:t>
      </w:r>
      <w:r w:rsidRPr="00E062A2">
        <w:rPr>
          <w:szCs w:val="24"/>
        </w:rPr>
        <w:t>tree</w:t>
      </w:r>
      <w:r w:rsidRPr="00B27387">
        <w:rPr>
          <w:rFonts w:eastAsia="Calibri"/>
          <w:szCs w:val="24"/>
        </w:rPr>
        <w:t xml:space="preserve"> test bank can contain hundreds of items. </w:t>
      </w:r>
      <w:bookmarkStart w:id="34" w:name="_Hlk49850407"/>
      <w:bookmarkStart w:id="35" w:name="_Hlk49847456"/>
      <w:bookmarkEnd w:id="33"/>
      <w:r w:rsidRPr="00DE4957">
        <w:rPr>
          <w:rFonts w:eastAsia="Calibri"/>
          <w:szCs w:val="24"/>
        </w:rPr>
        <w:t xml:space="preserve">The duplicate and distractor items are used to assess rater attentiveness during the q-sorting methodology. Duplicate and distractor items are traditional mechanisms for assessing rater attentiveness </w:t>
      </w:r>
      <w:r w:rsidRPr="00DE4957">
        <w:rPr>
          <w:rFonts w:eastAsia="Calibri"/>
          <w:szCs w:val="24"/>
        </w:rPr>
        <w:fldChar w:fldCharType="begin" w:fldLock="1"/>
      </w:r>
      <w:r>
        <w:rPr>
          <w:rFonts w:eastAsia="Calibri"/>
          <w:szCs w:val="24"/>
        </w:rPr>
        <w:instrText>ADDIN CSL_CITATION {"citationItems":[{"id":"ITEM-1","itemData":{"DOI":"10.16309/j.cnki.issn.1007-1776.2003.03.004","ISBN":"9780521840972","abstract":"This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cohesion.","author":[{"dropping-particle":"","family":"Ericsson","given":"K. Anders","non-dropping-particle":"","parse-names":false,"suffix":""},{"dropping-particle":"","family":"Charness","given":"Neil","non-dropping-particle":"","parse-names":false,"suffix":""},{"dropping-particle":"","family":"Feltovich","given":"Paul J.","non-dropping-particle":"","parse-names":false,"suffix":""},{"dropping-particle":"","family":"Hoffman","given":"Robert R.","non-dropping-particle":"","parse-names":false,"suffix":""}],"id":"ITEM-1","issue":"1","issued":{"date-parts":[["2003"]]},"number-of-pages":"6-8","title":"The Cambridge Handbook of Expertise and Expert Performance","type":"book"},"uris":["http://www.mendeley.com/documents/?uuid=6ba35ec0-64f0-457b-8959-c8a4eb0cda98"]}],"mendeley":{"formattedCitation":"[54]","plainTextFormattedCitation":"[54]","previouslyFormattedCitation":"[54]"},"properties":{"noteIndex":0},"schema":"https://github.com/citation-style-language/schema/raw/master/csl-citation.json"}</w:instrText>
      </w:r>
      <w:r w:rsidRPr="00DE4957">
        <w:rPr>
          <w:rFonts w:eastAsia="Calibri"/>
          <w:szCs w:val="24"/>
        </w:rPr>
        <w:fldChar w:fldCharType="separate"/>
      </w:r>
      <w:r w:rsidRPr="00E65D3B">
        <w:rPr>
          <w:rFonts w:eastAsia="Calibri"/>
          <w:noProof/>
          <w:szCs w:val="24"/>
        </w:rPr>
        <w:t>[54]</w:t>
      </w:r>
      <w:r w:rsidRPr="00DE4957">
        <w:rPr>
          <w:rFonts w:eastAsia="Calibri"/>
          <w:szCs w:val="24"/>
        </w:rPr>
        <w:fldChar w:fldCharType="end"/>
      </w:r>
      <w:r w:rsidRPr="00DE4957">
        <w:rPr>
          <w:rFonts w:eastAsia="Calibri"/>
          <w:szCs w:val="24"/>
        </w:rPr>
        <w:t xml:space="preserve">. It is important to ensure that distractor items are clearly independent of items being assessed by the expert. When experts miss the fact that items are duplicated, or categorize distractor items along with legitimate ones, it signals a lack of rater attention. </w:t>
      </w:r>
      <w:r w:rsidRPr="00DE4957">
        <w:rPr>
          <w:rFonts w:eastAsia="Calibri" w:cs="Arial"/>
          <w:szCs w:val="24"/>
        </w:rPr>
        <w:t>For</w:t>
      </w:r>
      <w:r w:rsidRPr="00FF0641">
        <w:rPr>
          <w:rFonts w:eastAsia="Calibri" w:cs="Arial"/>
          <w:szCs w:val="24"/>
        </w:rPr>
        <w:t xml:space="preserve"> example, on a </w:t>
      </w:r>
      <w:r>
        <w:rPr>
          <w:szCs w:val="24"/>
        </w:rPr>
        <w:t xml:space="preserve">diagnostic </w:t>
      </w:r>
      <w:r w:rsidRPr="00E062A2">
        <w:rPr>
          <w:szCs w:val="24"/>
        </w:rPr>
        <w:t>tree</w:t>
      </w:r>
      <w:r w:rsidRPr="00FF0641">
        <w:rPr>
          <w:rFonts w:eastAsia="Calibri" w:cs="Arial"/>
          <w:szCs w:val="24"/>
        </w:rPr>
        <w:t xml:space="preserve"> about Instagram, one distractor item could be “The education level is sufficient” as this is clearly independent of the Instagram context.  </w:t>
      </w:r>
      <w:bookmarkEnd w:id="34"/>
    </w:p>
    <w:bookmarkEnd w:id="35"/>
    <w:p w14:paraId="101C036D" w14:textId="77777777" w:rsidR="00880E8B" w:rsidRPr="00831CA0" w:rsidRDefault="00880E8B" w:rsidP="00880E8B">
      <w:pPr>
        <w:spacing w:before="120"/>
        <w:contextualSpacing/>
        <w:jc w:val="both"/>
      </w:pPr>
      <w:r w:rsidRPr="00FF0641">
        <w:rPr>
          <w:rFonts w:eastAsia="Calibri" w:cs="Arial"/>
          <w:szCs w:val="24"/>
        </w:rPr>
        <w:t xml:space="preserve"> </w:t>
      </w:r>
      <w:r>
        <w:rPr>
          <w:rFonts w:eastAsia="Calibri" w:cs="Arial"/>
          <w:szCs w:val="24"/>
        </w:rPr>
        <w:tab/>
      </w:r>
      <w:r w:rsidRPr="00FF0641">
        <w:rPr>
          <w:rFonts w:eastAsia="Calibri" w:cs="Arial"/>
          <w:szCs w:val="24"/>
        </w:rPr>
        <w:t>It could be argued that</w:t>
      </w:r>
      <w:r>
        <w:rPr>
          <w:rFonts w:eastAsia="Calibri" w:cs="Arial"/>
          <w:szCs w:val="24"/>
        </w:rPr>
        <w:t xml:space="preserve"> distractor</w:t>
      </w:r>
      <w:r w:rsidRPr="00FF0641">
        <w:rPr>
          <w:rFonts w:eastAsia="Calibri" w:cs="Arial"/>
          <w:szCs w:val="24"/>
        </w:rPr>
        <w:t xml:space="preserve"> </w:t>
      </w:r>
      <w:r>
        <w:rPr>
          <w:rFonts w:eastAsia="Calibri" w:cs="Arial"/>
          <w:szCs w:val="24"/>
        </w:rPr>
        <w:t xml:space="preserve">items </w:t>
      </w:r>
      <w:r w:rsidRPr="00FF0641">
        <w:rPr>
          <w:rFonts w:eastAsia="Calibri" w:cs="Arial"/>
          <w:szCs w:val="24"/>
        </w:rPr>
        <w:t xml:space="preserve">are unnecessary, because poor inter-rater reliability would serve as an effective proxy.  However, inter-rater reliability is also indicative of poor item phrasing.  It is necessary to be able to partial out the effect of </w:t>
      </w:r>
      <w:r>
        <w:rPr>
          <w:rFonts w:eastAsia="Calibri" w:cs="Arial"/>
          <w:szCs w:val="24"/>
        </w:rPr>
        <w:t>expert</w:t>
      </w:r>
      <w:r w:rsidRPr="00FF0641">
        <w:rPr>
          <w:rFonts w:eastAsia="Calibri" w:cs="Arial"/>
          <w:szCs w:val="24"/>
        </w:rPr>
        <w:t>s and items separately, as fatigue is a real concern because of the number of items.</w:t>
      </w:r>
      <w:r w:rsidRPr="00FF0641">
        <w:t xml:space="preserve"> </w:t>
      </w:r>
      <w:r>
        <w:t xml:space="preserve">The number of distractors is subject </w:t>
      </w:r>
      <w:r w:rsidRPr="00831CA0">
        <w:t>to the complexity and novelty of the context and number of items a</w:t>
      </w:r>
      <w:r>
        <w:t>n</w:t>
      </w:r>
      <w:r w:rsidRPr="00831CA0">
        <w:t xml:space="preserve"> </w:t>
      </w:r>
      <w:r>
        <w:t>expert</w:t>
      </w:r>
      <w:r w:rsidRPr="00831CA0">
        <w:t xml:space="preserve"> would need to sort.</w:t>
      </w:r>
      <w:r>
        <w:t xml:space="preserve"> For instance, in</w:t>
      </w:r>
      <w:r w:rsidRPr="00FF0641">
        <w:rPr>
          <w:rFonts w:eastAsia="Calibri" w:cs="Arial"/>
          <w:szCs w:val="24"/>
        </w:rPr>
        <w:t xml:space="preserve"> our </w:t>
      </w:r>
      <w:r>
        <w:rPr>
          <w:rFonts w:eastAsia="Calibri" w:cs="Arial"/>
          <w:szCs w:val="24"/>
        </w:rPr>
        <w:t xml:space="preserve">Instagram self-efficacy </w:t>
      </w:r>
      <w:r>
        <w:rPr>
          <w:szCs w:val="24"/>
        </w:rPr>
        <w:t xml:space="preserve">diagnostic </w:t>
      </w:r>
      <w:r w:rsidRPr="00E062A2">
        <w:rPr>
          <w:szCs w:val="24"/>
        </w:rPr>
        <w:t>tree</w:t>
      </w:r>
      <w:r w:rsidRPr="00FF0641">
        <w:rPr>
          <w:rFonts w:eastAsia="Calibri" w:cs="Arial"/>
          <w:szCs w:val="24"/>
        </w:rPr>
        <w:t xml:space="preserve">, </w:t>
      </w:r>
      <w:r w:rsidRPr="00FF0641">
        <w:rPr>
          <w:rFonts w:eastAsia="Calibri" w:cs="Arial"/>
        </w:rPr>
        <w:t xml:space="preserve">the item bank consisted of 200 survey items, to which 10 duplicate items and distractors were added. </w:t>
      </w:r>
      <w:r w:rsidRPr="00FF0641">
        <w:rPr>
          <w:rFonts w:eastAsia="Calibri" w:cs="Arial"/>
          <w:szCs w:val="24"/>
        </w:rPr>
        <w:t xml:space="preserve">Hence a total of 210 items were given to the </w:t>
      </w:r>
      <w:r>
        <w:rPr>
          <w:rFonts w:eastAsia="Calibri" w:cs="Arial"/>
          <w:szCs w:val="24"/>
        </w:rPr>
        <w:t>expert</w:t>
      </w:r>
      <w:r w:rsidRPr="00FF0641">
        <w:rPr>
          <w:rFonts w:eastAsia="Calibri" w:cs="Arial"/>
          <w:szCs w:val="24"/>
        </w:rPr>
        <w:t>s.</w:t>
      </w:r>
      <w:r w:rsidRPr="00B27387">
        <w:rPr>
          <w:rFonts w:eastAsia="Calibri" w:cs="Arial"/>
          <w:szCs w:val="24"/>
        </w:rPr>
        <w:t xml:space="preserve">  </w:t>
      </w:r>
    </w:p>
    <w:p w14:paraId="1DBC1E47" w14:textId="6FB64847" w:rsidR="00880E8B" w:rsidRPr="00880E8B" w:rsidRDefault="00880E8B" w:rsidP="00880E8B">
      <w:pPr>
        <w:spacing w:before="120"/>
        <w:jc w:val="both"/>
        <w:rPr>
          <w:rFonts w:eastAsiaTheme="majorEastAsia"/>
          <w:b/>
          <w:i/>
        </w:rPr>
      </w:pPr>
      <w:bookmarkStart w:id="36" w:name="_Toc524428279"/>
      <w:bookmarkStart w:id="37" w:name="_Hlk64119185"/>
      <w:bookmarkStart w:id="38" w:name="_Hlk64287378"/>
      <w:r w:rsidRPr="00880E8B">
        <w:rPr>
          <w:rStyle w:val="Heading2Char"/>
        </w:rPr>
        <w:t>Step 4:</w:t>
      </w:r>
      <w:bookmarkStart w:id="39" w:name="_Toc512951859"/>
      <w:bookmarkStart w:id="40" w:name="_Toc524428280"/>
      <w:bookmarkEnd w:id="36"/>
      <w:r>
        <w:rPr>
          <w:rStyle w:val="Heading2Char"/>
        </w:rPr>
        <w:t xml:space="preserve"> </w:t>
      </w:r>
      <w:r w:rsidRPr="00880E8B">
        <w:rPr>
          <w:rStyle w:val="JnlBodyChar"/>
          <w:rFonts w:ascii="Times New Roman" w:eastAsiaTheme="majorEastAsia" w:hAnsi="Times New Roman"/>
          <w:i/>
          <w:iCs/>
        </w:rPr>
        <w:t>Select one top-level construct at a time.</w:t>
      </w:r>
      <w:r w:rsidRPr="00880E8B">
        <w:rPr>
          <w:rStyle w:val="JnlBodyChar"/>
          <w:rFonts w:ascii="Times New Roman" w:eastAsia="Calibri" w:hAnsi="Times New Roman"/>
          <w:b/>
          <w:bCs/>
          <w:i/>
          <w:iCs/>
        </w:rPr>
        <w:t xml:space="preserve"> </w:t>
      </w:r>
      <w:r w:rsidRPr="00880E8B">
        <w:rPr>
          <w:rStyle w:val="JnlBodyChar"/>
          <w:rFonts w:ascii="Times New Roman" w:eastAsia="Calibri" w:hAnsi="Times New Roman"/>
        </w:rPr>
        <w:t xml:space="preserve">As each </w:t>
      </w:r>
      <w:r w:rsidRPr="00880E8B">
        <w:rPr>
          <w:rStyle w:val="JnlBodyChar"/>
          <w:rFonts w:ascii="Times New Roman" w:eastAsiaTheme="minorHAnsi" w:hAnsi="Times New Roman"/>
        </w:rPr>
        <w:t>diagnostic</w:t>
      </w:r>
      <w:r w:rsidRPr="00880E8B">
        <w:rPr>
          <w:rStyle w:val="JnlBodyChar"/>
          <w:rFonts w:ascii="Times New Roman" w:eastAsia="Calibri" w:hAnsi="Times New Roman"/>
        </w:rPr>
        <w:t xml:space="preserve"> tree can contain hundreds of items, to map all the items at once can be exhausting and too heavy of a cognitive load for experts to perform in a single session. Instead, experts are only given the items from one top-level construct to q-sort before moving on to other top-level constructs and their items. Also, they are given a period of time (e.g., a week) to finish q-sorting that branch. This is ok, because the validity of the top-level constructs is already addressed in step 2. In this step, the branch to validate is selected. </w:t>
      </w:r>
      <w:bookmarkEnd w:id="37"/>
      <w:r w:rsidRPr="00880E8B">
        <w:rPr>
          <w:rStyle w:val="JnlBodyChar"/>
          <w:rFonts w:ascii="Times New Roman" w:eastAsia="Calibri" w:hAnsi="Times New Roman"/>
        </w:rPr>
        <w:t xml:space="preserve"> In our example, there were five top level constructs.  Experts began with the items in the top level construct, “</w:t>
      </w:r>
      <w:r w:rsidRPr="00880E8B">
        <w:rPr>
          <w:rFonts w:eastAsia="Calibri"/>
        </w:rPr>
        <w:t>l</w:t>
      </w:r>
      <w:r w:rsidRPr="00880E8B">
        <w:rPr>
          <w:lang w:val="en-GB"/>
        </w:rPr>
        <w:t>inking Instagram to other social media accounts.”  Once this was completed, they moved to the items in “social information management” and so on.</w:t>
      </w:r>
    </w:p>
    <w:bookmarkEnd w:id="38"/>
    <w:p w14:paraId="54E24DAD" w14:textId="77777777" w:rsidR="00880E8B" w:rsidRPr="00880E8B" w:rsidRDefault="00880E8B" w:rsidP="00880E8B">
      <w:pPr>
        <w:spacing w:before="120"/>
        <w:jc w:val="both"/>
        <w:rPr>
          <w:rFonts w:eastAsia="Calibri"/>
        </w:rPr>
      </w:pPr>
      <w:r w:rsidRPr="00880E8B">
        <w:rPr>
          <w:rStyle w:val="Heading2Char"/>
        </w:rPr>
        <w:t>Step 5: Sort and map items into a tree</w:t>
      </w:r>
      <w:bookmarkEnd w:id="39"/>
      <w:r w:rsidRPr="00880E8B">
        <w:rPr>
          <w:rFonts w:eastAsiaTheme="majorEastAsia"/>
          <w:b/>
          <w:i/>
          <w:color w:val="171717" w:themeColor="background2" w:themeShade="1A"/>
        </w:rPr>
        <w:t>.</w:t>
      </w:r>
      <w:bookmarkEnd w:id="40"/>
      <w:r w:rsidRPr="00880E8B">
        <w:rPr>
          <w:rFonts w:eastAsia="Calibri"/>
        </w:rPr>
        <w:t xml:space="preserve">  Two blind and independent experts who have sufficient knowledge and skills need to be recruited. In our study, we employed experts who had experience and knowledge on Instagram skill. </w:t>
      </w:r>
      <w:r w:rsidRPr="00880E8B">
        <w:t xml:space="preserve">In addition, prior to study commencement, experts are trained </w:t>
      </w:r>
      <w:r w:rsidRPr="00880E8B">
        <w:rPr>
          <w:rFonts w:eastAsia="Calibri"/>
        </w:rPr>
        <w:t xml:space="preserve">to explicitly draw the tree. </w:t>
      </w:r>
      <w:bookmarkStart w:id="41" w:name="_Hlk502398986"/>
      <w:r w:rsidRPr="00880E8B">
        <w:rPr>
          <w:rFonts w:eastAsia="Calibri"/>
        </w:rPr>
        <w:t>It is necessary prior to asking for a q-sort that experts be given examples of tree diagrams from other domains.  Without such illustrations, experts tend to perform traditional q-sorts</w:t>
      </w:r>
      <w:bookmarkEnd w:id="41"/>
      <w:r w:rsidRPr="00880E8B">
        <w:rPr>
          <w:rFonts w:eastAsia="Calibri"/>
        </w:rPr>
        <w:t>.</w:t>
      </w:r>
      <w:r w:rsidRPr="00880E8B">
        <w:t xml:space="preserve"> After training, </w:t>
      </w:r>
      <w:r w:rsidRPr="00880E8B">
        <w:rPr>
          <w:rFonts w:eastAsia="Calibri"/>
        </w:rPr>
        <w:t xml:space="preserve">experts are given a set of items and are told to map items in a tree.  Each item is assigned a number from 1 to N, where N is the total number of items. The “root” item, which is a dummy item developed for statistical purposes is given the number 0. </w:t>
      </w:r>
    </w:p>
    <w:p w14:paraId="08CAD56B" w14:textId="77777777" w:rsidR="00880E8B" w:rsidRPr="00880E8B" w:rsidRDefault="00880E8B" w:rsidP="00880E8B">
      <w:pPr>
        <w:ind w:firstLine="360"/>
        <w:jc w:val="both"/>
        <w:rPr>
          <w:rFonts w:eastAsia="Calibri"/>
        </w:rPr>
      </w:pPr>
      <w:r w:rsidRPr="00880E8B">
        <w:rPr>
          <w:rFonts w:eastAsia="Calibri"/>
        </w:rPr>
        <w:t xml:space="preserve">There are two sets of mapping rules.  The second set is more comprehensive and designed to identify certain types of errors with the items. The first set of rules is disclosed to the experts who map the tree according to those rules.  The first set of rules are: </w:t>
      </w:r>
    </w:p>
    <w:p w14:paraId="686A2F1A" w14:textId="77777777" w:rsidR="00880E8B" w:rsidRPr="00880E8B" w:rsidRDefault="00880E8B" w:rsidP="00880E8B">
      <w:pPr>
        <w:pStyle w:val="ListParagraph"/>
        <w:numPr>
          <w:ilvl w:val="0"/>
          <w:numId w:val="46"/>
        </w:numPr>
        <w:spacing w:after="0" w:line="240" w:lineRule="auto"/>
        <w:ind w:left="360"/>
        <w:rPr>
          <w:rFonts w:eastAsia="Calibri" w:cs="Times New Roman"/>
          <w:sz w:val="20"/>
          <w:szCs w:val="20"/>
        </w:rPr>
      </w:pPr>
      <w:r w:rsidRPr="00880E8B">
        <w:rPr>
          <w:rFonts w:eastAsia="Calibri" w:cs="Times New Roman"/>
          <w:sz w:val="20"/>
          <w:szCs w:val="20"/>
        </w:rPr>
        <w:t xml:space="preserve">Items that share a common theme are grouped together </w:t>
      </w:r>
    </w:p>
    <w:p w14:paraId="4C9DF25A" w14:textId="77777777" w:rsidR="00880E8B" w:rsidRPr="00880E8B" w:rsidRDefault="00880E8B" w:rsidP="00880E8B">
      <w:pPr>
        <w:pStyle w:val="ListParagraph"/>
        <w:numPr>
          <w:ilvl w:val="0"/>
          <w:numId w:val="47"/>
        </w:numPr>
        <w:spacing w:before="120" w:after="0" w:line="240" w:lineRule="auto"/>
        <w:ind w:left="360"/>
        <w:rPr>
          <w:rFonts w:eastAsia="Calibri" w:cs="Times New Roman"/>
          <w:sz w:val="20"/>
          <w:szCs w:val="20"/>
        </w:rPr>
      </w:pPr>
      <w:r w:rsidRPr="00880E8B">
        <w:rPr>
          <w:rFonts w:eastAsia="Calibri" w:cs="Times New Roman"/>
          <w:sz w:val="20"/>
          <w:szCs w:val="20"/>
        </w:rPr>
        <w:t xml:space="preserve">Each group should be labelled. </w:t>
      </w:r>
    </w:p>
    <w:p w14:paraId="626754D7" w14:textId="77777777" w:rsidR="00880E8B" w:rsidRPr="00880E8B" w:rsidRDefault="00880E8B" w:rsidP="00880E8B">
      <w:pPr>
        <w:pStyle w:val="ListParagraph"/>
        <w:numPr>
          <w:ilvl w:val="0"/>
          <w:numId w:val="47"/>
        </w:numPr>
        <w:spacing w:before="120" w:after="0" w:line="240" w:lineRule="auto"/>
        <w:ind w:left="360"/>
        <w:rPr>
          <w:rFonts w:eastAsia="Calibri" w:cs="Times New Roman"/>
          <w:sz w:val="20"/>
          <w:szCs w:val="20"/>
        </w:rPr>
      </w:pPr>
      <w:r w:rsidRPr="00880E8B">
        <w:rPr>
          <w:rFonts w:eastAsia="Calibri" w:cs="Times New Roman"/>
          <w:sz w:val="20"/>
          <w:szCs w:val="20"/>
        </w:rPr>
        <w:t xml:space="preserve">An item within each group which conceptually matches each label should be identified. For instance, if a label “security of account” is given, then items such as resetting password, two-factor authentication, and security code may be mapped to that label. If such an item does not exist then the expert should tag that group, such as circling the items or marking the group with a tick. </w:t>
      </w:r>
    </w:p>
    <w:p w14:paraId="312E9665" w14:textId="77777777" w:rsidR="00880E8B" w:rsidRPr="00880E8B" w:rsidRDefault="00880E8B" w:rsidP="00880E8B">
      <w:pPr>
        <w:pStyle w:val="ListParagraph"/>
        <w:numPr>
          <w:ilvl w:val="0"/>
          <w:numId w:val="47"/>
        </w:numPr>
        <w:spacing w:before="120" w:after="0" w:line="240" w:lineRule="auto"/>
        <w:ind w:left="360"/>
        <w:rPr>
          <w:rFonts w:eastAsia="Calibri" w:cs="Times New Roman"/>
          <w:sz w:val="20"/>
          <w:szCs w:val="20"/>
        </w:rPr>
      </w:pPr>
      <w:r w:rsidRPr="00880E8B">
        <w:rPr>
          <w:rFonts w:eastAsia="Calibri" w:cs="Times New Roman"/>
          <w:sz w:val="20"/>
          <w:szCs w:val="20"/>
        </w:rPr>
        <w:t xml:space="preserve">Within each group, sub-groups are then created, and the labelling process continues. </w:t>
      </w:r>
    </w:p>
    <w:p w14:paraId="634C75CF" w14:textId="77777777" w:rsidR="00880E8B" w:rsidRPr="00880E8B" w:rsidRDefault="00880E8B" w:rsidP="00880E8B">
      <w:pPr>
        <w:pStyle w:val="ListParagraph"/>
        <w:numPr>
          <w:ilvl w:val="0"/>
          <w:numId w:val="47"/>
        </w:numPr>
        <w:spacing w:before="120" w:after="0" w:line="240" w:lineRule="auto"/>
        <w:ind w:left="360"/>
        <w:rPr>
          <w:rFonts w:eastAsia="Calibri" w:cs="Times New Roman"/>
          <w:sz w:val="20"/>
          <w:szCs w:val="20"/>
        </w:rPr>
      </w:pPr>
      <w:r w:rsidRPr="00880E8B">
        <w:rPr>
          <w:rFonts w:eastAsia="Calibri" w:cs="Times New Roman"/>
          <w:sz w:val="20"/>
          <w:szCs w:val="20"/>
        </w:rPr>
        <w:t>Items concerning lower level concepts (children) are mapped to higher level concepts (parents). The root (dummy with value 0) has no parent.</w:t>
      </w:r>
    </w:p>
    <w:p w14:paraId="07506D3B" w14:textId="77777777" w:rsidR="00880E8B" w:rsidRPr="007D6327" w:rsidRDefault="00880E8B" w:rsidP="00880E8B">
      <w:pPr>
        <w:spacing w:before="120"/>
        <w:ind w:firstLine="202"/>
        <w:contextualSpacing/>
        <w:rPr>
          <w:rFonts w:eastAsia="Calibri"/>
          <w:szCs w:val="24"/>
        </w:rPr>
      </w:pPr>
      <w:r w:rsidRPr="007D6327">
        <w:rPr>
          <w:rFonts w:eastAsia="Calibri"/>
          <w:szCs w:val="24"/>
        </w:rPr>
        <w:t>Once the mapping is done, the second set of rules is applied</w:t>
      </w:r>
      <w:r>
        <w:rPr>
          <w:rFonts w:eastAsia="Calibri"/>
          <w:szCs w:val="24"/>
        </w:rPr>
        <w:t xml:space="preserve"> by the researchers</w:t>
      </w:r>
      <w:r w:rsidRPr="007D6327">
        <w:rPr>
          <w:rFonts w:eastAsia="Calibri"/>
          <w:szCs w:val="24"/>
        </w:rPr>
        <w:t xml:space="preserve"> to the mapping to identify further problematic questions.  The additional rules in the second set are:</w:t>
      </w:r>
    </w:p>
    <w:p w14:paraId="337B1A8B" w14:textId="77777777" w:rsidR="00880E8B" w:rsidRPr="0033623C" w:rsidRDefault="00880E8B" w:rsidP="00880E8B">
      <w:pPr>
        <w:numPr>
          <w:ilvl w:val="0"/>
          <w:numId w:val="44"/>
        </w:numPr>
        <w:spacing w:before="120"/>
        <w:ind w:left="360"/>
        <w:contextualSpacing/>
        <w:jc w:val="both"/>
        <w:rPr>
          <w:rFonts w:eastAsia="Calibri"/>
          <w:szCs w:val="24"/>
        </w:rPr>
      </w:pPr>
      <w:bookmarkStart w:id="42" w:name="_Hlk48906460"/>
      <w:r w:rsidRPr="0033623C">
        <w:rPr>
          <w:rFonts w:eastAsia="Calibri"/>
          <w:szCs w:val="24"/>
        </w:rPr>
        <w:t>An item cannot have just one child item. It must have two or more children.</w:t>
      </w:r>
    </w:p>
    <w:p w14:paraId="14B6237C" w14:textId="77777777" w:rsidR="00880E8B" w:rsidRPr="007B1A36" w:rsidRDefault="00880E8B" w:rsidP="00880E8B">
      <w:pPr>
        <w:numPr>
          <w:ilvl w:val="0"/>
          <w:numId w:val="44"/>
        </w:numPr>
        <w:spacing w:before="120"/>
        <w:ind w:left="360"/>
        <w:contextualSpacing/>
        <w:jc w:val="both"/>
        <w:rPr>
          <w:rFonts w:eastAsia="Calibri"/>
          <w:szCs w:val="24"/>
        </w:rPr>
      </w:pPr>
      <w:bookmarkStart w:id="43" w:name="_Hlk64119233"/>
      <w:r w:rsidRPr="007B1A36">
        <w:rPr>
          <w:szCs w:val="24"/>
        </w:rPr>
        <w:t>A single parent should not have more than 7 child items mapped to it. From a cognitive perspective,</w:t>
      </w:r>
      <w:r w:rsidRPr="007B1A36">
        <w:t xml:space="preserve"> </w:t>
      </w:r>
      <w:r w:rsidRPr="007B1A36">
        <w:rPr>
          <w:szCs w:val="24"/>
        </w:rPr>
        <w:t xml:space="preserve">the number of objects an average human can hold in short-term memory is 7 ± 2 </w:t>
      </w:r>
      <w:r w:rsidRPr="007B1A36">
        <w:rPr>
          <w:szCs w:val="24"/>
        </w:rPr>
        <w:fldChar w:fldCharType="begin" w:fldLock="1"/>
      </w:r>
      <w:r>
        <w:rPr>
          <w:szCs w:val="24"/>
        </w:rPr>
        <w:instrText>ADDIN CSL_CITATION {"citationItems":[{"id":"ITEM-1","itemData":{"DOI":"10.1177/001088049003100202","ISSN":"15523853","author":[{"dropping-particle":"","family":"Miller","given":"George","non-dropping-particle":"","parse-names":false,"suffix":""}],"container-title":"Psychological Review","id":"ITEM-1","issue":"2","issued":{"date-parts":[["1956"]]},"page":"81-97","title":"The magical number seven, plus or minus two: Some limits on our capacity for processing information","type":"article-journal","volume":"63"},"uris":["http://www.mendeley.com/documents/?uuid=94387212-9cb3-47e0-a524-e42279d1e949"]}],"mendeley":{"formattedCitation":"[55]","plainTextFormattedCitation":"[55]","previouslyFormattedCitation":"[55]"},"properties":{"noteIndex":0},"schema":"https://github.com/citation-style-language/schema/raw/master/csl-citation.json"}</w:instrText>
      </w:r>
      <w:r w:rsidRPr="007B1A36">
        <w:rPr>
          <w:szCs w:val="24"/>
        </w:rPr>
        <w:fldChar w:fldCharType="separate"/>
      </w:r>
      <w:r w:rsidRPr="00E65D3B">
        <w:rPr>
          <w:noProof/>
          <w:szCs w:val="24"/>
        </w:rPr>
        <w:t>[55]</w:t>
      </w:r>
      <w:r w:rsidRPr="007B1A36">
        <w:rPr>
          <w:szCs w:val="24"/>
        </w:rPr>
        <w:fldChar w:fldCharType="end"/>
      </w:r>
      <w:r w:rsidRPr="007B1A36">
        <w:rPr>
          <w:szCs w:val="24"/>
        </w:rPr>
        <w:t xml:space="preserve">. Based on this, other studies have suggested options and response categories should be constrained to this number </w:t>
      </w:r>
      <w:r w:rsidRPr="007B1A36">
        <w:rPr>
          <w:szCs w:val="24"/>
        </w:rPr>
        <w:fldChar w:fldCharType="begin" w:fldLock="1"/>
      </w:r>
      <w:r>
        <w:rPr>
          <w:szCs w:val="24"/>
        </w:rPr>
        <w:instrText>ADDIN CSL_CITATION {"citationItems":[{"id":"ITEM-1","itemData":{"DOI":"10.1016/j.ijresmar.2010.02.004","ISSN":"01678116","abstract":"Questionnaires using Likert-type rating scales are an important source of data in marketing research. Researchers use different rating scale formats with varying numbers of response categories and varying label formats (e.g., 7-point rating scales labeled at the endpoints, fully labeled 5-point scales, etc.) but have few guidelines when selecting a specific format. Drawing from the literature on response styles, we formulate hypotheses on the effect of the labeling of response categories and the number of response categories on the net acquiescence response style, extreme response style and misresponse to reversed items. We test the hypotheses in an online survey (N=1207) with eight experimental conditions and a follow-up study with two experimental conditions (N=226). We find evidence of strong effects of scale format on response distributions and misresponse to reversed items, and we formulate recommendations on the choice of a scale format. © 2010 Elsevier B.V.","author":[{"dropping-particle":"","family":"Weijters","given":"Bert","non-dropping-particle":"","parse-names":false,"suffix":""},{"dropping-particle":"","family":"Cabooter","given":"Elke","non-dropping-particle":"","parse-names":false,"suffix":""},{"dropping-particle":"","family":"Schillewaert","given":"Niels","non-dropping-particle":"","parse-names":false,"suffix":""}],"container-title":"International Journal of Research in Marketing","id":"ITEM-1","issue":"3","issued":{"date-parts":[["2010"]]},"page":"236-247","publisher":"Elsevier B.V.","title":"The effect of rating scale format on response styles: The number of response categories and response category labels","type":"article-journal","volume":"27"},"uris":["http://www.mendeley.com/documents/?uuid=1d574cac-a642-4699-92b3-4d878e20308b"]},{"id":"ITEM-2","itemData":{"DOI":"10.1037/pas0000648","ISSN":"1939134X","PMID":"30869956","abstract":"Psychological tests typically include a response scale whose purpose it is to organize and constrain the options available to respondents and facilitate scoring. One such response scale is the Likert scale, which initially was introduced to have a specific 5-point form. In practice, such scales have varied considerably in the nature and number of response options. However, relatively little consensus exists regarding several questions that have emerged regarding the use of Likert-type items. First, is there a \"psychometrically optimal\" number of response options? Second, is it better to include an even or odd number of response options? Finally, do visual analog items offer any advantages over Likert-type items? We studied these questions in a sample of 1,358 undergraduates who were randomly assigned to groups to complete a common personality measure using response scales ranging from 2 to 11 options, and a visual analog condition. Results revealed attenuated psychometric precision for response scales with 2 to 5 response options; interestingly, however, the criterion validity results did not follow this pattern. Also, no psychometric advantages were revealed for any response scales beyond 6 options, including visual analogs. These results have important implications for psychological scale development.","author":[{"dropping-particle":"","family":"Simms","given":"Leonard J.","non-dropping-particle":"","parse-names":false,"suffix":""},{"dropping-particle":"","family":"Zelazny","given":"Kerry","non-dropping-particle":"","parse-names":false,"suffix":""},{"dropping-particle":"","family":"Williams","given":"Trevor F.","non-dropping-particle":"","parse-names":false,"suffix":""},{"dropping-particle":"","family":"Bernstein","given":"Lee","non-dropping-particle":"","parse-names":false,"suffix":""}],"container-title":"Psychological Assessment","id":"ITEM-2","issue":"4","issued":{"date-parts":[["2019"]]},"page":"557-566","title":"Does the number of response options matter? Psychometric perspectives using personality questionnaire data","type":"article-journal","volume":"31"},"uris":["http://www.mendeley.com/documents/?uuid=4c002fdd-2684-4767-b701-b8834ef68b30"]}],"mendeley":{"formattedCitation":"[56], [57]","plainTextFormattedCitation":"[56], [57]","previouslyFormattedCitation":"[56], [57]"},"properties":{"noteIndex":0},"schema":"https://github.com/citation-style-language/schema/raw/master/csl-citation.json"}</w:instrText>
      </w:r>
      <w:r w:rsidRPr="007B1A36">
        <w:rPr>
          <w:szCs w:val="24"/>
        </w:rPr>
        <w:fldChar w:fldCharType="separate"/>
      </w:r>
      <w:r w:rsidRPr="00E65D3B">
        <w:rPr>
          <w:noProof/>
          <w:szCs w:val="24"/>
        </w:rPr>
        <w:t>[56], [57]</w:t>
      </w:r>
      <w:r w:rsidRPr="007B1A36">
        <w:rPr>
          <w:szCs w:val="24"/>
        </w:rPr>
        <w:fldChar w:fldCharType="end"/>
      </w:r>
      <w:r w:rsidRPr="007B1A36">
        <w:rPr>
          <w:szCs w:val="24"/>
        </w:rPr>
        <w:t xml:space="preserve">. Therefore, we constrain branching to 7 branches, because when too many options are offered simultaneously, the burden placed on memory is increased </w:t>
      </w:r>
      <w:r w:rsidRPr="007B1A36">
        <w:rPr>
          <w:szCs w:val="24"/>
        </w:rPr>
        <w:fldChar w:fldCharType="begin" w:fldLock="1"/>
      </w:r>
      <w:r>
        <w:rPr>
          <w:szCs w:val="24"/>
        </w:rPr>
        <w:instrText>ADDIN CSL_CITATION {"citationItems":[{"id":"ITEM-1","itemData":{"DOI":"10.1016/S0001-6918(99)00050-5","ISBN":"0001-6918 (Print)\\n0001-6918 (Linking)","ISSN":"00016918","PMID":"10769936","abstract":"Using a self-administered questionnaire, 149 respondents rated service elements associated with a recently visited store or restaurant on scales that differed only in the number of response categories (ranging from 2 to 11) and on a 101-point scale presented in a different format. On several indices of reliability, validity, and discriminating power, the two-point, three-point, and four-point scales performed relatively poorly, and indices were significantly higher for scales with more response categories, up to about 7. Internal consistency did not differ significantly between scales, but test–retest reliability tended to decrease for scales with more than 10 response categories. Respondent preferences were highest for the 10-point scale, closely followed by the seven-point and nine-point scales. Implications for research and practice are discussed.","author":[{"dropping-particle":"","family":"Preston","given":"Carolyn C","non-dropping-particle":"","parse-names":false,"suffix":""},{"dropping-particle":"","family":"Colman","given":"Andrew M","non-dropping-particle":"","parse-names":false,"suffix":""}],"container-title":"Acta Psychologica","id":"ITEM-1","issue":"1","issued":{"date-parts":[["2000"]]},"page":"1-15","title":"Optimal number of response categories in rating scales: reliability, validity, discriminating power, and respondent preferences","type":"article-journal","volume":"104"},"uris":["http://www.mendeley.com/documents/?uuid=8bb90548-ebbc-4844-a808-1b8cdcce5d05"]},{"id":"ITEM-2","itemData":{"DOI":"10.1023/B:QUQU.0000013236.29205.a6","ISBN":"0033-5177","ISSN":"00335177","PMID":"787010040","abstract":"Social researchers increasingly survey children and young adolescents. They are con- vinced that information about perspectives, attitudes, and behaviors of children should be collected from the children themselves. Methodological expertise on surveying children is still scarce, and researchers rely on ad-hoc knowledge fromfields such as child psychiatry and educational testing, or on methodological knowledge on surveying adults. Regarding adults, empirical evidence shows that respondent characteristics (cognitive abilities) as well as question characteristics (question difficulty) affect response quality. This study reports on a methodological survey experiment on the effect of negatively formu- lated questions, the number of response options and offering a neutral midpoint as response option question characteristics on the reliability of the responses, using children and young adolescents as respondents. The study shows no effects of negatively formulated questions on the reliability measures, although children respond consistently differently on negatively formulated questions than on pos- itively formulated questions. Taking all results on the effects of number of response options and offering a neutral midpoints on the different reliability measures into consideration; it would appear that offering about four response options is optimal with children as respondents.","author":[{"dropping-particle":"","family":"Borgers","given":"Natacha","non-dropping-particle":"","parse-names":false,"suffix":""},{"dropping-particle":"","family":"Hox","given":"Joop","non-dropping-particle":"","parse-names":false,"suffix":""},{"dropping-particle":"","family":"Sikkel","given":"Dirk","non-dropping-particle":"","parse-names":false,"suffix":""}],"container-title":"Quality and Quantity","id":"ITEM-2","issue":"1","issued":{"date-parts":[["2004"]]},"page":"17-33","title":"Response effects in surveys on children and adolescents: The effect of number of response options, negative wording, and neutral mid-point","type":"article-journal","volume":"38"},"uris":["http://www.mendeley.com/documents/?uuid=c2ad5d0e-3073-4f49-8576-5facfcbaef37"]}],"mendeley":{"formattedCitation":"[58], [59]","plainTextFormattedCitation":"[58], [59]","previouslyFormattedCitation":"[58], [59]"},"properties":{"noteIndex":0},"schema":"https://github.com/citation-style-language/schema/raw/master/csl-citation.json"}</w:instrText>
      </w:r>
      <w:r w:rsidRPr="007B1A36">
        <w:rPr>
          <w:szCs w:val="24"/>
        </w:rPr>
        <w:fldChar w:fldCharType="separate"/>
      </w:r>
      <w:r w:rsidRPr="00E65D3B">
        <w:rPr>
          <w:noProof/>
          <w:szCs w:val="24"/>
        </w:rPr>
        <w:t>[58], [59]</w:t>
      </w:r>
      <w:r w:rsidRPr="007B1A36">
        <w:rPr>
          <w:szCs w:val="24"/>
        </w:rPr>
        <w:fldChar w:fldCharType="end"/>
      </w:r>
      <w:r w:rsidRPr="007B1A36">
        <w:rPr>
          <w:szCs w:val="24"/>
        </w:rPr>
        <w:t xml:space="preserve">.  This in turn causes people to be unable to choose </w:t>
      </w:r>
      <w:r w:rsidRPr="007B1A36">
        <w:rPr>
          <w:szCs w:val="24"/>
        </w:rPr>
        <w:fldChar w:fldCharType="begin" w:fldLock="1"/>
      </w:r>
      <w:r>
        <w:rPr>
          <w:szCs w:val="24"/>
        </w:rPr>
        <w:instrText>ADDIN CSL_CITATION {"citationItems":[{"id":"ITEM-1","itemData":{"DOI":"10.1177/001088049003100202","ISSN":"15523853","author":[{"dropping-particle":"","family":"Miller","given":"George","non-dropping-particle":"","parse-names":false,"suffix":""}],"container-title":"Psychological Review","id":"ITEM-1","issue":"2","issued":{"date-parts":[["1956"]]},"page":"81-97","title":"The magical number seven, plus or minus two: Some limits on our capacity for processing information","type":"article-journal","volume":"63"},"uris":["http://www.mendeley.com/documents/?uuid=94387212-9cb3-47e0-a524-e42279d1e949"]}],"mendeley":{"formattedCitation":"[55]","plainTextFormattedCitation":"[55]","previouslyFormattedCitation":"[55]"},"properties":{"noteIndex":0},"schema":"https://github.com/citation-style-language/schema/raw/master/csl-citation.json"}</w:instrText>
      </w:r>
      <w:r w:rsidRPr="007B1A36">
        <w:rPr>
          <w:szCs w:val="24"/>
        </w:rPr>
        <w:fldChar w:fldCharType="separate"/>
      </w:r>
      <w:r w:rsidRPr="00E65D3B">
        <w:rPr>
          <w:noProof/>
          <w:szCs w:val="24"/>
        </w:rPr>
        <w:t>[55]</w:t>
      </w:r>
      <w:r w:rsidRPr="007B1A36">
        <w:rPr>
          <w:szCs w:val="24"/>
        </w:rPr>
        <w:fldChar w:fldCharType="end"/>
      </w:r>
      <w:r w:rsidRPr="007B1A36">
        <w:rPr>
          <w:szCs w:val="24"/>
        </w:rPr>
        <w:t>.</w:t>
      </w:r>
    </w:p>
    <w:bookmarkEnd w:id="43"/>
    <w:p w14:paraId="2A7C0F7C" w14:textId="77777777" w:rsidR="00880E8B" w:rsidRPr="007D6327" w:rsidRDefault="00880E8B" w:rsidP="00880E8B">
      <w:pPr>
        <w:numPr>
          <w:ilvl w:val="0"/>
          <w:numId w:val="44"/>
        </w:numPr>
        <w:spacing w:before="120"/>
        <w:ind w:left="360"/>
        <w:contextualSpacing/>
        <w:jc w:val="both"/>
        <w:rPr>
          <w:rFonts w:eastAsia="Calibri"/>
          <w:szCs w:val="24"/>
        </w:rPr>
      </w:pPr>
      <w:r w:rsidRPr="007D6327">
        <w:rPr>
          <w:rFonts w:eastAsia="Calibri"/>
          <w:szCs w:val="24"/>
        </w:rPr>
        <w:t xml:space="preserve">Except for items identified as distractors or duplicates, the tree must be fully connected.  </w:t>
      </w:r>
      <w:bookmarkEnd w:id="42"/>
    </w:p>
    <w:p w14:paraId="746ACDCD" w14:textId="77777777" w:rsidR="00880E8B" w:rsidRDefault="00880E8B" w:rsidP="00880E8B">
      <w:pPr>
        <w:spacing w:before="120"/>
        <w:ind w:firstLine="202"/>
        <w:contextualSpacing/>
        <w:rPr>
          <w:rFonts w:eastAsia="Calibri"/>
          <w:szCs w:val="24"/>
        </w:rPr>
      </w:pPr>
      <w:r>
        <w:rPr>
          <w:rFonts w:eastAsia="Calibri"/>
          <w:szCs w:val="24"/>
        </w:rPr>
        <w:t>By withholding the second set of rules from experts, we are able to identify certain classes of problematic items.  I</w:t>
      </w:r>
      <w:r w:rsidRPr="00E062A2">
        <w:rPr>
          <w:rFonts w:eastAsia="Calibri"/>
          <w:szCs w:val="24"/>
        </w:rPr>
        <w:t xml:space="preserve">f only one child item is mapped to a parent item, this indicates that the parent item is either underdeveloped or </w:t>
      </w:r>
      <w:r>
        <w:rPr>
          <w:rFonts w:eastAsia="Calibri"/>
          <w:szCs w:val="24"/>
        </w:rPr>
        <w:t xml:space="preserve">we have not identified sufficient child items representing </w:t>
      </w:r>
      <w:proofErr w:type="spellStart"/>
      <w:r>
        <w:rPr>
          <w:rFonts w:eastAsia="Calibri"/>
          <w:szCs w:val="24"/>
        </w:rPr>
        <w:t>subconcepts</w:t>
      </w:r>
      <w:proofErr w:type="spellEnd"/>
      <w:r>
        <w:rPr>
          <w:rFonts w:eastAsia="Calibri"/>
          <w:szCs w:val="24"/>
        </w:rPr>
        <w:t xml:space="preserve"> of that item</w:t>
      </w:r>
      <w:r w:rsidRPr="00E062A2">
        <w:rPr>
          <w:rFonts w:eastAsia="Calibri"/>
          <w:szCs w:val="24"/>
        </w:rPr>
        <w:t>.</w:t>
      </w:r>
      <w:r>
        <w:rPr>
          <w:rFonts w:eastAsia="Calibri"/>
          <w:szCs w:val="24"/>
        </w:rPr>
        <w:t xml:space="preserve">  Similarly, if an item has more than 7 child items, this suggests the concept is too complex, and perhaps should be refined into a smaller subset of child concepts.  Finally, if </w:t>
      </w:r>
      <w:r w:rsidRPr="00E062A2">
        <w:rPr>
          <w:rFonts w:eastAsia="Calibri"/>
          <w:szCs w:val="24"/>
        </w:rPr>
        <w:t xml:space="preserve">an item other than the distractor </w:t>
      </w:r>
      <w:r>
        <w:rPr>
          <w:rFonts w:eastAsia="Calibri"/>
          <w:szCs w:val="24"/>
        </w:rPr>
        <w:t xml:space="preserve">is </w:t>
      </w:r>
      <w:r w:rsidRPr="00E062A2">
        <w:rPr>
          <w:rFonts w:eastAsia="Calibri"/>
          <w:szCs w:val="24"/>
        </w:rPr>
        <w:t xml:space="preserve">not mapped to any item by one or more </w:t>
      </w:r>
      <w:r>
        <w:rPr>
          <w:rFonts w:eastAsia="Calibri"/>
          <w:szCs w:val="24"/>
        </w:rPr>
        <w:t>expert</w:t>
      </w:r>
      <w:r w:rsidRPr="00E062A2">
        <w:rPr>
          <w:rFonts w:eastAsia="Calibri"/>
          <w:szCs w:val="24"/>
        </w:rPr>
        <w:t>s</w:t>
      </w:r>
      <w:r>
        <w:rPr>
          <w:rFonts w:eastAsia="Calibri"/>
          <w:szCs w:val="24"/>
        </w:rPr>
        <w:t xml:space="preserve">, one of two possibilities exists: </w:t>
      </w:r>
      <w:r w:rsidRPr="00E062A2">
        <w:rPr>
          <w:rFonts w:eastAsia="Calibri"/>
          <w:szCs w:val="24"/>
        </w:rPr>
        <w:t xml:space="preserve">(a) </w:t>
      </w:r>
      <w:r>
        <w:rPr>
          <w:rFonts w:eastAsia="Calibri"/>
          <w:szCs w:val="24"/>
        </w:rPr>
        <w:t xml:space="preserve">the item is badly worded or </w:t>
      </w:r>
      <w:r w:rsidRPr="00E062A2">
        <w:rPr>
          <w:rFonts w:eastAsia="Calibri"/>
          <w:szCs w:val="24"/>
        </w:rPr>
        <w:t xml:space="preserve">vague, or (b) </w:t>
      </w:r>
      <w:r>
        <w:rPr>
          <w:rFonts w:eastAsia="Calibri"/>
          <w:szCs w:val="24"/>
        </w:rPr>
        <w:t>expert</w:t>
      </w:r>
      <w:r w:rsidRPr="00E062A2">
        <w:rPr>
          <w:rFonts w:eastAsia="Calibri"/>
          <w:szCs w:val="24"/>
        </w:rPr>
        <w:t>s have made mistake(s)</w:t>
      </w:r>
      <w:r>
        <w:rPr>
          <w:rFonts w:eastAsia="Calibri"/>
          <w:szCs w:val="24"/>
        </w:rPr>
        <w:t xml:space="preserve"> because of (for example) fatigue</w:t>
      </w:r>
      <w:r w:rsidRPr="00E062A2">
        <w:rPr>
          <w:rFonts w:eastAsia="Calibri"/>
          <w:szCs w:val="24"/>
        </w:rPr>
        <w:t xml:space="preserve">. </w:t>
      </w:r>
      <w:r>
        <w:rPr>
          <w:rFonts w:eastAsia="Calibri"/>
          <w:szCs w:val="24"/>
        </w:rPr>
        <w:t xml:space="preserve"> Feedback from this step is employed to refine the items in the diagnostic tree.</w:t>
      </w:r>
      <w:r w:rsidRPr="00BD58EF">
        <w:rPr>
          <w:rFonts w:eastAsia="Calibri" w:cs="Arial"/>
          <w:szCs w:val="24"/>
        </w:rPr>
        <w:t xml:space="preserve"> </w:t>
      </w:r>
    </w:p>
    <w:p w14:paraId="4EC3B247" w14:textId="77777777" w:rsidR="00E269B1" w:rsidRDefault="00880E8B" w:rsidP="00880E8B">
      <w:pPr>
        <w:rPr>
          <w:rFonts w:eastAsia="Calibri"/>
          <w:szCs w:val="24"/>
        </w:rPr>
      </w:pPr>
      <w:r w:rsidRPr="002632FE">
        <w:rPr>
          <w:rFonts w:eastAsia="Calibri" w:cs="Arial"/>
          <w:szCs w:val="24"/>
        </w:rPr>
        <w:t>As an example of the process of mapping items into a tree</w:t>
      </w:r>
      <w:r>
        <w:rPr>
          <w:rFonts w:eastAsia="Calibri" w:cs="Arial"/>
          <w:szCs w:val="24"/>
        </w:rPr>
        <w:t xml:space="preserve"> for the first set of rules</w:t>
      </w:r>
      <w:r w:rsidRPr="002632FE">
        <w:rPr>
          <w:rFonts w:eastAsia="Calibri" w:cs="Arial"/>
          <w:szCs w:val="24"/>
        </w:rPr>
        <w:t>, consider Fig</w:t>
      </w:r>
      <w:r>
        <w:rPr>
          <w:rFonts w:eastAsia="Calibri" w:cs="Arial"/>
          <w:szCs w:val="24"/>
        </w:rPr>
        <w:t>.</w:t>
      </w:r>
      <w:r w:rsidRPr="002632FE">
        <w:rPr>
          <w:rFonts w:eastAsia="Calibri" w:cs="Arial"/>
          <w:szCs w:val="24"/>
        </w:rPr>
        <w:t xml:space="preserve"> </w:t>
      </w:r>
      <w:r>
        <w:rPr>
          <w:rFonts w:eastAsia="Calibri" w:cs="Arial"/>
          <w:szCs w:val="24"/>
        </w:rPr>
        <w:t>6</w:t>
      </w:r>
      <w:r w:rsidRPr="002632FE">
        <w:rPr>
          <w:rFonts w:eastAsia="Calibri" w:cs="Arial"/>
          <w:szCs w:val="24"/>
        </w:rPr>
        <w:t xml:space="preserve">, which presents the result of two </w:t>
      </w:r>
      <w:r>
        <w:rPr>
          <w:rFonts w:eastAsia="Calibri" w:cs="Arial"/>
          <w:szCs w:val="24"/>
        </w:rPr>
        <w:t>expert</w:t>
      </w:r>
      <w:r w:rsidRPr="002632FE">
        <w:rPr>
          <w:rFonts w:eastAsia="Calibri" w:cs="Arial"/>
          <w:szCs w:val="24"/>
        </w:rPr>
        <w:t>s developing trees around the concept of</w:t>
      </w:r>
      <w:r>
        <w:rPr>
          <w:rFonts w:eastAsia="Calibri" w:cs="Arial"/>
          <w:szCs w:val="24"/>
        </w:rPr>
        <w:t xml:space="preserve"> the overarching top-level construct</w:t>
      </w:r>
      <w:r w:rsidRPr="002632FE">
        <w:rPr>
          <w:rFonts w:eastAsia="Calibri" w:cs="Arial"/>
          <w:szCs w:val="24"/>
        </w:rPr>
        <w:t xml:space="preserve"> “account management for Instagram</w:t>
      </w:r>
      <w:r>
        <w:rPr>
          <w:rFonts w:eastAsia="Calibri" w:cs="Arial"/>
          <w:szCs w:val="24"/>
        </w:rPr>
        <w:t>,” which is represented by item 1.</w:t>
      </w:r>
      <w:r w:rsidRPr="002632FE">
        <w:rPr>
          <w:rFonts w:eastAsia="Calibri" w:cs="Arial"/>
          <w:szCs w:val="24"/>
        </w:rPr>
        <w:t xml:space="preserve"> </w:t>
      </w:r>
      <w:r w:rsidRPr="002632FE">
        <w:rPr>
          <w:rFonts w:eastAsia="Calibri"/>
          <w:szCs w:val="24"/>
        </w:rPr>
        <w:t xml:space="preserve">For both </w:t>
      </w:r>
      <w:r>
        <w:rPr>
          <w:rFonts w:eastAsia="Calibri"/>
          <w:szCs w:val="24"/>
        </w:rPr>
        <w:t>experts, i</w:t>
      </w:r>
      <w:r w:rsidRPr="002632FE">
        <w:rPr>
          <w:rFonts w:eastAsia="Calibri"/>
          <w:szCs w:val="24"/>
        </w:rPr>
        <w:t>tem 2, which refers</w:t>
      </w:r>
      <w:r w:rsidRPr="002632FE">
        <w:rPr>
          <w:szCs w:val="24"/>
        </w:rPr>
        <w:t xml:space="preserve"> to knowing how to </w:t>
      </w:r>
      <w:r>
        <w:rPr>
          <w:rFonts w:eastAsia="Calibri"/>
          <w:szCs w:val="24"/>
        </w:rPr>
        <w:t>create</w:t>
      </w:r>
      <w:r w:rsidRPr="002632FE">
        <w:rPr>
          <w:rFonts w:eastAsia="Calibri"/>
          <w:szCs w:val="24"/>
        </w:rPr>
        <w:t xml:space="preserve"> </w:t>
      </w:r>
      <w:r>
        <w:rPr>
          <w:rFonts w:eastAsia="Calibri"/>
          <w:szCs w:val="24"/>
        </w:rPr>
        <w:t>an</w:t>
      </w:r>
      <w:r w:rsidRPr="002632FE">
        <w:rPr>
          <w:rFonts w:eastAsia="Calibri"/>
          <w:szCs w:val="24"/>
        </w:rPr>
        <w:t xml:space="preserve"> account, is mapped to item </w:t>
      </w:r>
      <w:r>
        <w:rPr>
          <w:rFonts w:eastAsia="Calibri"/>
          <w:szCs w:val="24"/>
        </w:rPr>
        <w:t>1</w:t>
      </w:r>
      <w:r w:rsidRPr="002632FE">
        <w:rPr>
          <w:rFonts w:eastAsia="Calibri"/>
          <w:szCs w:val="24"/>
        </w:rPr>
        <w:t xml:space="preserve">. </w:t>
      </w:r>
      <w:r w:rsidRPr="00385681">
        <w:rPr>
          <w:rFonts w:eastAsia="Calibri"/>
          <w:szCs w:val="24"/>
        </w:rPr>
        <w:t xml:space="preserve">While the tree has only one top-level construct, recall from step 4 that experts are only mapping one branch of the tree. </w:t>
      </w:r>
    </w:p>
    <w:p w14:paraId="41046FD3" w14:textId="0DA5B68A" w:rsidR="00880E8B" w:rsidRDefault="00E269B1" w:rsidP="00880E8B">
      <w:pPr>
        <w:rPr>
          <w:rFonts w:eastAsia="Calibri"/>
          <w:szCs w:val="24"/>
        </w:rPr>
      </w:pPr>
      <w:r>
        <w:rPr>
          <w:rFonts w:eastAsia="Calibri"/>
          <w:noProof/>
          <w:szCs w:val="24"/>
        </w:rPr>
        <w:drawing>
          <wp:inline distT="0" distB="0" distL="0" distR="0" wp14:anchorId="29587725" wp14:editId="78D5526B">
            <wp:extent cx="3251334" cy="2850077"/>
            <wp:effectExtent l="0" t="0" r="6350" b="762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a:blip r:embed="rId13"/>
                    <a:stretch>
                      <a:fillRect/>
                    </a:stretch>
                  </pic:blipFill>
                  <pic:spPr>
                    <a:xfrm>
                      <a:off x="0" y="0"/>
                      <a:ext cx="3257262" cy="2855273"/>
                    </a:xfrm>
                    <a:prstGeom prst="rect">
                      <a:avLst/>
                    </a:prstGeom>
                  </pic:spPr>
                </pic:pic>
              </a:graphicData>
            </a:graphic>
          </wp:inline>
        </w:drawing>
      </w:r>
      <w:r w:rsidR="00880E8B" w:rsidRPr="00385681">
        <w:rPr>
          <w:rFonts w:eastAsia="Calibri"/>
          <w:szCs w:val="24"/>
        </w:rPr>
        <w:t xml:space="preserve"> </w:t>
      </w:r>
    </w:p>
    <w:p w14:paraId="27DCA660" w14:textId="04A40560" w:rsidR="00880E8B" w:rsidRPr="0036489C" w:rsidRDefault="0036489C" w:rsidP="0036489C">
      <w:pPr>
        <w:spacing w:after="200"/>
        <w:rPr>
          <w:rFonts w:eastAsia="Calibri"/>
          <w:color w:val="000000"/>
          <w:sz w:val="16"/>
        </w:rPr>
      </w:pPr>
      <w:bookmarkStart w:id="44" w:name="_Toc513022817"/>
      <w:bookmarkStart w:id="45" w:name="_Hlk511812656"/>
      <w:r w:rsidRPr="0036489C">
        <w:rPr>
          <w:color w:val="000000" w:themeColor="text1"/>
          <w:sz w:val="16"/>
          <w:szCs w:val="14"/>
        </w:rPr>
        <w:t>Fig</w:t>
      </w:r>
      <w:r>
        <w:rPr>
          <w:color w:val="000000" w:themeColor="text1"/>
          <w:sz w:val="16"/>
          <w:szCs w:val="14"/>
        </w:rPr>
        <w:t>.</w:t>
      </w:r>
      <w:r w:rsidRPr="0036489C">
        <w:rPr>
          <w:color w:val="000000" w:themeColor="text1"/>
          <w:sz w:val="16"/>
          <w:szCs w:val="14"/>
        </w:rPr>
        <w:t xml:space="preserve"> 6.</w:t>
      </w:r>
      <w:r>
        <w:rPr>
          <w:rFonts w:eastAsia="Calibri"/>
          <w:color w:val="000000"/>
          <w:sz w:val="16"/>
        </w:rPr>
        <w:t xml:space="preserve">  </w:t>
      </w:r>
      <w:r w:rsidRPr="0036489C">
        <w:rPr>
          <w:rFonts w:eastAsia="Calibri"/>
          <w:color w:val="000000"/>
          <w:sz w:val="16"/>
        </w:rPr>
        <w:t>Experts’ tree diagram for the top-level construct “Account Management”</w:t>
      </w:r>
      <w:bookmarkEnd w:id="44"/>
      <w:bookmarkEnd w:id="45"/>
      <w:r>
        <w:rPr>
          <w:rFonts w:eastAsia="Calibri"/>
          <w:color w:val="000000"/>
          <w:sz w:val="16"/>
        </w:rPr>
        <w:t>.</w:t>
      </w:r>
    </w:p>
    <w:p w14:paraId="146BEC43" w14:textId="77777777" w:rsidR="00DA571F" w:rsidRDefault="00DA571F" w:rsidP="00DA571F">
      <w:pPr>
        <w:ind w:firstLine="202"/>
        <w:jc w:val="both"/>
        <w:rPr>
          <w:rFonts w:eastAsiaTheme="majorEastAsia" w:cstheme="majorBidi"/>
          <w:b/>
          <w:i/>
          <w:color w:val="171717" w:themeColor="background2" w:themeShade="1A"/>
          <w:szCs w:val="24"/>
        </w:rPr>
      </w:pPr>
      <w:bookmarkStart w:id="46" w:name="_Hlk49847302"/>
      <w:r w:rsidRPr="00C83BC9">
        <w:rPr>
          <w:rFonts w:eastAsia="Calibri"/>
          <w:szCs w:val="24"/>
        </w:rPr>
        <w:t xml:space="preserve">For expert 1, item 13 is the child of item 1 in level 2.  However, expert 2 has only mapped it to item 14 as a single child. Hence, expert 2 </w:t>
      </w:r>
      <w:proofErr w:type="spellStart"/>
      <w:r w:rsidRPr="00C83BC9">
        <w:rPr>
          <w:rFonts w:eastAsia="Calibri"/>
          <w:szCs w:val="24"/>
        </w:rPr>
        <w:t>can not</w:t>
      </w:r>
      <w:proofErr w:type="spellEnd"/>
      <w:r w:rsidRPr="00C83BC9">
        <w:rPr>
          <w:rFonts w:eastAsia="Calibri"/>
          <w:szCs w:val="24"/>
        </w:rPr>
        <w:t xml:space="preserve"> distinguish the difference between items 13 and 14. After discussing this with the experts, several reasons for the discrepancy were identified.  One, the term “post” was too general. “Post” and “story” have different meanings in the Instagram context, as a story is viewed for a limited time while a post or photo is viewed for as long as the user desires. Two, users differentiate the terms post and photo, as a post may not be a photo. As a result of this discrepancy, the original item 13 “I know how to control my visibility and privacy of my posts on Instagram” was edited to “I know how to control my visibility and privacy of my photos, stories, and posts on Instagram.”  Similarly, item 14 was changed from “I know how to control the visibility of my posts” to “I know how to control the visibility of my photos” to differentiate posts from photos. </w:t>
      </w:r>
      <w:r w:rsidRPr="00C83BC9">
        <w:rPr>
          <w:rFonts w:eastAsia="Calibri" w:cs="Arial"/>
          <w:szCs w:val="24"/>
        </w:rPr>
        <w:t>Both</w:t>
      </w:r>
      <w:r w:rsidRPr="00721AC0">
        <w:rPr>
          <w:rFonts w:eastAsia="Calibri" w:cs="Arial"/>
          <w:szCs w:val="24"/>
        </w:rPr>
        <w:t xml:space="preserve"> experts identified one item (item 43 for both experts) as unconnected.  Item 43 contained the distractor item, which suggests experts were paying attention when performing the q-sort.</w:t>
      </w:r>
    </w:p>
    <w:p w14:paraId="0B537061" w14:textId="7A298E3C" w:rsidR="00DA571F" w:rsidRDefault="00DA571F" w:rsidP="00DA571F">
      <w:pPr>
        <w:jc w:val="both"/>
        <w:rPr>
          <w:rFonts w:eastAsia="Calibri" w:cs="Arial"/>
          <w:szCs w:val="24"/>
        </w:rPr>
      </w:pPr>
      <w:r w:rsidRPr="00DA571F">
        <w:rPr>
          <w:rFonts w:eastAsiaTheme="majorEastAsia" w:cstheme="majorBidi"/>
          <w:bCs/>
          <w:i/>
          <w:color w:val="171717" w:themeColor="background2" w:themeShade="1A"/>
          <w:szCs w:val="24"/>
        </w:rPr>
        <w:t>Step 6: Revising the diagnostic tree.</w:t>
      </w:r>
      <w:r>
        <w:rPr>
          <w:rFonts w:eastAsiaTheme="majorEastAsia" w:cstheme="majorBidi"/>
          <w:b/>
          <w:i/>
          <w:color w:val="171717" w:themeColor="background2" w:themeShade="1A"/>
          <w:szCs w:val="24"/>
        </w:rPr>
        <w:t xml:space="preserve"> </w:t>
      </w:r>
      <w:r>
        <w:rPr>
          <w:rFonts w:eastAsia="Calibri"/>
          <w:szCs w:val="24"/>
        </w:rPr>
        <w:t xml:space="preserve">In this step, the experts are given the second set of rules and the items refined from the previous step and asked to remap the tree. </w:t>
      </w:r>
      <w:r>
        <w:rPr>
          <w:rFonts w:eastAsia="Calibri" w:cs="Arial"/>
          <w:szCs w:val="24"/>
        </w:rPr>
        <w:t>W</w:t>
      </w:r>
      <w:r w:rsidRPr="00BD58EF">
        <w:rPr>
          <w:rFonts w:eastAsia="Calibri"/>
          <w:szCs w:val="24"/>
        </w:rPr>
        <w:t xml:space="preserve">e </w:t>
      </w:r>
      <w:r>
        <w:rPr>
          <w:rFonts w:eastAsia="Calibri"/>
          <w:szCs w:val="24"/>
        </w:rPr>
        <w:t xml:space="preserve">continue to </w:t>
      </w:r>
      <w:r w:rsidRPr="00BD58EF">
        <w:rPr>
          <w:rFonts w:eastAsia="Calibri"/>
          <w:szCs w:val="24"/>
        </w:rPr>
        <w:t xml:space="preserve">assess the face validity </w:t>
      </w:r>
      <w:r w:rsidRPr="00BD58EF">
        <w:rPr>
          <w:rFonts w:eastAsia="Calibri"/>
          <w:szCs w:val="24"/>
        </w:rPr>
        <w:fldChar w:fldCharType="begin" w:fldLock="1"/>
      </w:r>
      <w:r>
        <w:rPr>
          <w:rFonts w:eastAsia="Calibri"/>
          <w:szCs w:val="24"/>
        </w:rPr>
        <w:instrText>ADDIN CSL_CITATION {"citationItems":[{"id":"ITEM-1","itemData":{"DOI":"10.2307/3150876","ISBN":"9788578110796","ISSN":"00222437","PMID":"25246403","abstract":"Predicting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approach.","author":[{"dropping-particle":"","family":"Churchill","given":"Gilbert A.","non-dropping-particle":"","parse-names":false,"suffix":""}],"container-title":"Journal of Marketing Research","id":"ITEM-1","issue":"1","issued":{"date-parts":[["1979"]]},"page":"64","title":"A Paradigm for Developing Better Measures of Marketing Constructs","type":"article-journal","volume":"16"},"uris":["http://www.mendeley.com/documents/?uuid=a992b434-9efe-47ba-998d-c6f092cf564c"]}],"mendeley":{"formattedCitation":"[60]","plainTextFormattedCitation":"[60]","previouslyFormattedCitation":"[60]"},"properties":{"noteIndex":0},"schema":"https://github.com/citation-style-language/schema/raw/master/csl-citation.json"}</w:instrText>
      </w:r>
      <w:r w:rsidRPr="00BD58EF">
        <w:rPr>
          <w:rFonts w:eastAsia="Calibri"/>
          <w:szCs w:val="24"/>
        </w:rPr>
        <w:fldChar w:fldCharType="separate"/>
      </w:r>
      <w:r w:rsidRPr="00E65D3B">
        <w:rPr>
          <w:rFonts w:eastAsia="Calibri"/>
          <w:noProof/>
          <w:szCs w:val="24"/>
        </w:rPr>
        <w:t>[60]</w:t>
      </w:r>
      <w:r w:rsidRPr="00BD58EF">
        <w:rPr>
          <w:rFonts w:eastAsia="Calibri"/>
          <w:szCs w:val="24"/>
        </w:rPr>
        <w:fldChar w:fldCharType="end"/>
      </w:r>
      <w:r w:rsidRPr="00BD58EF">
        <w:rPr>
          <w:rFonts w:eastAsia="Calibri"/>
          <w:szCs w:val="24"/>
        </w:rPr>
        <w:t xml:space="preserve"> of the items by employing two blind and independent experts. Any item marke</w:t>
      </w:r>
      <w:r>
        <w:rPr>
          <w:rFonts w:eastAsia="Calibri"/>
          <w:szCs w:val="24"/>
        </w:rPr>
        <w:t>d by either expert as confusing</w:t>
      </w:r>
      <w:r w:rsidRPr="00BD58EF">
        <w:rPr>
          <w:rFonts w:eastAsia="Calibri"/>
          <w:szCs w:val="24"/>
        </w:rPr>
        <w:t xml:space="preserve"> is re-edited.</w:t>
      </w:r>
      <w:r>
        <w:rPr>
          <w:rFonts w:eastAsia="Calibri"/>
          <w:szCs w:val="24"/>
        </w:rPr>
        <w:t xml:space="preserve"> </w:t>
      </w:r>
      <w:r w:rsidRPr="005B24AC">
        <w:rPr>
          <w:rFonts w:eastAsia="Calibri" w:cs="Arial"/>
          <w:szCs w:val="24"/>
        </w:rPr>
        <w:t>As an example of th</w:t>
      </w:r>
      <w:r>
        <w:rPr>
          <w:rFonts w:eastAsia="Calibri" w:cs="Arial"/>
          <w:szCs w:val="24"/>
        </w:rPr>
        <w:t xml:space="preserve">is </w:t>
      </w:r>
      <w:r w:rsidRPr="005B24AC">
        <w:rPr>
          <w:rFonts w:eastAsia="Calibri" w:cs="Arial"/>
          <w:szCs w:val="24"/>
        </w:rPr>
        <w:t>process of mapping items</w:t>
      </w:r>
      <w:r>
        <w:rPr>
          <w:rFonts w:eastAsia="Calibri" w:cs="Arial"/>
          <w:szCs w:val="24"/>
        </w:rPr>
        <w:t xml:space="preserve">, </w:t>
      </w:r>
      <w:r w:rsidRPr="005B24AC">
        <w:rPr>
          <w:rFonts w:eastAsia="Calibri" w:cs="Arial"/>
          <w:szCs w:val="24"/>
        </w:rPr>
        <w:t>consider Fig</w:t>
      </w:r>
      <w:r>
        <w:rPr>
          <w:rFonts w:eastAsia="Calibri" w:cs="Arial"/>
          <w:szCs w:val="24"/>
        </w:rPr>
        <w:t>.</w:t>
      </w:r>
      <w:r w:rsidRPr="005B24AC">
        <w:rPr>
          <w:rFonts w:eastAsia="Calibri" w:cs="Arial"/>
          <w:szCs w:val="24"/>
        </w:rPr>
        <w:t xml:space="preserve"> </w:t>
      </w:r>
      <w:r>
        <w:rPr>
          <w:rFonts w:eastAsia="Calibri" w:cs="Arial"/>
          <w:szCs w:val="24"/>
        </w:rPr>
        <w:t>7</w:t>
      </w:r>
      <w:r w:rsidRPr="005B24AC">
        <w:rPr>
          <w:rFonts w:eastAsia="Calibri" w:cs="Arial"/>
          <w:szCs w:val="24"/>
        </w:rPr>
        <w:t xml:space="preserve">, which presents the result of the two experts developing trees around the concept of “account management </w:t>
      </w:r>
      <w:r>
        <w:rPr>
          <w:rFonts w:eastAsia="Calibri" w:cs="Arial"/>
          <w:szCs w:val="24"/>
        </w:rPr>
        <w:t xml:space="preserve">for </w:t>
      </w:r>
      <w:r w:rsidRPr="005B24AC">
        <w:rPr>
          <w:rFonts w:eastAsia="Calibri" w:cs="Arial"/>
          <w:szCs w:val="24"/>
        </w:rPr>
        <w:t>Instagram.”</w:t>
      </w:r>
      <w:r>
        <w:rPr>
          <w:rFonts w:eastAsia="Calibri" w:cs="Arial"/>
          <w:szCs w:val="24"/>
        </w:rPr>
        <w:t xml:space="preserve"> The trees experts developed are clearly discrepant. In the following steps, we show how we identify and reconcile discrepancies.</w:t>
      </w:r>
      <w:bookmarkEnd w:id="46"/>
    </w:p>
    <w:p w14:paraId="1F295478" w14:textId="0BD3089C" w:rsidR="00DA571F" w:rsidRPr="007B5BF9" w:rsidRDefault="00DA571F" w:rsidP="00DA571F">
      <w:r w:rsidRPr="00CD6AE0">
        <w:rPr>
          <w:rStyle w:val="Heading2Char"/>
        </w:rPr>
        <w:t xml:space="preserve">Step </w:t>
      </w:r>
      <w:r>
        <w:rPr>
          <w:rStyle w:val="Heading2Char"/>
        </w:rPr>
        <w:t>7</w:t>
      </w:r>
      <w:r w:rsidRPr="00CD6AE0">
        <w:rPr>
          <w:rStyle w:val="Heading2Char"/>
        </w:rPr>
        <w:t>: Calculate, evaluate and interpret inter-rater scores</w:t>
      </w:r>
      <w:r w:rsidRPr="00181BC4">
        <w:rPr>
          <w:rFonts w:eastAsiaTheme="majorEastAsia" w:cstheme="majorBidi"/>
          <w:b/>
          <w:i/>
          <w:color w:val="171717" w:themeColor="background2" w:themeShade="1A"/>
          <w:szCs w:val="24"/>
        </w:rPr>
        <w:t>.</w:t>
      </w:r>
      <w:r w:rsidRPr="00181BC4">
        <w:rPr>
          <w:rFonts w:eastAsia="Calibri"/>
          <w:i/>
          <w:kern w:val="32"/>
        </w:rPr>
        <w:t xml:space="preserve"> </w:t>
      </w:r>
      <w:r w:rsidRPr="00181BC4">
        <w:t>T</w:t>
      </w:r>
      <w:r w:rsidRPr="00E062A2">
        <w:t>o determine whether trees are “similar enough” to be valid, we perform an iterative contingency table analysi</w:t>
      </w:r>
      <w:r>
        <w:t>s to evaluate the overall fitness and diagnose the problems</w:t>
      </w:r>
      <w:r w:rsidRPr="00E062A2">
        <w:t>.</w:t>
      </w:r>
      <w:r>
        <w:t xml:space="preserve"> </w:t>
      </w:r>
      <w:r w:rsidRPr="00E062A2">
        <w:t xml:space="preserve">This step consists of two sub-steps, (1) transformation of the </w:t>
      </w:r>
      <w:r>
        <w:rPr>
          <w:szCs w:val="24"/>
        </w:rPr>
        <w:t>diagnostic</w:t>
      </w:r>
      <w:r w:rsidRPr="00E062A2">
        <w:t xml:space="preserve"> tree into a table and (2) the assessment of the inter-rate</w:t>
      </w:r>
      <w:r>
        <w:t>r</w:t>
      </w:r>
      <w:r w:rsidRPr="00E062A2">
        <w:t xml:space="preserve"> scores.</w:t>
      </w:r>
      <w:r w:rsidR="007B5BF9">
        <w:rPr>
          <w:noProof/>
        </w:rPr>
        <w:drawing>
          <wp:inline distT="0" distB="0" distL="0" distR="0" wp14:anchorId="62DE6BCF" wp14:editId="72F4768D">
            <wp:extent cx="3123211" cy="3123211"/>
            <wp:effectExtent l="0" t="0" r="1270" b="127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14"/>
                    <a:stretch>
                      <a:fillRect/>
                    </a:stretch>
                  </pic:blipFill>
                  <pic:spPr>
                    <a:xfrm>
                      <a:off x="0" y="0"/>
                      <a:ext cx="3131173" cy="3131173"/>
                    </a:xfrm>
                    <a:prstGeom prst="rect">
                      <a:avLst/>
                    </a:prstGeom>
                  </pic:spPr>
                </pic:pic>
              </a:graphicData>
            </a:graphic>
          </wp:inline>
        </w:drawing>
      </w:r>
    </w:p>
    <w:p w14:paraId="02C9B707" w14:textId="39437E7D" w:rsidR="00DA571F" w:rsidRDefault="0036489C" w:rsidP="0036489C">
      <w:pPr>
        <w:spacing w:before="120"/>
        <w:contextualSpacing/>
        <w:rPr>
          <w:rFonts w:eastAsia="Calibri"/>
          <w:iCs/>
          <w:sz w:val="16"/>
        </w:rPr>
      </w:pPr>
      <w:r w:rsidRPr="0036489C">
        <w:rPr>
          <w:rFonts w:eastAsia="Calibri"/>
          <w:iCs/>
          <w:sz w:val="16"/>
        </w:rPr>
        <w:t>Fig</w:t>
      </w:r>
      <w:r>
        <w:rPr>
          <w:rFonts w:eastAsia="Calibri"/>
          <w:iCs/>
          <w:sz w:val="16"/>
        </w:rPr>
        <w:t xml:space="preserve">. </w:t>
      </w:r>
      <w:r w:rsidRPr="0036489C">
        <w:rPr>
          <w:rFonts w:eastAsia="Calibri"/>
          <w:iCs/>
          <w:sz w:val="16"/>
        </w:rPr>
        <w:t>7.</w:t>
      </w:r>
      <w:r>
        <w:rPr>
          <w:rFonts w:eastAsia="Calibri"/>
          <w:iCs/>
          <w:sz w:val="16"/>
        </w:rPr>
        <w:t xml:space="preserve">  </w:t>
      </w:r>
      <w:r w:rsidRPr="0036489C">
        <w:rPr>
          <w:rFonts w:eastAsia="Calibri"/>
          <w:iCs/>
          <w:sz w:val="16"/>
        </w:rPr>
        <w:t xml:space="preserve"> Second round </w:t>
      </w:r>
      <w:r w:rsidRPr="0036489C">
        <w:rPr>
          <w:rFonts w:eastAsia="Calibri"/>
          <w:iCs/>
          <w:color w:val="000000"/>
          <w:sz w:val="16"/>
        </w:rPr>
        <w:t xml:space="preserve">tree diagram for the top-level construct </w:t>
      </w:r>
      <w:r w:rsidRPr="0036489C">
        <w:rPr>
          <w:rFonts w:eastAsia="Calibri"/>
          <w:iCs/>
          <w:sz w:val="16"/>
        </w:rPr>
        <w:t>“account management for Instagram.”</w:t>
      </w:r>
    </w:p>
    <w:p w14:paraId="6D585DCB" w14:textId="77777777" w:rsidR="0036489C" w:rsidRPr="0036489C" w:rsidRDefault="0036489C" w:rsidP="0036489C">
      <w:pPr>
        <w:spacing w:before="120"/>
        <w:contextualSpacing/>
        <w:rPr>
          <w:rFonts w:eastAsia="Calibri"/>
          <w:iCs/>
          <w:sz w:val="16"/>
        </w:rPr>
      </w:pPr>
    </w:p>
    <w:p w14:paraId="33C7E3A6" w14:textId="37323401" w:rsidR="009D09E1" w:rsidRDefault="009D09E1" w:rsidP="00CF5A53">
      <w:pPr>
        <w:jc w:val="both"/>
        <w:rPr>
          <w:rFonts w:eastAsia="Calibri"/>
          <w:szCs w:val="24"/>
        </w:rPr>
      </w:pPr>
      <w:bookmarkStart w:id="47" w:name="_Toc512951861"/>
      <w:bookmarkStart w:id="48" w:name="_Toc513024990"/>
      <w:bookmarkStart w:id="49" w:name="_Hlk509415647"/>
      <w:r>
        <w:t>Step 7(a). T</w:t>
      </w:r>
      <w:r w:rsidRPr="00E062A2">
        <w:t>o calculate the similarity of each tree, certain measures of association are used. To perform these calculations, the trees</w:t>
      </w:r>
      <w:bookmarkEnd w:id="47"/>
      <w:bookmarkEnd w:id="48"/>
      <w:r w:rsidRPr="00E062A2">
        <w:t xml:space="preserve"> developed by the </w:t>
      </w:r>
      <w:r>
        <w:t>expert</w:t>
      </w:r>
      <w:r w:rsidRPr="00E062A2">
        <w:t>s need to be transformed into a tabl</w:t>
      </w:r>
      <w:r>
        <w:t>e with</w:t>
      </w:r>
      <w:r w:rsidRPr="00E062A2">
        <w:t xml:space="preserve"> five columns, which are the list of items (1 column), the parent column from each </w:t>
      </w:r>
      <w:r>
        <w:t>expert (2 columns)</w:t>
      </w:r>
      <w:r w:rsidRPr="00E062A2">
        <w:t xml:space="preserve">, and the level columns for each </w:t>
      </w:r>
      <w:r>
        <w:t>expert</w:t>
      </w:r>
      <w:bookmarkEnd w:id="49"/>
      <w:r w:rsidRPr="00E062A2">
        <w:t>. In the analysis</w:t>
      </w:r>
      <w:r>
        <w:t>,</w:t>
      </w:r>
      <w:r w:rsidRPr="00E062A2">
        <w:t xml:space="preserve"> we</w:t>
      </w:r>
      <w:r>
        <w:t xml:space="preserve"> </w:t>
      </w:r>
      <w:r w:rsidRPr="00E062A2">
        <w:t xml:space="preserve">compare the parent columns of the two </w:t>
      </w:r>
      <w:r>
        <w:t>expert</w:t>
      </w:r>
      <w:r w:rsidRPr="00E062A2">
        <w:t xml:space="preserve">s using the level columns to restrict the data for analysis. As an example, Table 1 demonstrates the transformation of the tree </w:t>
      </w:r>
      <w:r>
        <w:t xml:space="preserve">in the first round </w:t>
      </w:r>
      <w:r w:rsidRPr="00E062A2">
        <w:t xml:space="preserve">for the </w:t>
      </w:r>
      <w:r>
        <w:t xml:space="preserve">top-level </w:t>
      </w:r>
      <w:r w:rsidRPr="00E062A2">
        <w:t>construct “</w:t>
      </w:r>
      <w:r>
        <w:t>Account Management for Instagram</w:t>
      </w:r>
      <w:r w:rsidRPr="00E062A2">
        <w:t>.</w:t>
      </w:r>
      <w:r>
        <w:t>”</w:t>
      </w:r>
      <w:r w:rsidRPr="00E062A2">
        <w:t xml:space="preserve"> </w:t>
      </w:r>
      <w:r>
        <w:t>E</w:t>
      </w:r>
      <w:r w:rsidRPr="00187EC5">
        <w:rPr>
          <w:rFonts w:eastAsia="Calibri"/>
          <w:szCs w:val="24"/>
        </w:rPr>
        <w:t>xpert 2 has mapped three items (2,9,18) to item 1, while expert 1 has mapped six items (3,9,18,26,32, 40) to item 1.</w:t>
      </w:r>
      <w:r>
        <w:rPr>
          <w:rFonts w:eastAsia="Calibri"/>
          <w:szCs w:val="24"/>
        </w:rPr>
        <w:t xml:space="preserve"> T</w:t>
      </w:r>
      <w:r w:rsidRPr="00E062A2">
        <w:rPr>
          <w:rFonts w:eastAsia="Calibri"/>
          <w:szCs w:val="24"/>
        </w:rPr>
        <w:t>he results in Table 1 correspond to the diagrams in Fig</w:t>
      </w:r>
      <w:r>
        <w:rPr>
          <w:rFonts w:eastAsia="Calibri"/>
          <w:szCs w:val="24"/>
        </w:rPr>
        <w:t>. 7</w:t>
      </w:r>
      <w:r w:rsidRPr="00E062A2">
        <w:rPr>
          <w:rFonts w:eastAsia="Calibri"/>
          <w:szCs w:val="24"/>
        </w:rPr>
        <w:t>.</w:t>
      </w:r>
    </w:p>
    <w:p w14:paraId="1C01EDA5" w14:textId="77777777" w:rsidR="00862844" w:rsidRDefault="00862844" w:rsidP="00CF5A53">
      <w:pPr>
        <w:jc w:val="both"/>
        <w:rPr>
          <w:rFonts w:eastAsia="Calibri"/>
          <w:szCs w:val="24"/>
        </w:rPr>
      </w:pPr>
    </w:p>
    <w:tbl>
      <w:tblPr>
        <w:tblW w:w="0" w:type="auto"/>
        <w:tblLayout w:type="fixed"/>
        <w:tblLook w:val="04A0" w:firstRow="1" w:lastRow="0" w:firstColumn="1" w:lastColumn="0" w:noHBand="0" w:noVBand="1"/>
      </w:tblPr>
      <w:tblGrid>
        <w:gridCol w:w="699"/>
        <w:gridCol w:w="1134"/>
        <w:gridCol w:w="1209"/>
        <w:gridCol w:w="989"/>
        <w:gridCol w:w="989"/>
      </w:tblGrid>
      <w:tr w:rsidR="00E269B1" w:rsidRPr="00E269B1" w14:paraId="5FA7CFFC" w14:textId="77777777" w:rsidTr="008D6B2E">
        <w:trPr>
          <w:trHeight w:val="401"/>
        </w:trPr>
        <w:tc>
          <w:tcPr>
            <w:tcW w:w="69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9F64458" w14:textId="77777777" w:rsidR="00E269B1" w:rsidRPr="00E269B1" w:rsidRDefault="00E269B1" w:rsidP="00AF362E">
            <w:pPr>
              <w:rPr>
                <w:b/>
                <w:bCs/>
                <w:color w:val="000000"/>
                <w:sz w:val="16"/>
                <w:szCs w:val="16"/>
                <w:lang w:eastAsia="en-NZ"/>
              </w:rPr>
            </w:pPr>
            <w:bookmarkStart w:id="50" w:name="RANGE!F2"/>
            <w:bookmarkStart w:id="51" w:name="_Hlk64290471" w:colFirst="1" w:colLast="4"/>
            <w:r w:rsidRPr="00E269B1">
              <w:rPr>
                <w:b/>
                <w:bCs/>
                <w:color w:val="000000"/>
                <w:sz w:val="16"/>
                <w:szCs w:val="16"/>
                <w:lang w:eastAsia="en-NZ"/>
              </w:rPr>
              <w:t xml:space="preserve">items </w:t>
            </w:r>
            <w:bookmarkEnd w:id="50"/>
          </w:p>
        </w:tc>
        <w:tc>
          <w:tcPr>
            <w:tcW w:w="1134" w:type="dxa"/>
            <w:tcBorders>
              <w:top w:val="single" w:sz="8" w:space="0" w:color="BFBFBF"/>
              <w:left w:val="nil"/>
              <w:bottom w:val="single" w:sz="8" w:space="0" w:color="BFBFBF"/>
              <w:right w:val="single" w:sz="8" w:space="0" w:color="BFBFBF"/>
            </w:tcBorders>
            <w:shd w:val="clear" w:color="auto" w:fill="auto"/>
            <w:noWrap/>
            <w:vAlign w:val="center"/>
            <w:hideMark/>
          </w:tcPr>
          <w:p w14:paraId="27A8D63C"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Parent items for Expert1</w:t>
            </w:r>
          </w:p>
        </w:tc>
        <w:tc>
          <w:tcPr>
            <w:tcW w:w="1209" w:type="dxa"/>
            <w:tcBorders>
              <w:top w:val="single" w:sz="8" w:space="0" w:color="BFBFBF"/>
              <w:left w:val="nil"/>
              <w:bottom w:val="single" w:sz="8" w:space="0" w:color="BFBFBF"/>
              <w:right w:val="single" w:sz="8" w:space="0" w:color="BFBFBF"/>
            </w:tcBorders>
            <w:shd w:val="clear" w:color="auto" w:fill="auto"/>
            <w:noWrap/>
            <w:vAlign w:val="center"/>
            <w:hideMark/>
          </w:tcPr>
          <w:p w14:paraId="132F95B7"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Parent items for Expert2</w:t>
            </w:r>
          </w:p>
        </w:tc>
        <w:tc>
          <w:tcPr>
            <w:tcW w:w="989" w:type="dxa"/>
            <w:tcBorders>
              <w:top w:val="single" w:sz="8" w:space="0" w:color="BFBFBF"/>
              <w:left w:val="nil"/>
              <w:bottom w:val="single" w:sz="8" w:space="0" w:color="BFBFBF"/>
              <w:right w:val="single" w:sz="8" w:space="0" w:color="BFBFBF"/>
            </w:tcBorders>
            <w:shd w:val="clear" w:color="auto" w:fill="auto"/>
            <w:noWrap/>
            <w:vAlign w:val="center"/>
            <w:hideMark/>
          </w:tcPr>
          <w:p w14:paraId="238F3FC2"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Level for Expert 1</w:t>
            </w:r>
          </w:p>
        </w:tc>
        <w:tc>
          <w:tcPr>
            <w:tcW w:w="989" w:type="dxa"/>
            <w:tcBorders>
              <w:top w:val="single" w:sz="8" w:space="0" w:color="BFBFBF"/>
              <w:left w:val="nil"/>
              <w:bottom w:val="single" w:sz="8" w:space="0" w:color="BFBFBF"/>
              <w:right w:val="single" w:sz="8" w:space="0" w:color="BFBFBF"/>
            </w:tcBorders>
            <w:shd w:val="clear" w:color="auto" w:fill="auto"/>
            <w:noWrap/>
            <w:vAlign w:val="center"/>
            <w:hideMark/>
          </w:tcPr>
          <w:p w14:paraId="498DCAB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Level for Expert 2</w:t>
            </w:r>
          </w:p>
        </w:tc>
      </w:tr>
      <w:tr w:rsidR="00E269B1" w:rsidRPr="00E269B1" w14:paraId="40DCCD86"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3E2E52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 0</w:t>
            </w:r>
          </w:p>
        </w:tc>
        <w:tc>
          <w:tcPr>
            <w:tcW w:w="1134" w:type="dxa"/>
            <w:tcBorders>
              <w:top w:val="nil"/>
              <w:left w:val="nil"/>
              <w:bottom w:val="single" w:sz="8" w:space="0" w:color="BFBFBF"/>
              <w:right w:val="single" w:sz="8" w:space="0" w:color="BFBFBF"/>
            </w:tcBorders>
            <w:shd w:val="clear" w:color="000000" w:fill="F2F2F2"/>
            <w:noWrap/>
            <w:vAlign w:val="center"/>
            <w:hideMark/>
          </w:tcPr>
          <w:p w14:paraId="727D73D0"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c>
          <w:tcPr>
            <w:tcW w:w="1209" w:type="dxa"/>
            <w:tcBorders>
              <w:top w:val="nil"/>
              <w:left w:val="nil"/>
              <w:bottom w:val="single" w:sz="8" w:space="0" w:color="BFBFBF"/>
              <w:right w:val="single" w:sz="8" w:space="0" w:color="BFBFBF"/>
            </w:tcBorders>
            <w:shd w:val="clear" w:color="000000" w:fill="F2F2F2"/>
            <w:noWrap/>
            <w:vAlign w:val="center"/>
            <w:hideMark/>
          </w:tcPr>
          <w:p w14:paraId="51D0D551"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c>
          <w:tcPr>
            <w:tcW w:w="989" w:type="dxa"/>
            <w:tcBorders>
              <w:top w:val="nil"/>
              <w:left w:val="nil"/>
              <w:bottom w:val="single" w:sz="8" w:space="0" w:color="BFBFBF"/>
              <w:right w:val="single" w:sz="8" w:space="0" w:color="BFBFBF"/>
            </w:tcBorders>
            <w:shd w:val="clear" w:color="000000" w:fill="F2F2F2"/>
            <w:noWrap/>
            <w:vAlign w:val="center"/>
            <w:hideMark/>
          </w:tcPr>
          <w:p w14:paraId="53946DD9"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c>
          <w:tcPr>
            <w:tcW w:w="989" w:type="dxa"/>
            <w:tcBorders>
              <w:top w:val="nil"/>
              <w:left w:val="nil"/>
              <w:bottom w:val="single" w:sz="8" w:space="0" w:color="BFBFBF"/>
              <w:right w:val="single" w:sz="8" w:space="0" w:color="BFBFBF"/>
            </w:tcBorders>
            <w:shd w:val="clear" w:color="000000" w:fill="F2F2F2"/>
            <w:noWrap/>
            <w:vAlign w:val="center"/>
            <w:hideMark/>
          </w:tcPr>
          <w:p w14:paraId="00470D7B"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r>
      <w:tr w:rsidR="00E269B1" w:rsidRPr="00E269B1" w14:paraId="76EFFA2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1C55D1A"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w:t>
            </w:r>
          </w:p>
        </w:tc>
        <w:tc>
          <w:tcPr>
            <w:tcW w:w="1134" w:type="dxa"/>
            <w:tcBorders>
              <w:top w:val="nil"/>
              <w:left w:val="nil"/>
              <w:bottom w:val="single" w:sz="8" w:space="0" w:color="BFBFBF"/>
              <w:right w:val="single" w:sz="8" w:space="0" w:color="BFBFBF"/>
            </w:tcBorders>
            <w:shd w:val="clear" w:color="auto" w:fill="auto"/>
            <w:noWrap/>
            <w:vAlign w:val="center"/>
            <w:hideMark/>
          </w:tcPr>
          <w:p w14:paraId="3B91AB5A"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c>
          <w:tcPr>
            <w:tcW w:w="1209" w:type="dxa"/>
            <w:tcBorders>
              <w:top w:val="nil"/>
              <w:left w:val="nil"/>
              <w:bottom w:val="single" w:sz="8" w:space="0" w:color="BFBFBF"/>
              <w:right w:val="single" w:sz="8" w:space="0" w:color="BFBFBF"/>
            </w:tcBorders>
            <w:shd w:val="clear" w:color="auto" w:fill="auto"/>
            <w:noWrap/>
            <w:vAlign w:val="center"/>
            <w:hideMark/>
          </w:tcPr>
          <w:p w14:paraId="5E676DBE" w14:textId="77777777" w:rsidR="00E269B1" w:rsidRPr="00E269B1" w:rsidRDefault="00E269B1" w:rsidP="00AF362E">
            <w:pPr>
              <w:rPr>
                <w:color w:val="000000"/>
                <w:sz w:val="16"/>
                <w:szCs w:val="16"/>
                <w:lang w:eastAsia="en-NZ"/>
              </w:rPr>
            </w:pPr>
            <w:r w:rsidRPr="00E269B1">
              <w:rPr>
                <w:color w:val="000000"/>
                <w:sz w:val="16"/>
                <w:szCs w:val="16"/>
                <w:lang w:eastAsia="en-NZ"/>
              </w:rPr>
              <w:t>0</w:t>
            </w:r>
          </w:p>
        </w:tc>
        <w:tc>
          <w:tcPr>
            <w:tcW w:w="989" w:type="dxa"/>
            <w:tcBorders>
              <w:top w:val="nil"/>
              <w:left w:val="nil"/>
              <w:bottom w:val="single" w:sz="8" w:space="0" w:color="BFBFBF"/>
              <w:right w:val="single" w:sz="8" w:space="0" w:color="BFBFBF"/>
            </w:tcBorders>
            <w:shd w:val="clear" w:color="auto" w:fill="auto"/>
            <w:noWrap/>
            <w:vAlign w:val="center"/>
            <w:hideMark/>
          </w:tcPr>
          <w:p w14:paraId="40E9E7E4"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989" w:type="dxa"/>
            <w:tcBorders>
              <w:top w:val="nil"/>
              <w:left w:val="nil"/>
              <w:bottom w:val="single" w:sz="8" w:space="0" w:color="BFBFBF"/>
              <w:right w:val="single" w:sz="8" w:space="0" w:color="BFBFBF"/>
            </w:tcBorders>
            <w:shd w:val="clear" w:color="auto" w:fill="auto"/>
            <w:noWrap/>
            <w:vAlign w:val="center"/>
            <w:hideMark/>
          </w:tcPr>
          <w:p w14:paraId="6871F5CF"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r>
      <w:tr w:rsidR="00E269B1" w:rsidRPr="00E269B1" w14:paraId="63BC4F29"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F5DE42B"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w:t>
            </w:r>
          </w:p>
        </w:tc>
        <w:tc>
          <w:tcPr>
            <w:tcW w:w="1134" w:type="dxa"/>
            <w:tcBorders>
              <w:top w:val="nil"/>
              <w:left w:val="nil"/>
              <w:bottom w:val="single" w:sz="8" w:space="0" w:color="BFBFBF"/>
              <w:right w:val="single" w:sz="8" w:space="0" w:color="BFBFBF"/>
            </w:tcBorders>
            <w:shd w:val="clear" w:color="000000" w:fill="F2F2F2"/>
            <w:noWrap/>
            <w:vAlign w:val="center"/>
            <w:hideMark/>
          </w:tcPr>
          <w:p w14:paraId="000732A5"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D9D9D9"/>
            <w:noWrap/>
            <w:vAlign w:val="center"/>
            <w:hideMark/>
          </w:tcPr>
          <w:p w14:paraId="2F2EA282"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1</w:t>
            </w:r>
          </w:p>
        </w:tc>
        <w:tc>
          <w:tcPr>
            <w:tcW w:w="989" w:type="dxa"/>
            <w:tcBorders>
              <w:top w:val="nil"/>
              <w:left w:val="nil"/>
              <w:bottom w:val="single" w:sz="8" w:space="0" w:color="BFBFBF"/>
              <w:right w:val="single" w:sz="8" w:space="0" w:color="BFBFBF"/>
            </w:tcBorders>
            <w:shd w:val="clear" w:color="000000" w:fill="F2F2F2"/>
            <w:noWrap/>
            <w:vAlign w:val="center"/>
            <w:hideMark/>
          </w:tcPr>
          <w:p w14:paraId="2B1D2268"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17BDB458"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r>
      <w:tr w:rsidR="00E269B1" w:rsidRPr="00E269B1" w14:paraId="5EDBB207"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4A35C4C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w:t>
            </w:r>
          </w:p>
        </w:tc>
        <w:tc>
          <w:tcPr>
            <w:tcW w:w="1134" w:type="dxa"/>
            <w:tcBorders>
              <w:top w:val="nil"/>
              <w:left w:val="nil"/>
              <w:bottom w:val="single" w:sz="8" w:space="0" w:color="BFBFBF"/>
              <w:right w:val="single" w:sz="8" w:space="0" w:color="BFBFBF"/>
            </w:tcBorders>
            <w:shd w:val="clear" w:color="000000" w:fill="D9D9D9"/>
            <w:noWrap/>
            <w:vAlign w:val="center"/>
            <w:hideMark/>
          </w:tcPr>
          <w:p w14:paraId="0BCA6A20"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auto" w:fill="auto"/>
            <w:noWrap/>
            <w:vAlign w:val="center"/>
            <w:hideMark/>
          </w:tcPr>
          <w:p w14:paraId="6F55F5B6"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4FC027C6"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19C2BD0F"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7F46A9D8"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D499E9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w:t>
            </w:r>
          </w:p>
        </w:tc>
        <w:tc>
          <w:tcPr>
            <w:tcW w:w="1134" w:type="dxa"/>
            <w:tcBorders>
              <w:top w:val="nil"/>
              <w:left w:val="nil"/>
              <w:bottom w:val="single" w:sz="8" w:space="0" w:color="BFBFBF"/>
              <w:right w:val="single" w:sz="8" w:space="0" w:color="BFBFBF"/>
            </w:tcBorders>
            <w:shd w:val="clear" w:color="000000" w:fill="F2F2F2"/>
            <w:noWrap/>
            <w:vAlign w:val="center"/>
            <w:hideMark/>
          </w:tcPr>
          <w:p w14:paraId="7C56F8B3"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2F8FDB0C"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CD3241E"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0B1D54B0"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5CC09798" w14:textId="77777777" w:rsidTr="008D6B2E">
        <w:trPr>
          <w:trHeight w:val="98"/>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4EEAF5D"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item5</w:t>
            </w:r>
          </w:p>
        </w:tc>
        <w:tc>
          <w:tcPr>
            <w:tcW w:w="1134" w:type="dxa"/>
            <w:tcBorders>
              <w:top w:val="nil"/>
              <w:left w:val="nil"/>
              <w:bottom w:val="single" w:sz="8" w:space="0" w:color="BFBFBF"/>
              <w:right w:val="single" w:sz="8" w:space="0" w:color="BFBFBF"/>
            </w:tcBorders>
            <w:shd w:val="clear" w:color="auto" w:fill="auto"/>
            <w:noWrap/>
            <w:vAlign w:val="center"/>
            <w:hideMark/>
          </w:tcPr>
          <w:p w14:paraId="63CA7234"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688C128D"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60B0870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6F38451F"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FFFF708"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3847A42"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item6</w:t>
            </w:r>
          </w:p>
        </w:tc>
        <w:tc>
          <w:tcPr>
            <w:tcW w:w="1134" w:type="dxa"/>
            <w:tcBorders>
              <w:top w:val="nil"/>
              <w:left w:val="nil"/>
              <w:bottom w:val="single" w:sz="8" w:space="0" w:color="BFBFBF"/>
              <w:right w:val="single" w:sz="8" w:space="0" w:color="BFBFBF"/>
            </w:tcBorders>
            <w:shd w:val="clear" w:color="000000" w:fill="F2F2F2"/>
            <w:noWrap/>
            <w:vAlign w:val="center"/>
            <w:hideMark/>
          </w:tcPr>
          <w:p w14:paraId="6C532039"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4C081A46"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6DE4DB19"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7FB64EF5"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5780779B"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9B4A247"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item7</w:t>
            </w:r>
          </w:p>
        </w:tc>
        <w:tc>
          <w:tcPr>
            <w:tcW w:w="1134" w:type="dxa"/>
            <w:tcBorders>
              <w:top w:val="nil"/>
              <w:left w:val="nil"/>
              <w:bottom w:val="single" w:sz="8" w:space="0" w:color="BFBFBF"/>
              <w:right w:val="single" w:sz="8" w:space="0" w:color="BFBFBF"/>
            </w:tcBorders>
            <w:shd w:val="clear" w:color="auto" w:fill="auto"/>
            <w:noWrap/>
            <w:vAlign w:val="center"/>
            <w:hideMark/>
          </w:tcPr>
          <w:p w14:paraId="51C27CB9"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2D37938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4822B4F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76849621"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1866428B"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6796CD1"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item8</w:t>
            </w:r>
          </w:p>
        </w:tc>
        <w:tc>
          <w:tcPr>
            <w:tcW w:w="1134" w:type="dxa"/>
            <w:tcBorders>
              <w:top w:val="nil"/>
              <w:left w:val="nil"/>
              <w:bottom w:val="single" w:sz="8" w:space="0" w:color="BFBFBF"/>
              <w:right w:val="single" w:sz="8" w:space="0" w:color="BFBFBF"/>
            </w:tcBorders>
            <w:shd w:val="clear" w:color="000000" w:fill="F2F2F2"/>
            <w:noWrap/>
            <w:vAlign w:val="center"/>
            <w:hideMark/>
          </w:tcPr>
          <w:p w14:paraId="2B508344"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4AC88C90"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0AC5476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D5030A0"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25D1186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6138EDD"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item9</w:t>
            </w:r>
          </w:p>
        </w:tc>
        <w:tc>
          <w:tcPr>
            <w:tcW w:w="1134" w:type="dxa"/>
            <w:tcBorders>
              <w:top w:val="nil"/>
              <w:left w:val="nil"/>
              <w:bottom w:val="single" w:sz="8" w:space="0" w:color="BFBFBF"/>
              <w:right w:val="single" w:sz="8" w:space="0" w:color="BFBFBF"/>
            </w:tcBorders>
            <w:shd w:val="clear" w:color="000000" w:fill="D9D9D9"/>
            <w:noWrap/>
            <w:vAlign w:val="center"/>
            <w:hideMark/>
          </w:tcPr>
          <w:p w14:paraId="575C68E2"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D9D9D9"/>
            <w:noWrap/>
            <w:vAlign w:val="center"/>
            <w:hideMark/>
          </w:tcPr>
          <w:p w14:paraId="0F309393"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989" w:type="dxa"/>
            <w:tcBorders>
              <w:top w:val="nil"/>
              <w:left w:val="nil"/>
              <w:bottom w:val="single" w:sz="8" w:space="0" w:color="BFBFBF"/>
              <w:right w:val="single" w:sz="8" w:space="0" w:color="BFBFBF"/>
            </w:tcBorders>
            <w:shd w:val="clear" w:color="auto" w:fill="auto"/>
            <w:noWrap/>
            <w:vAlign w:val="center"/>
            <w:hideMark/>
          </w:tcPr>
          <w:p w14:paraId="559A3057"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173D4D74"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r>
      <w:tr w:rsidR="00E269B1" w:rsidRPr="00E269B1" w14:paraId="34D229FC"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1A32420"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item10</w:t>
            </w:r>
          </w:p>
        </w:tc>
        <w:tc>
          <w:tcPr>
            <w:tcW w:w="1134" w:type="dxa"/>
            <w:tcBorders>
              <w:top w:val="nil"/>
              <w:left w:val="nil"/>
              <w:bottom w:val="single" w:sz="8" w:space="0" w:color="BFBFBF"/>
              <w:right w:val="single" w:sz="8" w:space="0" w:color="BFBFBF"/>
            </w:tcBorders>
            <w:shd w:val="clear" w:color="000000" w:fill="F2F2F2"/>
            <w:noWrap/>
            <w:vAlign w:val="center"/>
            <w:hideMark/>
          </w:tcPr>
          <w:p w14:paraId="4AADDC9B"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1209" w:type="dxa"/>
            <w:tcBorders>
              <w:top w:val="nil"/>
              <w:left w:val="nil"/>
              <w:bottom w:val="single" w:sz="8" w:space="0" w:color="BFBFBF"/>
              <w:right w:val="single" w:sz="8" w:space="0" w:color="BFBFBF"/>
            </w:tcBorders>
            <w:shd w:val="clear" w:color="000000" w:fill="F2F2F2"/>
            <w:noWrap/>
            <w:vAlign w:val="center"/>
            <w:hideMark/>
          </w:tcPr>
          <w:p w14:paraId="0AF4FF41"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73F1050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000000" w:fill="F2F2F2"/>
            <w:noWrap/>
            <w:vAlign w:val="center"/>
            <w:hideMark/>
          </w:tcPr>
          <w:p w14:paraId="005AC207"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5CACF8BB"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DA17F29"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item11</w:t>
            </w:r>
          </w:p>
        </w:tc>
        <w:tc>
          <w:tcPr>
            <w:tcW w:w="1134" w:type="dxa"/>
            <w:tcBorders>
              <w:top w:val="nil"/>
              <w:left w:val="nil"/>
              <w:bottom w:val="single" w:sz="8" w:space="0" w:color="BFBFBF"/>
              <w:right w:val="single" w:sz="8" w:space="0" w:color="BFBFBF"/>
            </w:tcBorders>
            <w:shd w:val="clear" w:color="auto" w:fill="auto"/>
            <w:noWrap/>
            <w:vAlign w:val="center"/>
            <w:hideMark/>
          </w:tcPr>
          <w:p w14:paraId="37985596"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1209" w:type="dxa"/>
            <w:tcBorders>
              <w:top w:val="nil"/>
              <w:left w:val="nil"/>
              <w:bottom w:val="single" w:sz="8" w:space="0" w:color="BFBFBF"/>
              <w:right w:val="single" w:sz="8" w:space="0" w:color="BFBFBF"/>
            </w:tcBorders>
            <w:shd w:val="clear" w:color="auto" w:fill="auto"/>
            <w:noWrap/>
            <w:vAlign w:val="center"/>
            <w:hideMark/>
          </w:tcPr>
          <w:p w14:paraId="6A18218C"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auto" w:fill="auto"/>
            <w:noWrap/>
            <w:vAlign w:val="center"/>
            <w:hideMark/>
          </w:tcPr>
          <w:p w14:paraId="3ACBF1B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D03FA7A"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1EEF9A14"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2CEF2AD"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item12</w:t>
            </w:r>
          </w:p>
        </w:tc>
        <w:tc>
          <w:tcPr>
            <w:tcW w:w="1134" w:type="dxa"/>
            <w:tcBorders>
              <w:top w:val="nil"/>
              <w:left w:val="nil"/>
              <w:bottom w:val="single" w:sz="8" w:space="0" w:color="BFBFBF"/>
              <w:right w:val="single" w:sz="8" w:space="0" w:color="BFBFBF"/>
            </w:tcBorders>
            <w:shd w:val="clear" w:color="000000" w:fill="F2F2F2"/>
            <w:noWrap/>
            <w:vAlign w:val="center"/>
            <w:hideMark/>
          </w:tcPr>
          <w:p w14:paraId="0840C166"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1209" w:type="dxa"/>
            <w:tcBorders>
              <w:top w:val="nil"/>
              <w:left w:val="nil"/>
              <w:bottom w:val="single" w:sz="8" w:space="0" w:color="BFBFBF"/>
              <w:right w:val="single" w:sz="8" w:space="0" w:color="BFBFBF"/>
            </w:tcBorders>
            <w:shd w:val="clear" w:color="000000" w:fill="F2F2F2"/>
            <w:noWrap/>
            <w:vAlign w:val="center"/>
            <w:hideMark/>
          </w:tcPr>
          <w:p w14:paraId="374824EC"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65BD346B"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690E00A"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4CD4F458"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8F6BED0"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item13</w:t>
            </w:r>
          </w:p>
        </w:tc>
        <w:tc>
          <w:tcPr>
            <w:tcW w:w="1134" w:type="dxa"/>
            <w:tcBorders>
              <w:top w:val="nil"/>
              <w:left w:val="nil"/>
              <w:bottom w:val="single" w:sz="8" w:space="0" w:color="BFBFBF"/>
              <w:right w:val="single" w:sz="8" w:space="0" w:color="BFBFBF"/>
            </w:tcBorders>
            <w:shd w:val="clear" w:color="auto" w:fill="auto"/>
            <w:noWrap/>
            <w:vAlign w:val="center"/>
            <w:hideMark/>
          </w:tcPr>
          <w:p w14:paraId="5D0331B0"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1209" w:type="dxa"/>
            <w:tcBorders>
              <w:top w:val="nil"/>
              <w:left w:val="nil"/>
              <w:bottom w:val="single" w:sz="8" w:space="0" w:color="BFBFBF"/>
              <w:right w:val="single" w:sz="8" w:space="0" w:color="BFBFBF"/>
            </w:tcBorders>
            <w:shd w:val="clear" w:color="auto" w:fill="auto"/>
            <w:noWrap/>
            <w:vAlign w:val="center"/>
            <w:hideMark/>
          </w:tcPr>
          <w:p w14:paraId="5E961E01"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auto" w:fill="auto"/>
            <w:noWrap/>
            <w:vAlign w:val="center"/>
            <w:hideMark/>
          </w:tcPr>
          <w:p w14:paraId="4009E9E0"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575E0439"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0C6226F7"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0AEB48E"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item14</w:t>
            </w:r>
          </w:p>
        </w:tc>
        <w:tc>
          <w:tcPr>
            <w:tcW w:w="1134" w:type="dxa"/>
            <w:tcBorders>
              <w:top w:val="nil"/>
              <w:left w:val="nil"/>
              <w:bottom w:val="single" w:sz="8" w:space="0" w:color="BFBFBF"/>
              <w:right w:val="single" w:sz="8" w:space="0" w:color="BFBFBF"/>
            </w:tcBorders>
            <w:shd w:val="clear" w:color="000000" w:fill="F2F2F2"/>
            <w:noWrap/>
            <w:vAlign w:val="center"/>
            <w:hideMark/>
          </w:tcPr>
          <w:p w14:paraId="6951643B"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1209" w:type="dxa"/>
            <w:tcBorders>
              <w:top w:val="nil"/>
              <w:left w:val="nil"/>
              <w:bottom w:val="single" w:sz="8" w:space="0" w:color="BFBFBF"/>
              <w:right w:val="single" w:sz="8" w:space="0" w:color="BFBFBF"/>
            </w:tcBorders>
            <w:shd w:val="clear" w:color="000000" w:fill="F2F2F2"/>
            <w:noWrap/>
            <w:vAlign w:val="center"/>
            <w:hideMark/>
          </w:tcPr>
          <w:p w14:paraId="727F118F"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0FD18AE5"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000000" w:fill="F2F2F2"/>
            <w:noWrap/>
            <w:vAlign w:val="center"/>
            <w:hideMark/>
          </w:tcPr>
          <w:p w14:paraId="74CA350D"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6582558E" w14:textId="77777777" w:rsidTr="008D6B2E">
        <w:trPr>
          <w:trHeight w:val="42"/>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C7D934B"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item15</w:t>
            </w:r>
          </w:p>
        </w:tc>
        <w:tc>
          <w:tcPr>
            <w:tcW w:w="1134" w:type="dxa"/>
            <w:tcBorders>
              <w:top w:val="nil"/>
              <w:left w:val="nil"/>
              <w:bottom w:val="single" w:sz="8" w:space="0" w:color="BFBFBF"/>
              <w:right w:val="single" w:sz="8" w:space="0" w:color="BFBFBF"/>
            </w:tcBorders>
            <w:shd w:val="clear" w:color="auto" w:fill="auto"/>
            <w:noWrap/>
            <w:vAlign w:val="center"/>
            <w:hideMark/>
          </w:tcPr>
          <w:p w14:paraId="68887B9C"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1209" w:type="dxa"/>
            <w:tcBorders>
              <w:top w:val="nil"/>
              <w:left w:val="nil"/>
              <w:bottom w:val="single" w:sz="8" w:space="0" w:color="BFBFBF"/>
              <w:right w:val="single" w:sz="8" w:space="0" w:color="BFBFBF"/>
            </w:tcBorders>
            <w:shd w:val="clear" w:color="auto" w:fill="auto"/>
            <w:noWrap/>
            <w:vAlign w:val="center"/>
            <w:hideMark/>
          </w:tcPr>
          <w:p w14:paraId="56FB07EE"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auto" w:fill="auto"/>
            <w:noWrap/>
            <w:vAlign w:val="center"/>
            <w:hideMark/>
          </w:tcPr>
          <w:p w14:paraId="776C23C1"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0AA48B58"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50D70AA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419175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item16</w:t>
            </w:r>
          </w:p>
        </w:tc>
        <w:tc>
          <w:tcPr>
            <w:tcW w:w="1134" w:type="dxa"/>
            <w:tcBorders>
              <w:top w:val="nil"/>
              <w:left w:val="nil"/>
              <w:bottom w:val="single" w:sz="8" w:space="0" w:color="BFBFBF"/>
              <w:right w:val="single" w:sz="8" w:space="0" w:color="BFBFBF"/>
            </w:tcBorders>
            <w:shd w:val="clear" w:color="000000" w:fill="F2F2F2"/>
            <w:noWrap/>
            <w:vAlign w:val="center"/>
            <w:hideMark/>
          </w:tcPr>
          <w:p w14:paraId="61A0DD30"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1209" w:type="dxa"/>
            <w:tcBorders>
              <w:top w:val="nil"/>
              <w:left w:val="nil"/>
              <w:bottom w:val="single" w:sz="8" w:space="0" w:color="BFBFBF"/>
              <w:right w:val="single" w:sz="8" w:space="0" w:color="BFBFBF"/>
            </w:tcBorders>
            <w:shd w:val="clear" w:color="000000" w:fill="F2F2F2"/>
            <w:noWrap/>
            <w:vAlign w:val="center"/>
            <w:hideMark/>
          </w:tcPr>
          <w:p w14:paraId="735254F3" w14:textId="77777777" w:rsidR="00E269B1" w:rsidRPr="00E269B1" w:rsidRDefault="00E269B1" w:rsidP="00AF362E">
            <w:pPr>
              <w:rPr>
                <w:color w:val="000000"/>
                <w:sz w:val="16"/>
                <w:szCs w:val="16"/>
                <w:lang w:eastAsia="en-NZ"/>
              </w:rPr>
            </w:pPr>
            <w:r w:rsidRPr="00E269B1">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3891D84D"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E23DCB6"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7EB8EA6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4C1A9D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item17</w:t>
            </w:r>
          </w:p>
        </w:tc>
        <w:tc>
          <w:tcPr>
            <w:tcW w:w="1134" w:type="dxa"/>
            <w:tcBorders>
              <w:top w:val="nil"/>
              <w:left w:val="nil"/>
              <w:bottom w:val="single" w:sz="8" w:space="0" w:color="BFBFBF"/>
              <w:right w:val="single" w:sz="8" w:space="0" w:color="BFBFBF"/>
            </w:tcBorders>
            <w:shd w:val="clear" w:color="auto" w:fill="auto"/>
            <w:noWrap/>
            <w:vAlign w:val="center"/>
            <w:hideMark/>
          </w:tcPr>
          <w:p w14:paraId="749EC918" w14:textId="77777777" w:rsidR="00E269B1" w:rsidRPr="00E269B1" w:rsidRDefault="00E269B1" w:rsidP="00AF362E">
            <w:pPr>
              <w:rPr>
                <w:color w:val="000000"/>
                <w:sz w:val="16"/>
                <w:szCs w:val="16"/>
                <w:lang w:eastAsia="en-NZ"/>
              </w:rPr>
            </w:pPr>
            <w:r w:rsidRPr="00E269B1">
              <w:rPr>
                <w:color w:val="000000"/>
                <w:sz w:val="16"/>
                <w:szCs w:val="16"/>
                <w:lang w:eastAsia="en-NZ"/>
              </w:rPr>
              <w:t>13</w:t>
            </w:r>
          </w:p>
        </w:tc>
        <w:tc>
          <w:tcPr>
            <w:tcW w:w="1209" w:type="dxa"/>
            <w:tcBorders>
              <w:top w:val="nil"/>
              <w:left w:val="nil"/>
              <w:bottom w:val="single" w:sz="8" w:space="0" w:color="BFBFBF"/>
              <w:right w:val="single" w:sz="8" w:space="0" w:color="BFBFBF"/>
            </w:tcBorders>
            <w:shd w:val="clear" w:color="auto" w:fill="auto"/>
            <w:noWrap/>
            <w:vAlign w:val="center"/>
            <w:hideMark/>
          </w:tcPr>
          <w:p w14:paraId="0A958BF1"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989" w:type="dxa"/>
            <w:tcBorders>
              <w:top w:val="nil"/>
              <w:left w:val="nil"/>
              <w:bottom w:val="single" w:sz="8" w:space="0" w:color="BFBFBF"/>
              <w:right w:val="single" w:sz="8" w:space="0" w:color="BFBFBF"/>
            </w:tcBorders>
            <w:shd w:val="clear" w:color="auto" w:fill="auto"/>
            <w:noWrap/>
            <w:vAlign w:val="center"/>
            <w:hideMark/>
          </w:tcPr>
          <w:p w14:paraId="26265785"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auto" w:fill="auto"/>
            <w:noWrap/>
            <w:vAlign w:val="center"/>
            <w:hideMark/>
          </w:tcPr>
          <w:p w14:paraId="27F86149"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4BEE9864"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1706980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item18</w:t>
            </w:r>
          </w:p>
        </w:tc>
        <w:tc>
          <w:tcPr>
            <w:tcW w:w="1134" w:type="dxa"/>
            <w:tcBorders>
              <w:top w:val="nil"/>
              <w:left w:val="nil"/>
              <w:bottom w:val="single" w:sz="8" w:space="0" w:color="BFBFBF"/>
              <w:right w:val="single" w:sz="8" w:space="0" w:color="BFBFBF"/>
            </w:tcBorders>
            <w:shd w:val="clear" w:color="000000" w:fill="D9D9D9"/>
            <w:noWrap/>
            <w:vAlign w:val="center"/>
            <w:hideMark/>
          </w:tcPr>
          <w:p w14:paraId="7302964F"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D9D9D9"/>
            <w:noWrap/>
            <w:vAlign w:val="center"/>
            <w:hideMark/>
          </w:tcPr>
          <w:p w14:paraId="454D5221"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989" w:type="dxa"/>
            <w:tcBorders>
              <w:top w:val="nil"/>
              <w:left w:val="nil"/>
              <w:bottom w:val="single" w:sz="8" w:space="0" w:color="BFBFBF"/>
              <w:right w:val="single" w:sz="8" w:space="0" w:color="BFBFBF"/>
            </w:tcBorders>
            <w:shd w:val="clear" w:color="000000" w:fill="F2F2F2"/>
            <w:noWrap/>
            <w:vAlign w:val="center"/>
            <w:hideMark/>
          </w:tcPr>
          <w:p w14:paraId="42549886"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426C3308"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r>
      <w:tr w:rsidR="00E269B1" w:rsidRPr="00E269B1" w14:paraId="336C2F7A"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1B59100B"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item19</w:t>
            </w:r>
          </w:p>
        </w:tc>
        <w:tc>
          <w:tcPr>
            <w:tcW w:w="1134" w:type="dxa"/>
            <w:tcBorders>
              <w:top w:val="nil"/>
              <w:left w:val="nil"/>
              <w:bottom w:val="single" w:sz="8" w:space="0" w:color="BFBFBF"/>
              <w:right w:val="single" w:sz="8" w:space="0" w:color="BFBFBF"/>
            </w:tcBorders>
            <w:shd w:val="clear" w:color="auto" w:fill="auto"/>
            <w:noWrap/>
            <w:vAlign w:val="center"/>
            <w:hideMark/>
          </w:tcPr>
          <w:p w14:paraId="42C9360F"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3C2BC2E7"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auto" w:fill="auto"/>
            <w:noWrap/>
            <w:vAlign w:val="center"/>
            <w:hideMark/>
          </w:tcPr>
          <w:p w14:paraId="75E0EF8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5151350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C0D9180"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8661E4E"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item20</w:t>
            </w:r>
          </w:p>
        </w:tc>
        <w:tc>
          <w:tcPr>
            <w:tcW w:w="1134" w:type="dxa"/>
            <w:tcBorders>
              <w:top w:val="nil"/>
              <w:left w:val="nil"/>
              <w:bottom w:val="single" w:sz="8" w:space="0" w:color="BFBFBF"/>
              <w:right w:val="single" w:sz="8" w:space="0" w:color="BFBFBF"/>
            </w:tcBorders>
            <w:shd w:val="clear" w:color="000000" w:fill="F2F2F2"/>
            <w:noWrap/>
            <w:vAlign w:val="center"/>
            <w:hideMark/>
          </w:tcPr>
          <w:p w14:paraId="60A57F02"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000000" w:fill="F2F2F2"/>
            <w:noWrap/>
            <w:vAlign w:val="center"/>
            <w:hideMark/>
          </w:tcPr>
          <w:p w14:paraId="4806666A"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000000" w:fill="F2F2F2"/>
            <w:noWrap/>
            <w:vAlign w:val="center"/>
            <w:hideMark/>
          </w:tcPr>
          <w:p w14:paraId="3893BF8F"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17289CA1"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24B42BB7"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F939A23"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item21</w:t>
            </w:r>
          </w:p>
        </w:tc>
        <w:tc>
          <w:tcPr>
            <w:tcW w:w="1134" w:type="dxa"/>
            <w:tcBorders>
              <w:top w:val="nil"/>
              <w:left w:val="nil"/>
              <w:bottom w:val="single" w:sz="8" w:space="0" w:color="BFBFBF"/>
              <w:right w:val="single" w:sz="8" w:space="0" w:color="BFBFBF"/>
            </w:tcBorders>
            <w:shd w:val="clear" w:color="auto" w:fill="auto"/>
            <w:noWrap/>
            <w:vAlign w:val="center"/>
            <w:hideMark/>
          </w:tcPr>
          <w:p w14:paraId="5C8D2B39"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2EC002F3"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auto" w:fill="auto"/>
            <w:noWrap/>
            <w:vAlign w:val="center"/>
            <w:hideMark/>
          </w:tcPr>
          <w:p w14:paraId="173DE492"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C7662AC"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6120CC3B"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EFDCD0B"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item22</w:t>
            </w:r>
          </w:p>
        </w:tc>
        <w:tc>
          <w:tcPr>
            <w:tcW w:w="1134" w:type="dxa"/>
            <w:tcBorders>
              <w:top w:val="nil"/>
              <w:left w:val="nil"/>
              <w:bottom w:val="single" w:sz="8" w:space="0" w:color="BFBFBF"/>
              <w:right w:val="single" w:sz="8" w:space="0" w:color="BFBFBF"/>
            </w:tcBorders>
            <w:shd w:val="clear" w:color="000000" w:fill="F2F2F2"/>
            <w:noWrap/>
            <w:vAlign w:val="center"/>
            <w:hideMark/>
          </w:tcPr>
          <w:p w14:paraId="59AFF65C"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000000" w:fill="F2F2F2"/>
            <w:noWrap/>
            <w:vAlign w:val="center"/>
            <w:hideMark/>
          </w:tcPr>
          <w:p w14:paraId="4E8B1FAE"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000000" w:fill="F2F2F2"/>
            <w:noWrap/>
            <w:vAlign w:val="center"/>
            <w:hideMark/>
          </w:tcPr>
          <w:p w14:paraId="4A4B4481"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48FF11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5A750368"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4247DB36"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item23</w:t>
            </w:r>
          </w:p>
        </w:tc>
        <w:tc>
          <w:tcPr>
            <w:tcW w:w="1134" w:type="dxa"/>
            <w:tcBorders>
              <w:top w:val="nil"/>
              <w:left w:val="nil"/>
              <w:bottom w:val="single" w:sz="8" w:space="0" w:color="BFBFBF"/>
              <w:right w:val="single" w:sz="8" w:space="0" w:color="BFBFBF"/>
            </w:tcBorders>
            <w:shd w:val="clear" w:color="auto" w:fill="auto"/>
            <w:noWrap/>
            <w:vAlign w:val="center"/>
            <w:hideMark/>
          </w:tcPr>
          <w:p w14:paraId="59B1700C"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07245680" w14:textId="77777777" w:rsidR="00E269B1" w:rsidRPr="00E269B1" w:rsidRDefault="00E269B1" w:rsidP="00AF362E">
            <w:pPr>
              <w:rPr>
                <w:color w:val="000000"/>
                <w:sz w:val="16"/>
                <w:szCs w:val="16"/>
                <w:lang w:eastAsia="en-NZ"/>
              </w:rPr>
            </w:pPr>
            <w:r w:rsidRPr="00E269B1">
              <w:rPr>
                <w:color w:val="000000"/>
                <w:sz w:val="16"/>
                <w:szCs w:val="16"/>
                <w:lang w:eastAsia="en-NZ"/>
              </w:rPr>
              <w:t>22</w:t>
            </w:r>
          </w:p>
        </w:tc>
        <w:tc>
          <w:tcPr>
            <w:tcW w:w="989" w:type="dxa"/>
            <w:tcBorders>
              <w:top w:val="nil"/>
              <w:left w:val="nil"/>
              <w:bottom w:val="single" w:sz="8" w:space="0" w:color="BFBFBF"/>
              <w:right w:val="single" w:sz="8" w:space="0" w:color="BFBFBF"/>
            </w:tcBorders>
            <w:shd w:val="clear" w:color="auto" w:fill="auto"/>
            <w:noWrap/>
            <w:vAlign w:val="center"/>
            <w:hideMark/>
          </w:tcPr>
          <w:p w14:paraId="181733AF"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4D26897B"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02EAE57C"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61090C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item24</w:t>
            </w:r>
          </w:p>
        </w:tc>
        <w:tc>
          <w:tcPr>
            <w:tcW w:w="1134" w:type="dxa"/>
            <w:tcBorders>
              <w:top w:val="nil"/>
              <w:left w:val="nil"/>
              <w:bottom w:val="single" w:sz="8" w:space="0" w:color="BFBFBF"/>
              <w:right w:val="single" w:sz="8" w:space="0" w:color="BFBFBF"/>
            </w:tcBorders>
            <w:shd w:val="clear" w:color="000000" w:fill="F2F2F2"/>
            <w:noWrap/>
            <w:vAlign w:val="center"/>
            <w:hideMark/>
          </w:tcPr>
          <w:p w14:paraId="549041D8" w14:textId="77777777" w:rsidR="00E269B1" w:rsidRPr="00E269B1" w:rsidRDefault="00E269B1" w:rsidP="00AF362E">
            <w:pPr>
              <w:rPr>
                <w:color w:val="000000"/>
                <w:sz w:val="16"/>
                <w:szCs w:val="16"/>
                <w:lang w:eastAsia="en-NZ"/>
              </w:rPr>
            </w:pPr>
            <w:r w:rsidRPr="00E269B1">
              <w:rPr>
                <w:color w:val="000000"/>
                <w:sz w:val="16"/>
                <w:szCs w:val="16"/>
                <w:lang w:eastAsia="en-NZ"/>
              </w:rPr>
              <w:t>13</w:t>
            </w:r>
          </w:p>
        </w:tc>
        <w:tc>
          <w:tcPr>
            <w:tcW w:w="1209" w:type="dxa"/>
            <w:tcBorders>
              <w:top w:val="nil"/>
              <w:left w:val="nil"/>
              <w:bottom w:val="single" w:sz="8" w:space="0" w:color="BFBFBF"/>
              <w:right w:val="single" w:sz="8" w:space="0" w:color="BFBFBF"/>
            </w:tcBorders>
            <w:shd w:val="clear" w:color="000000" w:fill="F2F2F2"/>
            <w:noWrap/>
            <w:vAlign w:val="center"/>
            <w:hideMark/>
          </w:tcPr>
          <w:p w14:paraId="3D3AE3D8" w14:textId="77777777" w:rsidR="00E269B1" w:rsidRPr="00E269B1" w:rsidRDefault="00E269B1" w:rsidP="00AF362E">
            <w:pPr>
              <w:rPr>
                <w:color w:val="000000"/>
                <w:sz w:val="16"/>
                <w:szCs w:val="16"/>
                <w:lang w:eastAsia="en-NZ"/>
              </w:rPr>
            </w:pPr>
            <w:r w:rsidRPr="00E269B1">
              <w:rPr>
                <w:color w:val="000000"/>
                <w:sz w:val="16"/>
                <w:szCs w:val="16"/>
                <w:lang w:eastAsia="en-NZ"/>
              </w:rPr>
              <w:t>22</w:t>
            </w:r>
          </w:p>
        </w:tc>
        <w:tc>
          <w:tcPr>
            <w:tcW w:w="989" w:type="dxa"/>
            <w:tcBorders>
              <w:top w:val="nil"/>
              <w:left w:val="nil"/>
              <w:bottom w:val="single" w:sz="8" w:space="0" w:color="BFBFBF"/>
              <w:right w:val="single" w:sz="8" w:space="0" w:color="BFBFBF"/>
            </w:tcBorders>
            <w:shd w:val="clear" w:color="000000" w:fill="F2F2F2"/>
            <w:noWrap/>
            <w:vAlign w:val="center"/>
            <w:hideMark/>
          </w:tcPr>
          <w:p w14:paraId="1743B049"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000000" w:fill="F2F2F2"/>
            <w:noWrap/>
            <w:vAlign w:val="center"/>
            <w:hideMark/>
          </w:tcPr>
          <w:p w14:paraId="1ACE99B1"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1D9A39E1"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087272C8"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item25</w:t>
            </w:r>
          </w:p>
        </w:tc>
        <w:tc>
          <w:tcPr>
            <w:tcW w:w="1134" w:type="dxa"/>
            <w:tcBorders>
              <w:top w:val="nil"/>
              <w:left w:val="nil"/>
              <w:bottom w:val="single" w:sz="8" w:space="0" w:color="BFBFBF"/>
              <w:right w:val="single" w:sz="8" w:space="0" w:color="BFBFBF"/>
            </w:tcBorders>
            <w:shd w:val="clear" w:color="auto" w:fill="auto"/>
            <w:noWrap/>
            <w:vAlign w:val="center"/>
            <w:hideMark/>
          </w:tcPr>
          <w:p w14:paraId="29AA26FF" w14:textId="77777777" w:rsidR="00E269B1" w:rsidRPr="00E269B1" w:rsidRDefault="00E269B1" w:rsidP="00AF362E">
            <w:pPr>
              <w:rPr>
                <w:color w:val="000000"/>
                <w:sz w:val="16"/>
                <w:szCs w:val="16"/>
                <w:lang w:eastAsia="en-NZ"/>
              </w:rPr>
            </w:pPr>
            <w:r w:rsidRPr="00E269B1">
              <w:rPr>
                <w:color w:val="000000"/>
                <w:sz w:val="16"/>
                <w:szCs w:val="16"/>
                <w:lang w:eastAsia="en-NZ"/>
              </w:rPr>
              <w:t>21</w:t>
            </w:r>
          </w:p>
        </w:tc>
        <w:tc>
          <w:tcPr>
            <w:tcW w:w="1209" w:type="dxa"/>
            <w:tcBorders>
              <w:top w:val="nil"/>
              <w:left w:val="nil"/>
              <w:bottom w:val="single" w:sz="8" w:space="0" w:color="BFBFBF"/>
              <w:right w:val="single" w:sz="8" w:space="0" w:color="BFBFBF"/>
            </w:tcBorders>
            <w:shd w:val="clear" w:color="auto" w:fill="auto"/>
            <w:noWrap/>
            <w:vAlign w:val="center"/>
            <w:hideMark/>
          </w:tcPr>
          <w:p w14:paraId="7FA6C1EA"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auto" w:fill="auto"/>
            <w:noWrap/>
            <w:vAlign w:val="center"/>
            <w:hideMark/>
          </w:tcPr>
          <w:p w14:paraId="3B6A354B"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auto" w:fill="auto"/>
            <w:noWrap/>
            <w:vAlign w:val="center"/>
            <w:hideMark/>
          </w:tcPr>
          <w:p w14:paraId="748B431A"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745BC3C6"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0AB22E9"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item26</w:t>
            </w:r>
          </w:p>
        </w:tc>
        <w:tc>
          <w:tcPr>
            <w:tcW w:w="1134" w:type="dxa"/>
            <w:tcBorders>
              <w:top w:val="nil"/>
              <w:left w:val="nil"/>
              <w:bottom w:val="single" w:sz="8" w:space="0" w:color="BFBFBF"/>
              <w:right w:val="single" w:sz="8" w:space="0" w:color="BFBFBF"/>
            </w:tcBorders>
            <w:shd w:val="clear" w:color="000000" w:fill="D9D9D9"/>
            <w:noWrap/>
            <w:vAlign w:val="center"/>
            <w:hideMark/>
          </w:tcPr>
          <w:p w14:paraId="00672B00"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F2F2F2"/>
            <w:noWrap/>
            <w:vAlign w:val="center"/>
            <w:hideMark/>
          </w:tcPr>
          <w:p w14:paraId="10E95720"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989" w:type="dxa"/>
            <w:tcBorders>
              <w:top w:val="nil"/>
              <w:left w:val="nil"/>
              <w:bottom w:val="single" w:sz="8" w:space="0" w:color="BFBFBF"/>
              <w:right w:val="single" w:sz="8" w:space="0" w:color="BFBFBF"/>
            </w:tcBorders>
            <w:shd w:val="clear" w:color="000000" w:fill="F2F2F2"/>
            <w:noWrap/>
            <w:vAlign w:val="center"/>
            <w:hideMark/>
          </w:tcPr>
          <w:p w14:paraId="62C01BF9"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7EFE143F"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0313F03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F726BC0"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item27</w:t>
            </w:r>
          </w:p>
        </w:tc>
        <w:tc>
          <w:tcPr>
            <w:tcW w:w="1134" w:type="dxa"/>
            <w:tcBorders>
              <w:top w:val="nil"/>
              <w:left w:val="nil"/>
              <w:bottom w:val="single" w:sz="8" w:space="0" w:color="BFBFBF"/>
              <w:right w:val="single" w:sz="8" w:space="0" w:color="BFBFBF"/>
            </w:tcBorders>
            <w:shd w:val="clear" w:color="auto" w:fill="auto"/>
            <w:noWrap/>
            <w:vAlign w:val="center"/>
            <w:hideMark/>
          </w:tcPr>
          <w:p w14:paraId="639CA972" w14:textId="77777777" w:rsidR="00E269B1" w:rsidRPr="00E269B1" w:rsidRDefault="00E269B1" w:rsidP="00AF362E">
            <w:pPr>
              <w:rPr>
                <w:color w:val="000000"/>
                <w:sz w:val="16"/>
                <w:szCs w:val="16"/>
                <w:lang w:eastAsia="en-NZ"/>
              </w:rPr>
            </w:pPr>
            <w:r w:rsidRPr="00E269B1">
              <w:rPr>
                <w:color w:val="000000"/>
                <w:sz w:val="16"/>
                <w:szCs w:val="16"/>
                <w:lang w:eastAsia="en-NZ"/>
              </w:rPr>
              <w:t>21</w:t>
            </w:r>
          </w:p>
        </w:tc>
        <w:tc>
          <w:tcPr>
            <w:tcW w:w="1209" w:type="dxa"/>
            <w:tcBorders>
              <w:top w:val="nil"/>
              <w:left w:val="nil"/>
              <w:bottom w:val="single" w:sz="8" w:space="0" w:color="BFBFBF"/>
              <w:right w:val="single" w:sz="8" w:space="0" w:color="BFBFBF"/>
            </w:tcBorders>
            <w:shd w:val="clear" w:color="auto" w:fill="auto"/>
            <w:noWrap/>
            <w:vAlign w:val="center"/>
            <w:hideMark/>
          </w:tcPr>
          <w:p w14:paraId="0C1D6EA2"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989" w:type="dxa"/>
            <w:tcBorders>
              <w:top w:val="nil"/>
              <w:left w:val="nil"/>
              <w:bottom w:val="single" w:sz="8" w:space="0" w:color="BFBFBF"/>
              <w:right w:val="single" w:sz="8" w:space="0" w:color="BFBFBF"/>
            </w:tcBorders>
            <w:shd w:val="clear" w:color="auto" w:fill="auto"/>
            <w:noWrap/>
            <w:vAlign w:val="center"/>
            <w:hideMark/>
          </w:tcPr>
          <w:p w14:paraId="6029E5C3"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auto" w:fill="auto"/>
            <w:noWrap/>
            <w:vAlign w:val="center"/>
            <w:hideMark/>
          </w:tcPr>
          <w:p w14:paraId="42604A6C"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DC245E2"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EF460A7"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item28</w:t>
            </w:r>
          </w:p>
        </w:tc>
        <w:tc>
          <w:tcPr>
            <w:tcW w:w="1134" w:type="dxa"/>
            <w:tcBorders>
              <w:top w:val="nil"/>
              <w:left w:val="nil"/>
              <w:bottom w:val="single" w:sz="8" w:space="0" w:color="BFBFBF"/>
              <w:right w:val="single" w:sz="8" w:space="0" w:color="BFBFBF"/>
            </w:tcBorders>
            <w:shd w:val="clear" w:color="000000" w:fill="F2F2F2"/>
            <w:noWrap/>
            <w:vAlign w:val="center"/>
            <w:hideMark/>
          </w:tcPr>
          <w:p w14:paraId="702CB03F"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1209" w:type="dxa"/>
            <w:tcBorders>
              <w:top w:val="nil"/>
              <w:left w:val="nil"/>
              <w:bottom w:val="single" w:sz="8" w:space="0" w:color="BFBFBF"/>
              <w:right w:val="single" w:sz="8" w:space="0" w:color="BFBFBF"/>
            </w:tcBorders>
            <w:shd w:val="clear" w:color="000000" w:fill="F2F2F2"/>
            <w:noWrap/>
            <w:vAlign w:val="center"/>
            <w:hideMark/>
          </w:tcPr>
          <w:p w14:paraId="7D725FF6"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989" w:type="dxa"/>
            <w:tcBorders>
              <w:top w:val="nil"/>
              <w:left w:val="nil"/>
              <w:bottom w:val="single" w:sz="8" w:space="0" w:color="BFBFBF"/>
              <w:right w:val="single" w:sz="8" w:space="0" w:color="BFBFBF"/>
            </w:tcBorders>
            <w:shd w:val="clear" w:color="000000" w:fill="F2F2F2"/>
            <w:noWrap/>
            <w:vAlign w:val="center"/>
            <w:hideMark/>
          </w:tcPr>
          <w:p w14:paraId="27D862F8"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3598EA6"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260ED671"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0FF9ED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item29</w:t>
            </w:r>
          </w:p>
        </w:tc>
        <w:tc>
          <w:tcPr>
            <w:tcW w:w="1134" w:type="dxa"/>
            <w:tcBorders>
              <w:top w:val="nil"/>
              <w:left w:val="nil"/>
              <w:bottom w:val="single" w:sz="8" w:space="0" w:color="BFBFBF"/>
              <w:right w:val="single" w:sz="8" w:space="0" w:color="BFBFBF"/>
            </w:tcBorders>
            <w:shd w:val="clear" w:color="auto" w:fill="auto"/>
            <w:noWrap/>
            <w:vAlign w:val="center"/>
            <w:hideMark/>
          </w:tcPr>
          <w:p w14:paraId="197D1FE8"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1209" w:type="dxa"/>
            <w:tcBorders>
              <w:top w:val="nil"/>
              <w:left w:val="nil"/>
              <w:bottom w:val="single" w:sz="8" w:space="0" w:color="BFBFBF"/>
              <w:right w:val="single" w:sz="8" w:space="0" w:color="BFBFBF"/>
            </w:tcBorders>
            <w:shd w:val="clear" w:color="auto" w:fill="auto"/>
            <w:noWrap/>
            <w:vAlign w:val="center"/>
            <w:hideMark/>
          </w:tcPr>
          <w:p w14:paraId="703DC88B"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989" w:type="dxa"/>
            <w:tcBorders>
              <w:top w:val="nil"/>
              <w:left w:val="nil"/>
              <w:bottom w:val="single" w:sz="8" w:space="0" w:color="BFBFBF"/>
              <w:right w:val="single" w:sz="8" w:space="0" w:color="BFBFBF"/>
            </w:tcBorders>
            <w:shd w:val="clear" w:color="auto" w:fill="auto"/>
            <w:noWrap/>
            <w:vAlign w:val="center"/>
            <w:hideMark/>
          </w:tcPr>
          <w:p w14:paraId="0D435E5B"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6C878539"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59E28C89"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24574E9"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item30</w:t>
            </w:r>
          </w:p>
        </w:tc>
        <w:tc>
          <w:tcPr>
            <w:tcW w:w="1134" w:type="dxa"/>
            <w:tcBorders>
              <w:top w:val="nil"/>
              <w:left w:val="nil"/>
              <w:bottom w:val="single" w:sz="8" w:space="0" w:color="BFBFBF"/>
              <w:right w:val="single" w:sz="8" w:space="0" w:color="BFBFBF"/>
            </w:tcBorders>
            <w:shd w:val="clear" w:color="000000" w:fill="F2F2F2"/>
            <w:noWrap/>
            <w:vAlign w:val="center"/>
            <w:hideMark/>
          </w:tcPr>
          <w:p w14:paraId="5DA2C989"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491A8421"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989" w:type="dxa"/>
            <w:tcBorders>
              <w:top w:val="nil"/>
              <w:left w:val="nil"/>
              <w:bottom w:val="single" w:sz="8" w:space="0" w:color="BFBFBF"/>
              <w:right w:val="single" w:sz="8" w:space="0" w:color="BFBFBF"/>
            </w:tcBorders>
            <w:shd w:val="clear" w:color="000000" w:fill="F2F2F2"/>
            <w:noWrap/>
            <w:vAlign w:val="center"/>
            <w:hideMark/>
          </w:tcPr>
          <w:p w14:paraId="194BCD64"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0C134248"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56EBC229"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3364F71"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item31</w:t>
            </w:r>
          </w:p>
        </w:tc>
        <w:tc>
          <w:tcPr>
            <w:tcW w:w="1134" w:type="dxa"/>
            <w:tcBorders>
              <w:top w:val="nil"/>
              <w:left w:val="nil"/>
              <w:bottom w:val="single" w:sz="8" w:space="0" w:color="BFBFBF"/>
              <w:right w:val="single" w:sz="8" w:space="0" w:color="BFBFBF"/>
            </w:tcBorders>
            <w:shd w:val="clear" w:color="auto" w:fill="auto"/>
            <w:noWrap/>
            <w:vAlign w:val="center"/>
            <w:hideMark/>
          </w:tcPr>
          <w:p w14:paraId="35927C91"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auto" w:fill="auto"/>
            <w:noWrap/>
            <w:vAlign w:val="center"/>
            <w:hideMark/>
          </w:tcPr>
          <w:p w14:paraId="4FC18A56" w14:textId="77777777" w:rsidR="00E269B1" w:rsidRPr="00E269B1" w:rsidRDefault="00E269B1" w:rsidP="00AF362E">
            <w:pPr>
              <w:rPr>
                <w:color w:val="000000"/>
                <w:sz w:val="16"/>
                <w:szCs w:val="16"/>
                <w:lang w:eastAsia="en-NZ"/>
              </w:rPr>
            </w:pPr>
            <w:r w:rsidRPr="00E269B1">
              <w:rPr>
                <w:color w:val="000000"/>
                <w:sz w:val="16"/>
                <w:szCs w:val="16"/>
                <w:lang w:eastAsia="en-NZ"/>
              </w:rPr>
              <w:t>28</w:t>
            </w:r>
          </w:p>
        </w:tc>
        <w:tc>
          <w:tcPr>
            <w:tcW w:w="989" w:type="dxa"/>
            <w:tcBorders>
              <w:top w:val="nil"/>
              <w:left w:val="nil"/>
              <w:bottom w:val="single" w:sz="8" w:space="0" w:color="BFBFBF"/>
              <w:right w:val="single" w:sz="8" w:space="0" w:color="BFBFBF"/>
            </w:tcBorders>
            <w:shd w:val="clear" w:color="auto" w:fill="auto"/>
            <w:noWrap/>
            <w:vAlign w:val="center"/>
            <w:hideMark/>
          </w:tcPr>
          <w:p w14:paraId="4EE4DFE8"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D6E98E1"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4D7FA868"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D84713E"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item32</w:t>
            </w:r>
          </w:p>
        </w:tc>
        <w:tc>
          <w:tcPr>
            <w:tcW w:w="1134" w:type="dxa"/>
            <w:tcBorders>
              <w:top w:val="nil"/>
              <w:left w:val="nil"/>
              <w:bottom w:val="single" w:sz="8" w:space="0" w:color="BFBFBF"/>
              <w:right w:val="single" w:sz="8" w:space="0" w:color="BFBFBF"/>
            </w:tcBorders>
            <w:shd w:val="clear" w:color="000000" w:fill="D9D9D9"/>
            <w:noWrap/>
            <w:vAlign w:val="center"/>
            <w:hideMark/>
          </w:tcPr>
          <w:p w14:paraId="4CF922E7"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F2F2F2"/>
            <w:noWrap/>
            <w:vAlign w:val="center"/>
            <w:hideMark/>
          </w:tcPr>
          <w:p w14:paraId="0CBCC76C" w14:textId="77777777" w:rsidR="00E269B1" w:rsidRPr="00E269B1" w:rsidRDefault="00E269B1" w:rsidP="00AF362E">
            <w:pPr>
              <w:rPr>
                <w:color w:val="000000"/>
                <w:sz w:val="16"/>
                <w:szCs w:val="16"/>
                <w:lang w:eastAsia="en-NZ"/>
              </w:rPr>
            </w:pPr>
            <w:r w:rsidRPr="00E269B1">
              <w:rPr>
                <w:color w:val="000000"/>
                <w:sz w:val="16"/>
                <w:szCs w:val="16"/>
                <w:lang w:eastAsia="en-NZ"/>
              </w:rPr>
              <w:t>28</w:t>
            </w:r>
          </w:p>
        </w:tc>
        <w:tc>
          <w:tcPr>
            <w:tcW w:w="989" w:type="dxa"/>
            <w:tcBorders>
              <w:top w:val="nil"/>
              <w:left w:val="nil"/>
              <w:bottom w:val="single" w:sz="8" w:space="0" w:color="BFBFBF"/>
              <w:right w:val="single" w:sz="8" w:space="0" w:color="BFBFBF"/>
            </w:tcBorders>
            <w:shd w:val="clear" w:color="000000" w:fill="F2F2F2"/>
            <w:noWrap/>
            <w:vAlign w:val="center"/>
            <w:hideMark/>
          </w:tcPr>
          <w:p w14:paraId="413B22FF"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14BA6349"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3535B6CC"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56C8329"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item33</w:t>
            </w:r>
          </w:p>
        </w:tc>
        <w:tc>
          <w:tcPr>
            <w:tcW w:w="1134" w:type="dxa"/>
            <w:tcBorders>
              <w:top w:val="nil"/>
              <w:left w:val="nil"/>
              <w:bottom w:val="single" w:sz="8" w:space="0" w:color="BFBFBF"/>
              <w:right w:val="single" w:sz="8" w:space="0" w:color="BFBFBF"/>
            </w:tcBorders>
            <w:shd w:val="clear" w:color="auto" w:fill="auto"/>
            <w:noWrap/>
            <w:vAlign w:val="center"/>
            <w:hideMark/>
          </w:tcPr>
          <w:p w14:paraId="1EF08C85"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auto" w:fill="auto"/>
            <w:noWrap/>
            <w:vAlign w:val="center"/>
            <w:hideMark/>
          </w:tcPr>
          <w:p w14:paraId="0D4B8EE1"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989" w:type="dxa"/>
            <w:tcBorders>
              <w:top w:val="nil"/>
              <w:left w:val="nil"/>
              <w:bottom w:val="single" w:sz="8" w:space="0" w:color="BFBFBF"/>
              <w:right w:val="single" w:sz="8" w:space="0" w:color="BFBFBF"/>
            </w:tcBorders>
            <w:shd w:val="clear" w:color="auto" w:fill="auto"/>
            <w:noWrap/>
            <w:vAlign w:val="center"/>
            <w:hideMark/>
          </w:tcPr>
          <w:p w14:paraId="26B508EF"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0A247F56" w14:textId="77777777" w:rsidR="00E269B1" w:rsidRPr="00E269B1" w:rsidRDefault="00E269B1" w:rsidP="00AF362E">
            <w:pPr>
              <w:rPr>
                <w:color w:val="000000"/>
                <w:sz w:val="16"/>
                <w:szCs w:val="16"/>
                <w:lang w:eastAsia="en-NZ"/>
              </w:rPr>
            </w:pPr>
            <w:r w:rsidRPr="00E269B1">
              <w:rPr>
                <w:color w:val="000000"/>
                <w:sz w:val="16"/>
                <w:szCs w:val="16"/>
                <w:lang w:eastAsia="en-NZ"/>
              </w:rPr>
              <w:t>6</w:t>
            </w:r>
          </w:p>
        </w:tc>
      </w:tr>
      <w:tr w:rsidR="00E269B1" w:rsidRPr="00E269B1" w14:paraId="61666544"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8B27E8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item34</w:t>
            </w:r>
          </w:p>
        </w:tc>
        <w:tc>
          <w:tcPr>
            <w:tcW w:w="1134" w:type="dxa"/>
            <w:tcBorders>
              <w:top w:val="nil"/>
              <w:left w:val="nil"/>
              <w:bottom w:val="single" w:sz="8" w:space="0" w:color="BFBFBF"/>
              <w:right w:val="single" w:sz="8" w:space="0" w:color="BFBFBF"/>
            </w:tcBorders>
            <w:shd w:val="clear" w:color="000000" w:fill="F2F2F2"/>
            <w:noWrap/>
            <w:vAlign w:val="center"/>
            <w:hideMark/>
          </w:tcPr>
          <w:p w14:paraId="22AE149C"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0B59644A"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989" w:type="dxa"/>
            <w:tcBorders>
              <w:top w:val="nil"/>
              <w:left w:val="nil"/>
              <w:bottom w:val="single" w:sz="8" w:space="0" w:color="BFBFBF"/>
              <w:right w:val="single" w:sz="8" w:space="0" w:color="BFBFBF"/>
            </w:tcBorders>
            <w:shd w:val="clear" w:color="000000" w:fill="F2F2F2"/>
            <w:noWrap/>
            <w:vAlign w:val="center"/>
            <w:hideMark/>
          </w:tcPr>
          <w:p w14:paraId="7F692686"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7FF7D2FE" w14:textId="77777777" w:rsidR="00E269B1" w:rsidRPr="00E269B1" w:rsidRDefault="00E269B1" w:rsidP="00AF362E">
            <w:pPr>
              <w:rPr>
                <w:color w:val="000000"/>
                <w:sz w:val="16"/>
                <w:szCs w:val="16"/>
                <w:lang w:eastAsia="en-NZ"/>
              </w:rPr>
            </w:pPr>
            <w:r w:rsidRPr="00E269B1">
              <w:rPr>
                <w:color w:val="000000"/>
                <w:sz w:val="16"/>
                <w:szCs w:val="16"/>
                <w:lang w:eastAsia="en-NZ"/>
              </w:rPr>
              <w:t>6</w:t>
            </w:r>
          </w:p>
        </w:tc>
      </w:tr>
      <w:tr w:rsidR="00E269B1" w:rsidRPr="00E269B1" w14:paraId="15C95750"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047B972"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item35</w:t>
            </w:r>
          </w:p>
        </w:tc>
        <w:tc>
          <w:tcPr>
            <w:tcW w:w="1134" w:type="dxa"/>
            <w:tcBorders>
              <w:top w:val="nil"/>
              <w:left w:val="nil"/>
              <w:bottom w:val="single" w:sz="8" w:space="0" w:color="BFBFBF"/>
              <w:right w:val="single" w:sz="8" w:space="0" w:color="BFBFBF"/>
            </w:tcBorders>
            <w:shd w:val="clear" w:color="auto" w:fill="auto"/>
            <w:noWrap/>
            <w:vAlign w:val="center"/>
            <w:hideMark/>
          </w:tcPr>
          <w:p w14:paraId="4AA218CA"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479DD712" w14:textId="77777777" w:rsidR="00E269B1" w:rsidRPr="00E269B1" w:rsidRDefault="00E269B1" w:rsidP="00AF362E">
            <w:pPr>
              <w:rPr>
                <w:color w:val="000000"/>
                <w:sz w:val="16"/>
                <w:szCs w:val="16"/>
                <w:lang w:eastAsia="en-NZ"/>
              </w:rPr>
            </w:pPr>
            <w:r w:rsidRPr="00E269B1">
              <w:rPr>
                <w:color w:val="000000"/>
                <w:sz w:val="16"/>
                <w:szCs w:val="16"/>
                <w:lang w:eastAsia="en-NZ"/>
              </w:rPr>
              <w:t>26</w:t>
            </w:r>
          </w:p>
        </w:tc>
        <w:tc>
          <w:tcPr>
            <w:tcW w:w="989" w:type="dxa"/>
            <w:tcBorders>
              <w:top w:val="nil"/>
              <w:left w:val="nil"/>
              <w:bottom w:val="single" w:sz="8" w:space="0" w:color="BFBFBF"/>
              <w:right w:val="single" w:sz="8" w:space="0" w:color="BFBFBF"/>
            </w:tcBorders>
            <w:shd w:val="clear" w:color="auto" w:fill="auto"/>
            <w:noWrap/>
            <w:vAlign w:val="center"/>
            <w:hideMark/>
          </w:tcPr>
          <w:p w14:paraId="0D50B7A4"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6CA1C9D8"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2423060"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82744A5"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item36</w:t>
            </w:r>
          </w:p>
        </w:tc>
        <w:tc>
          <w:tcPr>
            <w:tcW w:w="1134" w:type="dxa"/>
            <w:tcBorders>
              <w:top w:val="nil"/>
              <w:left w:val="nil"/>
              <w:bottom w:val="single" w:sz="8" w:space="0" w:color="BFBFBF"/>
              <w:right w:val="single" w:sz="8" w:space="0" w:color="BFBFBF"/>
            </w:tcBorders>
            <w:shd w:val="clear" w:color="000000" w:fill="F2F2F2"/>
            <w:noWrap/>
            <w:vAlign w:val="center"/>
            <w:hideMark/>
          </w:tcPr>
          <w:p w14:paraId="45814AB4"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0C1BB04A" w14:textId="77777777" w:rsidR="00E269B1" w:rsidRPr="00E269B1" w:rsidRDefault="00E269B1" w:rsidP="00AF362E">
            <w:pPr>
              <w:rPr>
                <w:color w:val="000000"/>
                <w:sz w:val="16"/>
                <w:szCs w:val="16"/>
                <w:lang w:eastAsia="en-NZ"/>
              </w:rPr>
            </w:pPr>
            <w:r w:rsidRPr="00E269B1">
              <w:rPr>
                <w:color w:val="000000"/>
                <w:sz w:val="16"/>
                <w:szCs w:val="16"/>
                <w:lang w:eastAsia="en-NZ"/>
              </w:rPr>
              <w:t>32</w:t>
            </w:r>
          </w:p>
        </w:tc>
        <w:tc>
          <w:tcPr>
            <w:tcW w:w="989" w:type="dxa"/>
            <w:tcBorders>
              <w:top w:val="nil"/>
              <w:left w:val="nil"/>
              <w:bottom w:val="single" w:sz="8" w:space="0" w:color="BFBFBF"/>
              <w:right w:val="single" w:sz="8" w:space="0" w:color="BFBFBF"/>
            </w:tcBorders>
            <w:shd w:val="clear" w:color="000000" w:fill="F2F2F2"/>
            <w:noWrap/>
            <w:vAlign w:val="center"/>
            <w:hideMark/>
          </w:tcPr>
          <w:p w14:paraId="1D46B2A5"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C401A6A" w14:textId="77777777" w:rsidR="00E269B1" w:rsidRPr="00E269B1" w:rsidRDefault="00E269B1" w:rsidP="00AF362E">
            <w:pPr>
              <w:rPr>
                <w:color w:val="000000"/>
                <w:sz w:val="16"/>
                <w:szCs w:val="16"/>
                <w:lang w:eastAsia="en-NZ"/>
              </w:rPr>
            </w:pPr>
            <w:r w:rsidRPr="00E269B1">
              <w:rPr>
                <w:color w:val="000000"/>
                <w:sz w:val="16"/>
                <w:szCs w:val="16"/>
                <w:lang w:eastAsia="en-NZ"/>
              </w:rPr>
              <w:t>6</w:t>
            </w:r>
          </w:p>
        </w:tc>
      </w:tr>
      <w:tr w:rsidR="00E269B1" w:rsidRPr="00E269B1" w14:paraId="76702523"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40467A83"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item37</w:t>
            </w:r>
          </w:p>
        </w:tc>
        <w:tc>
          <w:tcPr>
            <w:tcW w:w="1134" w:type="dxa"/>
            <w:tcBorders>
              <w:top w:val="nil"/>
              <w:left w:val="nil"/>
              <w:bottom w:val="single" w:sz="8" w:space="0" w:color="BFBFBF"/>
              <w:right w:val="single" w:sz="8" w:space="0" w:color="BFBFBF"/>
            </w:tcBorders>
            <w:shd w:val="clear" w:color="auto" w:fill="auto"/>
            <w:noWrap/>
            <w:vAlign w:val="center"/>
            <w:hideMark/>
          </w:tcPr>
          <w:p w14:paraId="6AD6D0CD" w14:textId="77777777" w:rsidR="00E269B1" w:rsidRPr="00E269B1" w:rsidRDefault="00E269B1" w:rsidP="00AF362E">
            <w:pPr>
              <w:rPr>
                <w:color w:val="000000"/>
                <w:sz w:val="16"/>
                <w:szCs w:val="16"/>
                <w:lang w:eastAsia="en-NZ"/>
              </w:rPr>
            </w:pPr>
            <w:r w:rsidRPr="00E269B1">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4E1537D1" w14:textId="77777777" w:rsidR="00E269B1" w:rsidRPr="00E269B1" w:rsidRDefault="00E269B1" w:rsidP="00AF362E">
            <w:pPr>
              <w:rPr>
                <w:color w:val="000000"/>
                <w:sz w:val="16"/>
                <w:szCs w:val="16"/>
                <w:lang w:eastAsia="en-NZ"/>
              </w:rPr>
            </w:pPr>
            <w:r w:rsidRPr="00E269B1">
              <w:rPr>
                <w:color w:val="000000"/>
                <w:sz w:val="16"/>
                <w:szCs w:val="16"/>
                <w:lang w:eastAsia="en-NZ"/>
              </w:rPr>
              <w:t>17</w:t>
            </w:r>
          </w:p>
        </w:tc>
        <w:tc>
          <w:tcPr>
            <w:tcW w:w="989" w:type="dxa"/>
            <w:tcBorders>
              <w:top w:val="nil"/>
              <w:left w:val="nil"/>
              <w:bottom w:val="single" w:sz="8" w:space="0" w:color="BFBFBF"/>
              <w:right w:val="single" w:sz="8" w:space="0" w:color="BFBFBF"/>
            </w:tcBorders>
            <w:shd w:val="clear" w:color="auto" w:fill="auto"/>
            <w:noWrap/>
            <w:vAlign w:val="center"/>
            <w:hideMark/>
          </w:tcPr>
          <w:p w14:paraId="1F0B23C5"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0968040D"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44639DC7"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74D9551"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item38</w:t>
            </w:r>
          </w:p>
        </w:tc>
        <w:tc>
          <w:tcPr>
            <w:tcW w:w="1134" w:type="dxa"/>
            <w:tcBorders>
              <w:top w:val="nil"/>
              <w:left w:val="nil"/>
              <w:bottom w:val="single" w:sz="8" w:space="0" w:color="BFBFBF"/>
              <w:right w:val="single" w:sz="8" w:space="0" w:color="BFBFBF"/>
            </w:tcBorders>
            <w:shd w:val="clear" w:color="000000" w:fill="F2F2F2"/>
            <w:noWrap/>
            <w:vAlign w:val="center"/>
            <w:hideMark/>
          </w:tcPr>
          <w:p w14:paraId="066629F5" w14:textId="77777777" w:rsidR="00E269B1" w:rsidRPr="00E269B1" w:rsidRDefault="00E269B1" w:rsidP="00AF362E">
            <w:pPr>
              <w:rPr>
                <w:color w:val="000000"/>
                <w:sz w:val="16"/>
                <w:szCs w:val="16"/>
                <w:lang w:eastAsia="en-NZ"/>
              </w:rPr>
            </w:pPr>
            <w:r w:rsidRPr="00E269B1">
              <w:rPr>
                <w:color w:val="000000"/>
                <w:sz w:val="16"/>
                <w:szCs w:val="16"/>
                <w:lang w:eastAsia="en-NZ"/>
              </w:rPr>
              <w:t>37</w:t>
            </w:r>
          </w:p>
        </w:tc>
        <w:tc>
          <w:tcPr>
            <w:tcW w:w="1209" w:type="dxa"/>
            <w:tcBorders>
              <w:top w:val="nil"/>
              <w:left w:val="nil"/>
              <w:bottom w:val="single" w:sz="8" w:space="0" w:color="BFBFBF"/>
              <w:right w:val="single" w:sz="8" w:space="0" w:color="BFBFBF"/>
            </w:tcBorders>
            <w:shd w:val="clear" w:color="000000" w:fill="F2F2F2"/>
            <w:noWrap/>
            <w:vAlign w:val="center"/>
            <w:hideMark/>
          </w:tcPr>
          <w:p w14:paraId="18645434" w14:textId="77777777" w:rsidR="00E269B1" w:rsidRPr="00E269B1" w:rsidRDefault="00E269B1" w:rsidP="00AF362E">
            <w:pPr>
              <w:rPr>
                <w:color w:val="000000"/>
                <w:sz w:val="16"/>
                <w:szCs w:val="16"/>
                <w:lang w:eastAsia="en-NZ"/>
              </w:rPr>
            </w:pPr>
            <w:r w:rsidRPr="00E269B1">
              <w:rPr>
                <w:color w:val="000000"/>
                <w:sz w:val="16"/>
                <w:szCs w:val="16"/>
                <w:lang w:eastAsia="en-NZ"/>
              </w:rPr>
              <w:t>37</w:t>
            </w:r>
          </w:p>
        </w:tc>
        <w:tc>
          <w:tcPr>
            <w:tcW w:w="989" w:type="dxa"/>
            <w:tcBorders>
              <w:top w:val="nil"/>
              <w:left w:val="nil"/>
              <w:bottom w:val="single" w:sz="8" w:space="0" w:color="BFBFBF"/>
              <w:right w:val="single" w:sz="8" w:space="0" w:color="BFBFBF"/>
            </w:tcBorders>
            <w:shd w:val="clear" w:color="000000" w:fill="F2F2F2"/>
            <w:noWrap/>
            <w:vAlign w:val="center"/>
            <w:hideMark/>
          </w:tcPr>
          <w:p w14:paraId="5BFF0B35"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000000" w:fill="F2F2F2"/>
            <w:noWrap/>
            <w:vAlign w:val="center"/>
            <w:hideMark/>
          </w:tcPr>
          <w:p w14:paraId="625DD28F"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62EA7DA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CA8AF5D"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item39</w:t>
            </w:r>
          </w:p>
        </w:tc>
        <w:tc>
          <w:tcPr>
            <w:tcW w:w="1134" w:type="dxa"/>
            <w:tcBorders>
              <w:top w:val="nil"/>
              <w:left w:val="nil"/>
              <w:bottom w:val="single" w:sz="8" w:space="0" w:color="BFBFBF"/>
              <w:right w:val="single" w:sz="8" w:space="0" w:color="BFBFBF"/>
            </w:tcBorders>
            <w:shd w:val="clear" w:color="auto" w:fill="auto"/>
            <w:noWrap/>
            <w:vAlign w:val="center"/>
            <w:hideMark/>
          </w:tcPr>
          <w:p w14:paraId="2E5C54FC" w14:textId="77777777" w:rsidR="00E269B1" w:rsidRPr="00E269B1" w:rsidRDefault="00E269B1" w:rsidP="00AF362E">
            <w:pPr>
              <w:rPr>
                <w:color w:val="000000"/>
                <w:sz w:val="16"/>
                <w:szCs w:val="16"/>
                <w:lang w:eastAsia="en-NZ"/>
              </w:rPr>
            </w:pPr>
            <w:r w:rsidRPr="00E269B1">
              <w:rPr>
                <w:color w:val="000000"/>
                <w:sz w:val="16"/>
                <w:szCs w:val="16"/>
                <w:lang w:eastAsia="en-NZ"/>
              </w:rPr>
              <w:t>37</w:t>
            </w:r>
          </w:p>
        </w:tc>
        <w:tc>
          <w:tcPr>
            <w:tcW w:w="1209" w:type="dxa"/>
            <w:tcBorders>
              <w:top w:val="nil"/>
              <w:left w:val="nil"/>
              <w:bottom w:val="single" w:sz="8" w:space="0" w:color="BFBFBF"/>
              <w:right w:val="single" w:sz="8" w:space="0" w:color="BFBFBF"/>
            </w:tcBorders>
            <w:shd w:val="clear" w:color="auto" w:fill="auto"/>
            <w:noWrap/>
            <w:vAlign w:val="center"/>
            <w:hideMark/>
          </w:tcPr>
          <w:p w14:paraId="273504FD" w14:textId="77777777" w:rsidR="00E269B1" w:rsidRPr="00E269B1" w:rsidRDefault="00E269B1" w:rsidP="00AF362E">
            <w:pPr>
              <w:rPr>
                <w:color w:val="000000"/>
                <w:sz w:val="16"/>
                <w:szCs w:val="16"/>
                <w:lang w:eastAsia="en-NZ"/>
              </w:rPr>
            </w:pPr>
            <w:r w:rsidRPr="00E269B1">
              <w:rPr>
                <w:color w:val="000000"/>
                <w:sz w:val="16"/>
                <w:szCs w:val="16"/>
                <w:lang w:eastAsia="en-NZ"/>
              </w:rPr>
              <w:t>37</w:t>
            </w:r>
          </w:p>
        </w:tc>
        <w:tc>
          <w:tcPr>
            <w:tcW w:w="989" w:type="dxa"/>
            <w:tcBorders>
              <w:top w:val="nil"/>
              <w:left w:val="nil"/>
              <w:bottom w:val="single" w:sz="8" w:space="0" w:color="BFBFBF"/>
              <w:right w:val="single" w:sz="8" w:space="0" w:color="BFBFBF"/>
            </w:tcBorders>
            <w:shd w:val="clear" w:color="auto" w:fill="auto"/>
            <w:noWrap/>
            <w:vAlign w:val="center"/>
            <w:hideMark/>
          </w:tcPr>
          <w:p w14:paraId="380D35A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c>
          <w:tcPr>
            <w:tcW w:w="989" w:type="dxa"/>
            <w:tcBorders>
              <w:top w:val="nil"/>
              <w:left w:val="nil"/>
              <w:bottom w:val="single" w:sz="8" w:space="0" w:color="BFBFBF"/>
              <w:right w:val="single" w:sz="8" w:space="0" w:color="BFBFBF"/>
            </w:tcBorders>
            <w:shd w:val="clear" w:color="auto" w:fill="auto"/>
            <w:noWrap/>
            <w:vAlign w:val="center"/>
            <w:hideMark/>
          </w:tcPr>
          <w:p w14:paraId="6DD0160A" w14:textId="77777777" w:rsidR="00E269B1" w:rsidRPr="00E269B1" w:rsidRDefault="00E269B1" w:rsidP="00AF362E">
            <w:pPr>
              <w:rPr>
                <w:color w:val="000000"/>
                <w:sz w:val="16"/>
                <w:szCs w:val="16"/>
                <w:lang w:eastAsia="en-NZ"/>
              </w:rPr>
            </w:pPr>
            <w:r w:rsidRPr="00E269B1">
              <w:rPr>
                <w:color w:val="000000"/>
                <w:sz w:val="16"/>
                <w:szCs w:val="16"/>
                <w:lang w:eastAsia="en-NZ"/>
              </w:rPr>
              <w:t>5</w:t>
            </w:r>
          </w:p>
        </w:tc>
      </w:tr>
      <w:tr w:rsidR="00E269B1" w:rsidRPr="00E269B1" w14:paraId="1561F4BF" w14:textId="77777777" w:rsidTr="008D6B2E">
        <w:trPr>
          <w:trHeight w:val="44"/>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8E48CB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item40</w:t>
            </w:r>
          </w:p>
        </w:tc>
        <w:tc>
          <w:tcPr>
            <w:tcW w:w="1134" w:type="dxa"/>
            <w:tcBorders>
              <w:top w:val="nil"/>
              <w:left w:val="nil"/>
              <w:bottom w:val="single" w:sz="8" w:space="0" w:color="BFBFBF"/>
              <w:right w:val="single" w:sz="8" w:space="0" w:color="BFBFBF"/>
            </w:tcBorders>
            <w:shd w:val="clear" w:color="000000" w:fill="D9D9D9"/>
            <w:noWrap/>
            <w:vAlign w:val="center"/>
            <w:hideMark/>
          </w:tcPr>
          <w:p w14:paraId="52F863FC" w14:textId="77777777" w:rsidR="00E269B1" w:rsidRPr="00E269B1" w:rsidRDefault="00E269B1" w:rsidP="00AF362E">
            <w:pPr>
              <w:rPr>
                <w:color w:val="000000"/>
                <w:sz w:val="16"/>
                <w:szCs w:val="16"/>
                <w:lang w:eastAsia="en-NZ"/>
              </w:rPr>
            </w:pPr>
            <w:r w:rsidRPr="00E269B1">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F2F2F2"/>
            <w:noWrap/>
            <w:vAlign w:val="center"/>
            <w:hideMark/>
          </w:tcPr>
          <w:p w14:paraId="1E20AA44"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6630C5DF" w14:textId="77777777" w:rsidR="00E269B1" w:rsidRPr="00E269B1" w:rsidRDefault="00E269B1" w:rsidP="00AF362E">
            <w:pPr>
              <w:rPr>
                <w:color w:val="000000"/>
                <w:sz w:val="16"/>
                <w:szCs w:val="16"/>
                <w:lang w:eastAsia="en-NZ"/>
              </w:rPr>
            </w:pPr>
            <w:r w:rsidRPr="00E269B1">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7823EDAD"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r>
      <w:tr w:rsidR="00E269B1" w:rsidRPr="00E269B1" w14:paraId="5857CBD6"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9F6F044"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item41</w:t>
            </w:r>
          </w:p>
        </w:tc>
        <w:tc>
          <w:tcPr>
            <w:tcW w:w="1134" w:type="dxa"/>
            <w:tcBorders>
              <w:top w:val="nil"/>
              <w:left w:val="nil"/>
              <w:bottom w:val="single" w:sz="8" w:space="0" w:color="BFBFBF"/>
              <w:right w:val="single" w:sz="8" w:space="0" w:color="BFBFBF"/>
            </w:tcBorders>
            <w:shd w:val="clear" w:color="auto" w:fill="auto"/>
            <w:noWrap/>
            <w:vAlign w:val="center"/>
            <w:hideMark/>
          </w:tcPr>
          <w:p w14:paraId="416C5957"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74AC2303"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auto" w:fill="auto"/>
            <w:noWrap/>
            <w:vAlign w:val="center"/>
            <w:hideMark/>
          </w:tcPr>
          <w:p w14:paraId="0AC82414"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B1CBBA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7C91245E"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3B33A63C"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item42</w:t>
            </w:r>
          </w:p>
        </w:tc>
        <w:tc>
          <w:tcPr>
            <w:tcW w:w="1134" w:type="dxa"/>
            <w:tcBorders>
              <w:top w:val="nil"/>
              <w:left w:val="nil"/>
              <w:bottom w:val="single" w:sz="8" w:space="0" w:color="BFBFBF"/>
              <w:right w:val="single" w:sz="8" w:space="0" w:color="BFBFBF"/>
            </w:tcBorders>
            <w:shd w:val="clear" w:color="000000" w:fill="F2F2F2"/>
            <w:noWrap/>
            <w:vAlign w:val="center"/>
            <w:hideMark/>
          </w:tcPr>
          <w:p w14:paraId="477D2F4D"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000000" w:fill="F2F2F2"/>
            <w:noWrap/>
            <w:vAlign w:val="center"/>
            <w:hideMark/>
          </w:tcPr>
          <w:p w14:paraId="288C7F35"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000000" w:fill="F2F2F2"/>
            <w:noWrap/>
            <w:vAlign w:val="center"/>
            <w:hideMark/>
          </w:tcPr>
          <w:p w14:paraId="30F8CCC0"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53D3B9F1"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1EFA24DC"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72D37D6"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item43</w:t>
            </w:r>
          </w:p>
        </w:tc>
        <w:tc>
          <w:tcPr>
            <w:tcW w:w="1134" w:type="dxa"/>
            <w:tcBorders>
              <w:top w:val="nil"/>
              <w:left w:val="nil"/>
              <w:bottom w:val="single" w:sz="8" w:space="0" w:color="BFBFBF"/>
              <w:right w:val="single" w:sz="8" w:space="0" w:color="BFBFBF"/>
            </w:tcBorders>
            <w:shd w:val="clear" w:color="auto" w:fill="auto"/>
            <w:noWrap/>
            <w:vAlign w:val="center"/>
            <w:hideMark/>
          </w:tcPr>
          <w:p w14:paraId="4CC3F92A"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153A93BB"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auto" w:fill="auto"/>
            <w:noWrap/>
            <w:vAlign w:val="center"/>
            <w:hideMark/>
          </w:tcPr>
          <w:p w14:paraId="03422DC0"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1CE1D6CD"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4B4C2C1"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D64C0BE"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item44</w:t>
            </w:r>
          </w:p>
        </w:tc>
        <w:tc>
          <w:tcPr>
            <w:tcW w:w="1134" w:type="dxa"/>
            <w:tcBorders>
              <w:top w:val="nil"/>
              <w:left w:val="nil"/>
              <w:bottom w:val="single" w:sz="8" w:space="0" w:color="BFBFBF"/>
              <w:right w:val="single" w:sz="8" w:space="0" w:color="BFBFBF"/>
            </w:tcBorders>
            <w:shd w:val="clear" w:color="000000" w:fill="F2F2F2"/>
            <w:noWrap/>
            <w:vAlign w:val="center"/>
            <w:hideMark/>
          </w:tcPr>
          <w:p w14:paraId="1D433B67"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374A93FE"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000000" w:fill="F2F2F2"/>
            <w:noWrap/>
            <w:vAlign w:val="center"/>
            <w:hideMark/>
          </w:tcPr>
          <w:p w14:paraId="431C4C3E"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FA5BF9D"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0DC8E6CF"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5A01BFD"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item45</w:t>
            </w:r>
          </w:p>
        </w:tc>
        <w:tc>
          <w:tcPr>
            <w:tcW w:w="1134" w:type="dxa"/>
            <w:tcBorders>
              <w:top w:val="nil"/>
              <w:left w:val="nil"/>
              <w:bottom w:val="single" w:sz="8" w:space="0" w:color="BFBFBF"/>
              <w:right w:val="single" w:sz="8" w:space="0" w:color="BFBFBF"/>
            </w:tcBorders>
            <w:shd w:val="clear" w:color="auto" w:fill="auto"/>
            <w:noWrap/>
            <w:vAlign w:val="center"/>
            <w:hideMark/>
          </w:tcPr>
          <w:p w14:paraId="0A5E8364"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66E35BEE"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auto" w:fill="auto"/>
            <w:noWrap/>
            <w:vAlign w:val="center"/>
            <w:hideMark/>
          </w:tcPr>
          <w:p w14:paraId="3B4ABA0A"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CCFDFC9"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r w:rsidR="00E269B1" w:rsidRPr="00E269B1" w14:paraId="609B7554"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F4B3CEF" w14:textId="77777777" w:rsidR="00E269B1" w:rsidRPr="00E269B1" w:rsidRDefault="00E269B1" w:rsidP="00AF362E">
            <w:pPr>
              <w:rPr>
                <w:b/>
                <w:bCs/>
                <w:color w:val="000000"/>
                <w:sz w:val="16"/>
                <w:szCs w:val="16"/>
                <w:lang w:eastAsia="en-NZ"/>
              </w:rPr>
            </w:pPr>
            <w:r w:rsidRPr="00E269B1">
              <w:rPr>
                <w:b/>
                <w:bCs/>
                <w:color w:val="000000"/>
                <w:sz w:val="16"/>
                <w:szCs w:val="16"/>
                <w:lang w:eastAsia="en-NZ"/>
              </w:rPr>
              <w:t>item46</w:t>
            </w:r>
          </w:p>
        </w:tc>
        <w:tc>
          <w:tcPr>
            <w:tcW w:w="1134" w:type="dxa"/>
            <w:tcBorders>
              <w:top w:val="nil"/>
              <w:left w:val="nil"/>
              <w:bottom w:val="single" w:sz="8" w:space="0" w:color="BFBFBF"/>
              <w:right w:val="single" w:sz="8" w:space="0" w:color="BFBFBF"/>
            </w:tcBorders>
            <w:shd w:val="clear" w:color="000000" w:fill="F2F2F2"/>
            <w:noWrap/>
            <w:vAlign w:val="center"/>
            <w:hideMark/>
          </w:tcPr>
          <w:p w14:paraId="346D7D55"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000000" w:fill="F2F2F2"/>
            <w:noWrap/>
            <w:vAlign w:val="center"/>
            <w:hideMark/>
          </w:tcPr>
          <w:p w14:paraId="676DFDEB" w14:textId="77777777" w:rsidR="00E269B1" w:rsidRPr="00E269B1" w:rsidRDefault="00E269B1" w:rsidP="00AF362E">
            <w:pPr>
              <w:rPr>
                <w:color w:val="000000"/>
                <w:sz w:val="16"/>
                <w:szCs w:val="16"/>
                <w:lang w:eastAsia="en-NZ"/>
              </w:rPr>
            </w:pPr>
            <w:r w:rsidRPr="00E269B1">
              <w:rPr>
                <w:color w:val="000000"/>
                <w:sz w:val="16"/>
                <w:szCs w:val="16"/>
                <w:lang w:eastAsia="en-NZ"/>
              </w:rPr>
              <w:t>40</w:t>
            </w:r>
          </w:p>
        </w:tc>
        <w:tc>
          <w:tcPr>
            <w:tcW w:w="989" w:type="dxa"/>
            <w:tcBorders>
              <w:top w:val="nil"/>
              <w:left w:val="nil"/>
              <w:bottom w:val="single" w:sz="8" w:space="0" w:color="BFBFBF"/>
              <w:right w:val="single" w:sz="8" w:space="0" w:color="BFBFBF"/>
            </w:tcBorders>
            <w:shd w:val="clear" w:color="000000" w:fill="F2F2F2"/>
            <w:noWrap/>
            <w:vAlign w:val="center"/>
            <w:hideMark/>
          </w:tcPr>
          <w:p w14:paraId="01B30AA0" w14:textId="77777777" w:rsidR="00E269B1" w:rsidRPr="00E269B1" w:rsidRDefault="00E269B1" w:rsidP="00AF362E">
            <w:pPr>
              <w:rPr>
                <w:color w:val="000000"/>
                <w:sz w:val="16"/>
                <w:szCs w:val="16"/>
                <w:lang w:eastAsia="en-NZ"/>
              </w:rPr>
            </w:pPr>
            <w:r w:rsidRPr="00E269B1">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CAB3EF7" w14:textId="77777777" w:rsidR="00E269B1" w:rsidRPr="00E269B1" w:rsidRDefault="00E269B1" w:rsidP="00AF362E">
            <w:pPr>
              <w:rPr>
                <w:color w:val="000000"/>
                <w:sz w:val="16"/>
                <w:szCs w:val="16"/>
                <w:lang w:eastAsia="en-NZ"/>
              </w:rPr>
            </w:pPr>
            <w:r w:rsidRPr="00E269B1">
              <w:rPr>
                <w:color w:val="000000"/>
                <w:sz w:val="16"/>
                <w:szCs w:val="16"/>
                <w:lang w:eastAsia="en-NZ"/>
              </w:rPr>
              <w:t>4</w:t>
            </w:r>
          </w:p>
        </w:tc>
      </w:tr>
    </w:tbl>
    <w:p w14:paraId="6488221C" w14:textId="69D5708A" w:rsidR="009D09E1" w:rsidRPr="0036489C" w:rsidRDefault="0036489C" w:rsidP="0036489C">
      <w:pPr>
        <w:spacing w:after="200"/>
        <w:rPr>
          <w:color w:val="000000" w:themeColor="text1"/>
          <w:sz w:val="16"/>
          <w:szCs w:val="14"/>
        </w:rPr>
      </w:pPr>
      <w:bookmarkStart w:id="52" w:name="_Toc513022791"/>
      <w:bookmarkEnd w:id="51"/>
      <w:r w:rsidRPr="0036489C">
        <w:rPr>
          <w:color w:val="000000" w:themeColor="text1"/>
          <w:sz w:val="16"/>
          <w:szCs w:val="14"/>
        </w:rPr>
        <w:t xml:space="preserve">Table </w:t>
      </w:r>
      <w:r w:rsidRPr="0036489C">
        <w:rPr>
          <w:noProof/>
          <w:color w:val="000000" w:themeColor="text1"/>
          <w:sz w:val="16"/>
          <w:szCs w:val="14"/>
        </w:rPr>
        <w:fldChar w:fldCharType="begin"/>
      </w:r>
      <w:r w:rsidRPr="0036489C">
        <w:rPr>
          <w:noProof/>
          <w:color w:val="000000" w:themeColor="text1"/>
          <w:sz w:val="16"/>
          <w:szCs w:val="14"/>
        </w:rPr>
        <w:instrText xml:space="preserve"> SEQ Table \* ARABIC \s 1 </w:instrText>
      </w:r>
      <w:r w:rsidRPr="0036489C">
        <w:rPr>
          <w:noProof/>
          <w:color w:val="000000" w:themeColor="text1"/>
          <w:sz w:val="16"/>
          <w:szCs w:val="14"/>
        </w:rPr>
        <w:fldChar w:fldCharType="separate"/>
      </w:r>
      <w:r w:rsidR="009F599A">
        <w:rPr>
          <w:noProof/>
          <w:color w:val="000000" w:themeColor="text1"/>
          <w:sz w:val="16"/>
          <w:szCs w:val="14"/>
        </w:rPr>
        <w:t>1</w:t>
      </w:r>
      <w:r w:rsidRPr="0036489C">
        <w:rPr>
          <w:noProof/>
          <w:color w:val="000000" w:themeColor="text1"/>
          <w:sz w:val="16"/>
          <w:szCs w:val="14"/>
        </w:rPr>
        <w:fldChar w:fldCharType="end"/>
      </w:r>
      <w:r w:rsidRPr="0036489C">
        <w:rPr>
          <w:color w:val="000000" w:themeColor="text1"/>
          <w:sz w:val="16"/>
          <w:szCs w:val="14"/>
        </w:rPr>
        <w:t>.</w:t>
      </w:r>
      <w:r w:rsidR="00D966CA">
        <w:rPr>
          <w:color w:val="000000" w:themeColor="text1"/>
          <w:sz w:val="24"/>
          <w:szCs w:val="14"/>
        </w:rPr>
        <w:t xml:space="preserve">  </w:t>
      </w:r>
      <w:r w:rsidRPr="0036489C">
        <w:rPr>
          <w:rFonts w:eastAsia="Calibri"/>
          <w:color w:val="000000"/>
          <w:sz w:val="16"/>
          <w:szCs w:val="16"/>
        </w:rPr>
        <w:t>Mapping of items to each other</w:t>
      </w:r>
      <w:r w:rsidRPr="0036489C">
        <w:rPr>
          <w:color w:val="000000" w:themeColor="text1"/>
          <w:sz w:val="24"/>
          <w:szCs w:val="14"/>
        </w:rPr>
        <w:t xml:space="preserve"> </w:t>
      </w:r>
      <w:r w:rsidRPr="0036489C">
        <w:rPr>
          <w:rFonts w:eastAsia="Calibri"/>
          <w:color w:val="000000"/>
          <w:sz w:val="16"/>
          <w:szCs w:val="16"/>
        </w:rPr>
        <w:t>for the top-level construct “Account Management”.</w:t>
      </w:r>
      <w:bookmarkEnd w:id="52"/>
    </w:p>
    <w:p w14:paraId="1E6C44B6" w14:textId="77777777" w:rsidR="00CF5A53" w:rsidRDefault="00CF5A53" w:rsidP="00CF5A53">
      <w:pPr>
        <w:jc w:val="both"/>
        <w:rPr>
          <w:szCs w:val="24"/>
        </w:rPr>
      </w:pPr>
      <w:r>
        <w:rPr>
          <w:szCs w:val="24"/>
        </w:rPr>
        <w:t xml:space="preserve">These tables are not </w:t>
      </w:r>
      <w:proofErr w:type="spellStart"/>
      <w:r>
        <w:rPr>
          <w:szCs w:val="24"/>
        </w:rPr>
        <w:t>analysed</w:t>
      </w:r>
      <w:proofErr w:type="spellEnd"/>
      <w:r>
        <w:rPr>
          <w:szCs w:val="24"/>
        </w:rPr>
        <w:t xml:space="preserve"> in their entirety immediately.  Instead, we begin analysis with the top 3 levels of the tree and work our way downward one level at a time.  This is because problems at higher levels can impact the lower levels.  Thus, initially, only data from the top 3 levels of the tree are </w:t>
      </w:r>
      <w:proofErr w:type="spellStart"/>
      <w:r>
        <w:rPr>
          <w:szCs w:val="24"/>
        </w:rPr>
        <w:t>analysed</w:t>
      </w:r>
      <w:proofErr w:type="spellEnd"/>
      <w:r>
        <w:rPr>
          <w:szCs w:val="24"/>
        </w:rPr>
        <w:t>.  Then, data from the top 4 levels etc.</w:t>
      </w:r>
    </w:p>
    <w:p w14:paraId="205F575D" w14:textId="15957F45" w:rsidR="00862844" w:rsidRDefault="00CF5A53" w:rsidP="00862844">
      <w:pPr>
        <w:ind w:firstLine="202"/>
        <w:jc w:val="both"/>
        <w:rPr>
          <w:rFonts w:cs="Arial"/>
          <w:szCs w:val="24"/>
        </w:rPr>
      </w:pPr>
      <w:r w:rsidRPr="0085248A">
        <w:rPr>
          <w:szCs w:val="24"/>
        </w:rPr>
        <w:t xml:space="preserve"> </w:t>
      </w:r>
      <w:bookmarkStart w:id="53" w:name="_Hlk49850554"/>
      <w:r>
        <w:t>As a result of disagreement, it is possible for experts to have a different number of items at each level.</w:t>
      </w:r>
      <w:r>
        <w:rPr>
          <w:rFonts w:eastAsia="Calibri"/>
          <w:szCs w:val="24"/>
        </w:rPr>
        <w:t xml:space="preserve"> Here</w:t>
      </w:r>
      <w:r w:rsidRPr="00E062A2">
        <w:rPr>
          <w:rFonts w:eastAsia="Calibri"/>
          <w:szCs w:val="24"/>
        </w:rPr>
        <w:t xml:space="preserve">, </w:t>
      </w:r>
      <w:r>
        <w:rPr>
          <w:rFonts w:eastAsia="Calibri"/>
          <w:szCs w:val="24"/>
        </w:rPr>
        <w:t xml:space="preserve">expert 1 has created a tree with </w:t>
      </w:r>
      <w:r w:rsidRPr="00E062A2">
        <w:rPr>
          <w:rFonts w:eastAsia="Calibri"/>
          <w:szCs w:val="24"/>
        </w:rPr>
        <w:t>4 levels</w:t>
      </w:r>
      <w:r>
        <w:rPr>
          <w:rFonts w:eastAsia="Calibri"/>
          <w:szCs w:val="24"/>
        </w:rPr>
        <w:t xml:space="preserve">, while expert 2 has created one with 5 levels. </w:t>
      </w:r>
      <w:bookmarkStart w:id="54" w:name="_Hlk49166727"/>
      <w:r w:rsidRPr="00E062A2">
        <w:rPr>
          <w:szCs w:val="24"/>
        </w:rPr>
        <w:t xml:space="preserve">Tests on contingency tables for two different sample sizes </w:t>
      </w:r>
      <w:proofErr w:type="spellStart"/>
      <w:r w:rsidRPr="00E062A2">
        <w:rPr>
          <w:szCs w:val="24"/>
        </w:rPr>
        <w:t>can</w:t>
      </w:r>
      <w:r w:rsidR="008002CC">
        <w:rPr>
          <w:szCs w:val="24"/>
        </w:rPr>
        <w:t xml:space="preserve"> not</w:t>
      </w:r>
      <w:proofErr w:type="spellEnd"/>
      <w:r w:rsidR="008002CC">
        <w:rPr>
          <w:szCs w:val="24"/>
        </w:rPr>
        <w:t xml:space="preserve"> </w:t>
      </w:r>
      <w:r w:rsidRPr="00E062A2">
        <w:rPr>
          <w:szCs w:val="24"/>
        </w:rPr>
        <w:t>be done</w:t>
      </w:r>
      <w:r w:rsidRPr="00721AC0">
        <w:rPr>
          <w:szCs w:val="24"/>
        </w:rPr>
        <w:t>.   To address this, if an item doe</w:t>
      </w:r>
      <w:r w:rsidR="008002CC">
        <w:rPr>
          <w:szCs w:val="24"/>
        </w:rPr>
        <w:t>s not</w:t>
      </w:r>
      <w:r w:rsidRPr="00721AC0">
        <w:rPr>
          <w:szCs w:val="24"/>
        </w:rPr>
        <w:t xml:space="preserve"> exist for one expert, we replace the null value that represents the mapping in the table with a number that has not been previously assigned. This method of handling null values biases statistical results downward </w:t>
      </w:r>
      <w:r w:rsidRPr="00721AC0">
        <w:rPr>
          <w:szCs w:val="24"/>
        </w:rPr>
        <w:fldChar w:fldCharType="begin" w:fldLock="1"/>
      </w:r>
      <w:r>
        <w:rPr>
          <w:szCs w:val="24"/>
        </w:rPr>
        <w:instrText>ADDIN CSL_CITATION {"citationItems":[{"id":"ITEM-1","itemData":{"DOI":"10.1177/0013164418823249","ISSN":"15523888","abstract":"Cohen’s kappa coefficient is commonly used for assessing agreement between classifications of two raters on a nominal scale. Three variants of Cohen’s kappa that can handle missing data are presented. Data are considered missing if one or both ratings of a unit are missing. We study how well the variants estimate the kappa value for complete data under two missing data mechanisms—namely, missingness completely at random and a form of missingness not at random. The kappa coefficient considered in Gwet (Handbook of Inter-rater Reliability, 4th ed.) and the kappa coefficient based on listwise deletion of units with missing ratings were found to have virtually no bias and mean squared error if missingness is completely at random, and small bias and mean squared error if missingness is not at random. Furthermore, the kappa coefficient that treats missing ratings as a regular category appears to be rather heavily biased and has a substantial mean squared error in many of the simulations. Because it performs well and is easy to compute, we recommend to use the kappa coefficient that is based on listwise deletion of missing ratings if it can be assumed that missingness is completely at random or not at random.","author":[{"dropping-particle":"","family":"Raadt","given":"Alexandra","non-dropping-particle":"De","parse-names":false,"suffix":""},{"dropping-particle":"","family":"Warrens","given":"Matthijs J.","non-dropping-particle":"","parse-names":false,"suffix":""},{"dropping-particle":"","family":"Bosker","given":"Roel J.","non-dropping-particle":"","parse-names":false,"suffix":""},{"dropping-particle":"","family":"Kiers","given":"Henk A.L.","non-dropping-particle":"","parse-names":false,"suffix":""}],"container-title":"Educational and Psychological Measurement","id":"ITEM-1","issue":"3","issued":{"date-parts":[["2019"]]},"page":"558-576","title":"Kappa Coefficients for Missing Data","type":"article-journal","volume":"79"},"uris":["http://www.mendeley.com/documents/?uuid=e67bbc42-8a70-4df8-89a3-735c8d0a17aa"]}],"mendeley":{"formattedCitation":"[61]","plainTextFormattedCitation":"[61]","previouslyFormattedCitation":"[61]"},"properties":{"noteIndex":0},"schema":"https://github.com/citation-style-language/schema/raw/master/csl-citation.json"}</w:instrText>
      </w:r>
      <w:r w:rsidRPr="00721AC0">
        <w:rPr>
          <w:szCs w:val="24"/>
        </w:rPr>
        <w:fldChar w:fldCharType="separate"/>
      </w:r>
      <w:r w:rsidRPr="00E65D3B">
        <w:rPr>
          <w:noProof/>
          <w:szCs w:val="24"/>
        </w:rPr>
        <w:t>[61]</w:t>
      </w:r>
      <w:r w:rsidRPr="00721AC0">
        <w:rPr>
          <w:szCs w:val="24"/>
        </w:rPr>
        <w:fldChar w:fldCharType="end"/>
      </w:r>
      <w:r w:rsidRPr="00721AC0">
        <w:rPr>
          <w:szCs w:val="24"/>
        </w:rPr>
        <w:t>, which is desirable</w:t>
      </w:r>
      <w:r w:rsidRPr="00671338">
        <w:rPr>
          <w:szCs w:val="24"/>
        </w:rPr>
        <w:t>, as lower statistical values indicate poorer fit</w:t>
      </w:r>
      <w:bookmarkEnd w:id="54"/>
      <w:r>
        <w:rPr>
          <w:szCs w:val="24"/>
        </w:rPr>
        <w:t xml:space="preserve">. </w:t>
      </w:r>
      <w:bookmarkEnd w:id="53"/>
      <w:r w:rsidRPr="00091821">
        <w:rPr>
          <w:rFonts w:cs="Arial"/>
          <w:szCs w:val="24"/>
        </w:rPr>
        <w:t xml:space="preserve">As an example, consider the two trees created by </w:t>
      </w:r>
      <w:r>
        <w:rPr>
          <w:rFonts w:cs="Arial"/>
          <w:szCs w:val="24"/>
        </w:rPr>
        <w:t>expert</w:t>
      </w:r>
      <w:r w:rsidRPr="00091821">
        <w:rPr>
          <w:rFonts w:cs="Arial"/>
          <w:szCs w:val="24"/>
        </w:rPr>
        <w:t xml:space="preserve"> 1 and </w:t>
      </w:r>
      <w:r>
        <w:rPr>
          <w:rFonts w:cs="Arial"/>
          <w:szCs w:val="24"/>
        </w:rPr>
        <w:t>expert</w:t>
      </w:r>
      <w:r w:rsidRPr="00091821">
        <w:rPr>
          <w:rFonts w:cs="Arial"/>
          <w:szCs w:val="24"/>
        </w:rPr>
        <w:t xml:space="preserve"> 2 in </w:t>
      </w:r>
      <w:r w:rsidR="00CC74A6">
        <w:rPr>
          <w:rFonts w:cs="Arial"/>
          <w:szCs w:val="24"/>
        </w:rPr>
        <w:t>Fig.</w:t>
      </w:r>
      <w:r w:rsidRPr="00091821">
        <w:rPr>
          <w:rFonts w:cs="Arial"/>
          <w:szCs w:val="24"/>
        </w:rPr>
        <w:t xml:space="preserve"> </w:t>
      </w:r>
      <w:r>
        <w:rPr>
          <w:rFonts w:cs="Arial"/>
          <w:szCs w:val="24"/>
        </w:rPr>
        <w:t>7</w:t>
      </w:r>
      <w:r w:rsidRPr="00091821">
        <w:rPr>
          <w:rFonts w:cs="Arial"/>
          <w:szCs w:val="24"/>
        </w:rPr>
        <w:t xml:space="preserve">. We first identify the top 3 levels which is presented in Table 3.  Items such as 12 and 13 for both </w:t>
      </w:r>
      <w:r>
        <w:rPr>
          <w:rFonts w:cs="Arial"/>
          <w:szCs w:val="24"/>
        </w:rPr>
        <w:t>expert</w:t>
      </w:r>
      <w:r w:rsidRPr="00091821">
        <w:rPr>
          <w:rFonts w:cs="Arial"/>
          <w:szCs w:val="24"/>
        </w:rPr>
        <w:t>s are both in level 3. However, in the example</w:t>
      </w:r>
      <w:r>
        <w:rPr>
          <w:rFonts w:cs="Arial"/>
          <w:szCs w:val="24"/>
        </w:rPr>
        <w:t>,</w:t>
      </w:r>
      <w:r w:rsidRPr="00091821">
        <w:rPr>
          <w:rFonts w:cs="Arial"/>
          <w:szCs w:val="24"/>
        </w:rPr>
        <w:t xml:space="preserve"> </w:t>
      </w:r>
      <w:r>
        <w:rPr>
          <w:rFonts w:cs="Arial"/>
          <w:szCs w:val="24"/>
        </w:rPr>
        <w:t>expert</w:t>
      </w:r>
      <w:r w:rsidRPr="00091821">
        <w:rPr>
          <w:rFonts w:cs="Arial"/>
          <w:szCs w:val="24"/>
        </w:rPr>
        <w:t xml:space="preserve">s disagree on the level of such items as </w:t>
      </w:r>
      <w:r>
        <w:rPr>
          <w:rFonts w:cs="Arial"/>
          <w:szCs w:val="24"/>
        </w:rPr>
        <w:t>4, 5, 6, and 7. F</w:t>
      </w:r>
      <w:r w:rsidRPr="00AF3B01">
        <w:rPr>
          <w:rFonts w:cs="Arial"/>
          <w:szCs w:val="24"/>
        </w:rPr>
        <w:t xml:space="preserve">or these items, we insert dummy items (items 74-100) for </w:t>
      </w:r>
      <w:r>
        <w:rPr>
          <w:rFonts w:cs="Arial"/>
          <w:szCs w:val="24"/>
        </w:rPr>
        <w:t>expert</w:t>
      </w:r>
      <w:r w:rsidRPr="00AF3B01">
        <w:rPr>
          <w:rFonts w:cs="Arial"/>
          <w:szCs w:val="24"/>
        </w:rPr>
        <w:t xml:space="preserve"> 2, as presented in Table 3. The dummies are italicized in the table.</w:t>
      </w:r>
    </w:p>
    <w:p w14:paraId="3A94C0DA" w14:textId="045A89A6" w:rsidR="00CF5A53" w:rsidRDefault="00CF5A53" w:rsidP="00862844">
      <w:pPr>
        <w:ind w:firstLine="202"/>
        <w:jc w:val="both"/>
        <w:rPr>
          <w:rFonts w:cs="Arial"/>
          <w:szCs w:val="24"/>
        </w:rPr>
      </w:pPr>
      <w:r w:rsidRPr="00AF3B01">
        <w:rPr>
          <w:rFonts w:cs="Arial"/>
          <w:szCs w:val="24"/>
        </w:rPr>
        <w:t xml:space="preserve"> </w:t>
      </w:r>
    </w:p>
    <w:tbl>
      <w:tblPr>
        <w:tblW w:w="0" w:type="auto"/>
        <w:tblLayout w:type="fixed"/>
        <w:tblLook w:val="04A0" w:firstRow="1" w:lastRow="0" w:firstColumn="1" w:lastColumn="0" w:noHBand="0" w:noVBand="1"/>
      </w:tblPr>
      <w:tblGrid>
        <w:gridCol w:w="699"/>
        <w:gridCol w:w="1134"/>
        <w:gridCol w:w="1209"/>
        <w:gridCol w:w="989"/>
        <w:gridCol w:w="989"/>
      </w:tblGrid>
      <w:tr w:rsidR="008D6B2E" w:rsidRPr="0091298B" w14:paraId="3339E439" w14:textId="77777777" w:rsidTr="008D6B2E">
        <w:trPr>
          <w:trHeight w:val="205"/>
        </w:trPr>
        <w:tc>
          <w:tcPr>
            <w:tcW w:w="69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AA5FEE9"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 xml:space="preserve">items </w:t>
            </w:r>
          </w:p>
        </w:tc>
        <w:tc>
          <w:tcPr>
            <w:tcW w:w="1134" w:type="dxa"/>
            <w:tcBorders>
              <w:top w:val="single" w:sz="8" w:space="0" w:color="BFBFBF"/>
              <w:left w:val="nil"/>
              <w:bottom w:val="single" w:sz="8" w:space="0" w:color="BFBFBF"/>
              <w:right w:val="single" w:sz="8" w:space="0" w:color="BFBFBF"/>
            </w:tcBorders>
            <w:shd w:val="clear" w:color="auto" w:fill="auto"/>
            <w:noWrap/>
            <w:vAlign w:val="center"/>
            <w:hideMark/>
          </w:tcPr>
          <w:p w14:paraId="7D31235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Parent items for Expert1</w:t>
            </w:r>
          </w:p>
        </w:tc>
        <w:tc>
          <w:tcPr>
            <w:tcW w:w="1209" w:type="dxa"/>
            <w:tcBorders>
              <w:top w:val="single" w:sz="8" w:space="0" w:color="BFBFBF"/>
              <w:left w:val="nil"/>
              <w:bottom w:val="single" w:sz="8" w:space="0" w:color="BFBFBF"/>
              <w:right w:val="single" w:sz="8" w:space="0" w:color="BFBFBF"/>
            </w:tcBorders>
            <w:shd w:val="clear" w:color="auto" w:fill="auto"/>
            <w:noWrap/>
            <w:vAlign w:val="center"/>
            <w:hideMark/>
          </w:tcPr>
          <w:p w14:paraId="61265DC8"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Parent items for Expert2</w:t>
            </w:r>
          </w:p>
        </w:tc>
        <w:tc>
          <w:tcPr>
            <w:tcW w:w="989" w:type="dxa"/>
            <w:tcBorders>
              <w:top w:val="single" w:sz="8" w:space="0" w:color="BFBFBF"/>
              <w:left w:val="nil"/>
              <w:bottom w:val="single" w:sz="8" w:space="0" w:color="BFBFBF"/>
              <w:right w:val="single" w:sz="8" w:space="0" w:color="BFBFBF"/>
            </w:tcBorders>
            <w:shd w:val="clear" w:color="auto" w:fill="auto"/>
            <w:noWrap/>
            <w:vAlign w:val="center"/>
            <w:hideMark/>
          </w:tcPr>
          <w:p w14:paraId="17E8A81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Level for Expert 1</w:t>
            </w:r>
          </w:p>
        </w:tc>
        <w:tc>
          <w:tcPr>
            <w:tcW w:w="989" w:type="dxa"/>
            <w:tcBorders>
              <w:top w:val="single" w:sz="8" w:space="0" w:color="BFBFBF"/>
              <w:left w:val="nil"/>
              <w:bottom w:val="single" w:sz="8" w:space="0" w:color="BFBFBF"/>
              <w:right w:val="single" w:sz="8" w:space="0" w:color="BFBFBF"/>
            </w:tcBorders>
            <w:shd w:val="clear" w:color="auto" w:fill="auto"/>
            <w:noWrap/>
            <w:vAlign w:val="center"/>
            <w:hideMark/>
          </w:tcPr>
          <w:p w14:paraId="53851315"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Level for Expert 2</w:t>
            </w:r>
          </w:p>
        </w:tc>
      </w:tr>
      <w:tr w:rsidR="008D6B2E" w:rsidRPr="0091298B" w14:paraId="27A58555"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EF51F25"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 0</w:t>
            </w:r>
          </w:p>
        </w:tc>
        <w:tc>
          <w:tcPr>
            <w:tcW w:w="1134" w:type="dxa"/>
            <w:tcBorders>
              <w:top w:val="nil"/>
              <w:left w:val="nil"/>
              <w:bottom w:val="single" w:sz="8" w:space="0" w:color="BFBFBF"/>
              <w:right w:val="single" w:sz="8" w:space="0" w:color="BFBFBF"/>
            </w:tcBorders>
            <w:shd w:val="clear" w:color="000000" w:fill="F2F2F2"/>
            <w:noWrap/>
            <w:vAlign w:val="center"/>
            <w:hideMark/>
          </w:tcPr>
          <w:p w14:paraId="2CB8B060"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c>
          <w:tcPr>
            <w:tcW w:w="1209" w:type="dxa"/>
            <w:tcBorders>
              <w:top w:val="nil"/>
              <w:left w:val="nil"/>
              <w:bottom w:val="single" w:sz="8" w:space="0" w:color="BFBFBF"/>
              <w:right w:val="single" w:sz="8" w:space="0" w:color="BFBFBF"/>
            </w:tcBorders>
            <w:shd w:val="clear" w:color="000000" w:fill="F2F2F2"/>
            <w:noWrap/>
            <w:vAlign w:val="center"/>
            <w:hideMark/>
          </w:tcPr>
          <w:p w14:paraId="445315DC"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c>
          <w:tcPr>
            <w:tcW w:w="989" w:type="dxa"/>
            <w:tcBorders>
              <w:top w:val="nil"/>
              <w:left w:val="nil"/>
              <w:bottom w:val="single" w:sz="8" w:space="0" w:color="BFBFBF"/>
              <w:right w:val="single" w:sz="8" w:space="0" w:color="BFBFBF"/>
            </w:tcBorders>
            <w:shd w:val="clear" w:color="000000" w:fill="F2F2F2"/>
            <w:noWrap/>
            <w:vAlign w:val="center"/>
            <w:hideMark/>
          </w:tcPr>
          <w:p w14:paraId="427A8199"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c>
          <w:tcPr>
            <w:tcW w:w="989" w:type="dxa"/>
            <w:tcBorders>
              <w:top w:val="nil"/>
              <w:left w:val="nil"/>
              <w:bottom w:val="single" w:sz="8" w:space="0" w:color="BFBFBF"/>
              <w:right w:val="single" w:sz="8" w:space="0" w:color="BFBFBF"/>
            </w:tcBorders>
            <w:shd w:val="clear" w:color="000000" w:fill="F2F2F2"/>
            <w:noWrap/>
            <w:vAlign w:val="center"/>
            <w:hideMark/>
          </w:tcPr>
          <w:p w14:paraId="70CA9AE7"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r>
      <w:tr w:rsidR="008D6B2E" w:rsidRPr="0091298B" w14:paraId="30EC77F0"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13F8D9A2"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w:t>
            </w:r>
          </w:p>
        </w:tc>
        <w:tc>
          <w:tcPr>
            <w:tcW w:w="1134" w:type="dxa"/>
            <w:tcBorders>
              <w:top w:val="nil"/>
              <w:left w:val="nil"/>
              <w:bottom w:val="single" w:sz="8" w:space="0" w:color="BFBFBF"/>
              <w:right w:val="single" w:sz="8" w:space="0" w:color="BFBFBF"/>
            </w:tcBorders>
            <w:shd w:val="clear" w:color="auto" w:fill="auto"/>
            <w:noWrap/>
            <w:vAlign w:val="center"/>
            <w:hideMark/>
          </w:tcPr>
          <w:p w14:paraId="4CC1E7D4"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c>
          <w:tcPr>
            <w:tcW w:w="1209" w:type="dxa"/>
            <w:tcBorders>
              <w:top w:val="nil"/>
              <w:left w:val="nil"/>
              <w:bottom w:val="single" w:sz="8" w:space="0" w:color="BFBFBF"/>
              <w:right w:val="single" w:sz="8" w:space="0" w:color="BFBFBF"/>
            </w:tcBorders>
            <w:shd w:val="clear" w:color="auto" w:fill="auto"/>
            <w:noWrap/>
            <w:vAlign w:val="center"/>
            <w:hideMark/>
          </w:tcPr>
          <w:p w14:paraId="45E790E6" w14:textId="77777777" w:rsidR="008D6B2E" w:rsidRPr="0091298B" w:rsidRDefault="008D6B2E" w:rsidP="00AF362E">
            <w:pPr>
              <w:rPr>
                <w:color w:val="000000"/>
                <w:sz w:val="16"/>
                <w:szCs w:val="16"/>
                <w:lang w:eastAsia="en-NZ"/>
              </w:rPr>
            </w:pPr>
            <w:r w:rsidRPr="0091298B">
              <w:rPr>
                <w:color w:val="000000"/>
                <w:sz w:val="16"/>
                <w:szCs w:val="16"/>
                <w:lang w:eastAsia="en-NZ"/>
              </w:rPr>
              <w:t>0</w:t>
            </w:r>
          </w:p>
        </w:tc>
        <w:tc>
          <w:tcPr>
            <w:tcW w:w="989" w:type="dxa"/>
            <w:tcBorders>
              <w:top w:val="nil"/>
              <w:left w:val="nil"/>
              <w:bottom w:val="single" w:sz="8" w:space="0" w:color="BFBFBF"/>
              <w:right w:val="single" w:sz="8" w:space="0" w:color="BFBFBF"/>
            </w:tcBorders>
            <w:shd w:val="clear" w:color="auto" w:fill="auto"/>
            <w:noWrap/>
            <w:vAlign w:val="center"/>
            <w:hideMark/>
          </w:tcPr>
          <w:p w14:paraId="5FAE9C12"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989" w:type="dxa"/>
            <w:tcBorders>
              <w:top w:val="nil"/>
              <w:left w:val="nil"/>
              <w:bottom w:val="single" w:sz="8" w:space="0" w:color="BFBFBF"/>
              <w:right w:val="single" w:sz="8" w:space="0" w:color="BFBFBF"/>
            </w:tcBorders>
            <w:shd w:val="clear" w:color="auto" w:fill="auto"/>
            <w:noWrap/>
            <w:vAlign w:val="center"/>
            <w:hideMark/>
          </w:tcPr>
          <w:p w14:paraId="48A65A8C"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r>
      <w:tr w:rsidR="008D6B2E" w:rsidRPr="0091298B" w14:paraId="0A1F6D63"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AC20C2C"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w:t>
            </w:r>
          </w:p>
        </w:tc>
        <w:tc>
          <w:tcPr>
            <w:tcW w:w="1134" w:type="dxa"/>
            <w:tcBorders>
              <w:top w:val="nil"/>
              <w:left w:val="nil"/>
              <w:bottom w:val="single" w:sz="8" w:space="0" w:color="BFBFBF"/>
              <w:right w:val="single" w:sz="8" w:space="0" w:color="BFBFBF"/>
            </w:tcBorders>
            <w:shd w:val="clear" w:color="000000" w:fill="F2F2F2"/>
            <w:noWrap/>
            <w:vAlign w:val="center"/>
            <w:hideMark/>
          </w:tcPr>
          <w:p w14:paraId="0159F9F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73D6FD26"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989" w:type="dxa"/>
            <w:tcBorders>
              <w:top w:val="nil"/>
              <w:left w:val="nil"/>
              <w:bottom w:val="single" w:sz="8" w:space="0" w:color="BFBFBF"/>
              <w:right w:val="single" w:sz="8" w:space="0" w:color="BFBFBF"/>
            </w:tcBorders>
            <w:shd w:val="clear" w:color="000000" w:fill="F2F2F2"/>
            <w:noWrap/>
            <w:vAlign w:val="center"/>
            <w:hideMark/>
          </w:tcPr>
          <w:p w14:paraId="19BA9025"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538ABB1"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0F244675" w14:textId="77777777" w:rsidTr="008D6B2E">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2B4186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w:t>
            </w:r>
          </w:p>
        </w:tc>
        <w:tc>
          <w:tcPr>
            <w:tcW w:w="1134" w:type="dxa"/>
            <w:tcBorders>
              <w:top w:val="nil"/>
              <w:left w:val="nil"/>
              <w:bottom w:val="single" w:sz="8" w:space="0" w:color="BFBFBF"/>
              <w:right w:val="single" w:sz="8" w:space="0" w:color="BFBFBF"/>
            </w:tcBorders>
            <w:shd w:val="clear" w:color="auto" w:fill="auto"/>
            <w:noWrap/>
            <w:vAlign w:val="center"/>
            <w:hideMark/>
          </w:tcPr>
          <w:p w14:paraId="0218EC0E"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auto" w:fill="auto"/>
            <w:noWrap/>
            <w:vAlign w:val="center"/>
            <w:hideMark/>
          </w:tcPr>
          <w:p w14:paraId="11249740"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43CB34A4"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65AF3F82"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139BBFC4"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DAF9D03"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w:t>
            </w:r>
          </w:p>
        </w:tc>
        <w:tc>
          <w:tcPr>
            <w:tcW w:w="1134" w:type="dxa"/>
            <w:tcBorders>
              <w:top w:val="nil"/>
              <w:left w:val="nil"/>
              <w:bottom w:val="single" w:sz="8" w:space="0" w:color="BFBFBF"/>
              <w:right w:val="single" w:sz="8" w:space="0" w:color="BFBFBF"/>
            </w:tcBorders>
            <w:shd w:val="clear" w:color="000000" w:fill="F2F2F2"/>
            <w:noWrap/>
            <w:vAlign w:val="center"/>
            <w:hideMark/>
          </w:tcPr>
          <w:p w14:paraId="55278A3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68EEC2F0"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100</w:t>
            </w:r>
          </w:p>
        </w:tc>
        <w:tc>
          <w:tcPr>
            <w:tcW w:w="989" w:type="dxa"/>
            <w:tcBorders>
              <w:top w:val="nil"/>
              <w:left w:val="nil"/>
              <w:bottom w:val="single" w:sz="8" w:space="0" w:color="BFBFBF"/>
              <w:right w:val="single" w:sz="8" w:space="0" w:color="BFBFBF"/>
            </w:tcBorders>
            <w:shd w:val="clear" w:color="000000" w:fill="F2F2F2"/>
            <w:noWrap/>
            <w:vAlign w:val="center"/>
            <w:hideMark/>
          </w:tcPr>
          <w:p w14:paraId="2AB9524C"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296F0AC"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4D82EE37"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9188E67"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item5</w:t>
            </w:r>
          </w:p>
        </w:tc>
        <w:tc>
          <w:tcPr>
            <w:tcW w:w="1134" w:type="dxa"/>
            <w:tcBorders>
              <w:top w:val="nil"/>
              <w:left w:val="nil"/>
              <w:bottom w:val="single" w:sz="8" w:space="0" w:color="BFBFBF"/>
              <w:right w:val="single" w:sz="8" w:space="0" w:color="BFBFBF"/>
            </w:tcBorders>
            <w:shd w:val="clear" w:color="auto" w:fill="auto"/>
            <w:noWrap/>
            <w:vAlign w:val="center"/>
            <w:hideMark/>
          </w:tcPr>
          <w:p w14:paraId="1E1BFB35" w14:textId="77777777" w:rsidR="008D6B2E" w:rsidRPr="0091298B" w:rsidRDefault="008D6B2E" w:rsidP="00AF362E">
            <w:pPr>
              <w:rPr>
                <w:color w:val="000000"/>
                <w:sz w:val="16"/>
                <w:szCs w:val="16"/>
                <w:lang w:eastAsia="en-NZ"/>
              </w:rPr>
            </w:pPr>
            <w:r w:rsidRPr="0091298B">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3280E869"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99</w:t>
            </w:r>
          </w:p>
        </w:tc>
        <w:tc>
          <w:tcPr>
            <w:tcW w:w="989" w:type="dxa"/>
            <w:tcBorders>
              <w:top w:val="nil"/>
              <w:left w:val="nil"/>
              <w:bottom w:val="single" w:sz="8" w:space="0" w:color="BFBFBF"/>
              <w:right w:val="single" w:sz="8" w:space="0" w:color="BFBFBF"/>
            </w:tcBorders>
            <w:shd w:val="clear" w:color="auto" w:fill="auto"/>
            <w:noWrap/>
            <w:vAlign w:val="center"/>
            <w:hideMark/>
          </w:tcPr>
          <w:p w14:paraId="1660DAE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1CBB038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05FE3247"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32F9993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item6</w:t>
            </w:r>
          </w:p>
        </w:tc>
        <w:tc>
          <w:tcPr>
            <w:tcW w:w="1134" w:type="dxa"/>
            <w:tcBorders>
              <w:top w:val="nil"/>
              <w:left w:val="nil"/>
              <w:bottom w:val="single" w:sz="8" w:space="0" w:color="BFBFBF"/>
              <w:right w:val="single" w:sz="8" w:space="0" w:color="BFBFBF"/>
            </w:tcBorders>
            <w:shd w:val="clear" w:color="000000" w:fill="F2F2F2"/>
            <w:noWrap/>
            <w:vAlign w:val="center"/>
            <w:hideMark/>
          </w:tcPr>
          <w:p w14:paraId="2C776F4E"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7CF5D022"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98</w:t>
            </w:r>
          </w:p>
        </w:tc>
        <w:tc>
          <w:tcPr>
            <w:tcW w:w="989" w:type="dxa"/>
            <w:tcBorders>
              <w:top w:val="nil"/>
              <w:left w:val="nil"/>
              <w:bottom w:val="single" w:sz="8" w:space="0" w:color="BFBFBF"/>
              <w:right w:val="single" w:sz="8" w:space="0" w:color="BFBFBF"/>
            </w:tcBorders>
            <w:shd w:val="clear" w:color="000000" w:fill="F2F2F2"/>
            <w:noWrap/>
            <w:vAlign w:val="center"/>
            <w:hideMark/>
          </w:tcPr>
          <w:p w14:paraId="7D3EAF85"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68E0753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30DCD11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03DB791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item7</w:t>
            </w:r>
          </w:p>
        </w:tc>
        <w:tc>
          <w:tcPr>
            <w:tcW w:w="1134" w:type="dxa"/>
            <w:tcBorders>
              <w:top w:val="nil"/>
              <w:left w:val="nil"/>
              <w:bottom w:val="single" w:sz="8" w:space="0" w:color="BFBFBF"/>
              <w:right w:val="single" w:sz="8" w:space="0" w:color="BFBFBF"/>
            </w:tcBorders>
            <w:shd w:val="clear" w:color="auto" w:fill="auto"/>
            <w:noWrap/>
            <w:vAlign w:val="center"/>
            <w:hideMark/>
          </w:tcPr>
          <w:p w14:paraId="15C1B3D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431CE6F8"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97</w:t>
            </w:r>
          </w:p>
        </w:tc>
        <w:tc>
          <w:tcPr>
            <w:tcW w:w="989" w:type="dxa"/>
            <w:tcBorders>
              <w:top w:val="nil"/>
              <w:left w:val="nil"/>
              <w:bottom w:val="single" w:sz="8" w:space="0" w:color="BFBFBF"/>
              <w:right w:val="single" w:sz="8" w:space="0" w:color="BFBFBF"/>
            </w:tcBorders>
            <w:shd w:val="clear" w:color="auto" w:fill="auto"/>
            <w:noWrap/>
            <w:vAlign w:val="center"/>
            <w:hideMark/>
          </w:tcPr>
          <w:p w14:paraId="46D583D9"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082FE7D0"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65E51AF"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24DE72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item8</w:t>
            </w:r>
          </w:p>
        </w:tc>
        <w:tc>
          <w:tcPr>
            <w:tcW w:w="1134" w:type="dxa"/>
            <w:tcBorders>
              <w:top w:val="nil"/>
              <w:left w:val="nil"/>
              <w:bottom w:val="single" w:sz="8" w:space="0" w:color="BFBFBF"/>
              <w:right w:val="single" w:sz="8" w:space="0" w:color="BFBFBF"/>
            </w:tcBorders>
            <w:shd w:val="clear" w:color="000000" w:fill="F2F2F2"/>
            <w:noWrap/>
            <w:vAlign w:val="center"/>
            <w:hideMark/>
          </w:tcPr>
          <w:p w14:paraId="21A97273"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7C9870DA"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96</w:t>
            </w:r>
          </w:p>
        </w:tc>
        <w:tc>
          <w:tcPr>
            <w:tcW w:w="989" w:type="dxa"/>
            <w:tcBorders>
              <w:top w:val="nil"/>
              <w:left w:val="nil"/>
              <w:bottom w:val="single" w:sz="8" w:space="0" w:color="BFBFBF"/>
              <w:right w:val="single" w:sz="8" w:space="0" w:color="BFBFBF"/>
            </w:tcBorders>
            <w:shd w:val="clear" w:color="000000" w:fill="F2F2F2"/>
            <w:noWrap/>
            <w:vAlign w:val="center"/>
            <w:hideMark/>
          </w:tcPr>
          <w:p w14:paraId="7F2E5B8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07AE98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1EA48840"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1B709EC3"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item9</w:t>
            </w:r>
          </w:p>
        </w:tc>
        <w:tc>
          <w:tcPr>
            <w:tcW w:w="1134" w:type="dxa"/>
            <w:tcBorders>
              <w:top w:val="nil"/>
              <w:left w:val="nil"/>
              <w:bottom w:val="single" w:sz="8" w:space="0" w:color="BFBFBF"/>
              <w:right w:val="single" w:sz="8" w:space="0" w:color="BFBFBF"/>
            </w:tcBorders>
            <w:shd w:val="clear" w:color="auto" w:fill="auto"/>
            <w:noWrap/>
            <w:vAlign w:val="center"/>
            <w:hideMark/>
          </w:tcPr>
          <w:p w14:paraId="4A875FCD"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auto" w:fill="auto"/>
            <w:noWrap/>
            <w:vAlign w:val="center"/>
            <w:hideMark/>
          </w:tcPr>
          <w:p w14:paraId="467327D2"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989" w:type="dxa"/>
            <w:tcBorders>
              <w:top w:val="nil"/>
              <w:left w:val="nil"/>
              <w:bottom w:val="single" w:sz="8" w:space="0" w:color="BFBFBF"/>
              <w:right w:val="single" w:sz="8" w:space="0" w:color="BFBFBF"/>
            </w:tcBorders>
            <w:shd w:val="clear" w:color="auto" w:fill="auto"/>
            <w:noWrap/>
            <w:vAlign w:val="center"/>
            <w:hideMark/>
          </w:tcPr>
          <w:p w14:paraId="4ACB6FCA"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798C83AD"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00DFC913" w14:textId="77777777" w:rsidTr="008D6B2E">
        <w:trPr>
          <w:trHeight w:val="20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90BB13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item11</w:t>
            </w:r>
          </w:p>
        </w:tc>
        <w:tc>
          <w:tcPr>
            <w:tcW w:w="1134" w:type="dxa"/>
            <w:tcBorders>
              <w:top w:val="nil"/>
              <w:left w:val="nil"/>
              <w:bottom w:val="single" w:sz="8" w:space="0" w:color="BFBFBF"/>
              <w:right w:val="single" w:sz="8" w:space="0" w:color="BFBFBF"/>
            </w:tcBorders>
            <w:shd w:val="clear" w:color="000000" w:fill="F2F2F2"/>
            <w:noWrap/>
            <w:vAlign w:val="center"/>
            <w:hideMark/>
          </w:tcPr>
          <w:p w14:paraId="409ADDD4"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1209" w:type="dxa"/>
            <w:tcBorders>
              <w:top w:val="nil"/>
              <w:left w:val="nil"/>
              <w:bottom w:val="single" w:sz="8" w:space="0" w:color="BFBFBF"/>
              <w:right w:val="single" w:sz="8" w:space="0" w:color="BFBFBF"/>
            </w:tcBorders>
            <w:shd w:val="clear" w:color="000000" w:fill="F2F2F2"/>
            <w:noWrap/>
            <w:vAlign w:val="center"/>
            <w:hideMark/>
          </w:tcPr>
          <w:p w14:paraId="103CED1A"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95</w:t>
            </w:r>
          </w:p>
        </w:tc>
        <w:tc>
          <w:tcPr>
            <w:tcW w:w="989" w:type="dxa"/>
            <w:tcBorders>
              <w:top w:val="nil"/>
              <w:left w:val="nil"/>
              <w:bottom w:val="single" w:sz="8" w:space="0" w:color="BFBFBF"/>
              <w:right w:val="single" w:sz="8" w:space="0" w:color="BFBFBF"/>
            </w:tcBorders>
            <w:shd w:val="clear" w:color="000000" w:fill="F2F2F2"/>
            <w:noWrap/>
            <w:vAlign w:val="center"/>
            <w:hideMark/>
          </w:tcPr>
          <w:p w14:paraId="0C60C52E"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77793B2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C55A8E3"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4319979"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item12</w:t>
            </w:r>
          </w:p>
        </w:tc>
        <w:tc>
          <w:tcPr>
            <w:tcW w:w="1134" w:type="dxa"/>
            <w:tcBorders>
              <w:top w:val="nil"/>
              <w:left w:val="nil"/>
              <w:bottom w:val="single" w:sz="8" w:space="0" w:color="BFBFBF"/>
              <w:right w:val="single" w:sz="8" w:space="0" w:color="BFBFBF"/>
            </w:tcBorders>
            <w:shd w:val="clear" w:color="auto" w:fill="auto"/>
            <w:noWrap/>
            <w:vAlign w:val="center"/>
            <w:hideMark/>
          </w:tcPr>
          <w:p w14:paraId="1DD979F2" w14:textId="77777777" w:rsidR="008D6B2E" w:rsidRPr="0091298B" w:rsidRDefault="008D6B2E" w:rsidP="00AF362E">
            <w:pPr>
              <w:rPr>
                <w:color w:val="000000"/>
                <w:sz w:val="16"/>
                <w:szCs w:val="16"/>
                <w:lang w:eastAsia="en-NZ"/>
              </w:rPr>
            </w:pPr>
            <w:r w:rsidRPr="0091298B">
              <w:rPr>
                <w:color w:val="000000"/>
                <w:sz w:val="16"/>
                <w:szCs w:val="16"/>
                <w:lang w:eastAsia="en-NZ"/>
              </w:rPr>
              <w:t>4</w:t>
            </w:r>
          </w:p>
        </w:tc>
        <w:tc>
          <w:tcPr>
            <w:tcW w:w="1209" w:type="dxa"/>
            <w:tcBorders>
              <w:top w:val="nil"/>
              <w:left w:val="nil"/>
              <w:bottom w:val="single" w:sz="8" w:space="0" w:color="BFBFBF"/>
              <w:right w:val="single" w:sz="8" w:space="0" w:color="BFBFBF"/>
            </w:tcBorders>
            <w:shd w:val="clear" w:color="auto" w:fill="auto"/>
            <w:noWrap/>
            <w:vAlign w:val="center"/>
            <w:hideMark/>
          </w:tcPr>
          <w:p w14:paraId="3B2806BA"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989" w:type="dxa"/>
            <w:tcBorders>
              <w:top w:val="nil"/>
              <w:left w:val="nil"/>
              <w:bottom w:val="single" w:sz="8" w:space="0" w:color="BFBFBF"/>
              <w:right w:val="single" w:sz="8" w:space="0" w:color="BFBFBF"/>
            </w:tcBorders>
            <w:shd w:val="clear" w:color="auto" w:fill="auto"/>
            <w:noWrap/>
            <w:vAlign w:val="center"/>
            <w:hideMark/>
          </w:tcPr>
          <w:p w14:paraId="0996EC8C"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7DFD5FE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655AF6A0"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D3D09A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item13</w:t>
            </w:r>
          </w:p>
        </w:tc>
        <w:tc>
          <w:tcPr>
            <w:tcW w:w="1134" w:type="dxa"/>
            <w:tcBorders>
              <w:top w:val="nil"/>
              <w:left w:val="nil"/>
              <w:bottom w:val="single" w:sz="8" w:space="0" w:color="BFBFBF"/>
              <w:right w:val="single" w:sz="8" w:space="0" w:color="BFBFBF"/>
            </w:tcBorders>
            <w:shd w:val="clear" w:color="000000" w:fill="F2F2F2"/>
            <w:noWrap/>
            <w:vAlign w:val="center"/>
            <w:hideMark/>
          </w:tcPr>
          <w:p w14:paraId="29A8D30B"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1209" w:type="dxa"/>
            <w:tcBorders>
              <w:top w:val="nil"/>
              <w:left w:val="nil"/>
              <w:bottom w:val="single" w:sz="8" w:space="0" w:color="BFBFBF"/>
              <w:right w:val="single" w:sz="8" w:space="0" w:color="BFBFBF"/>
            </w:tcBorders>
            <w:shd w:val="clear" w:color="000000" w:fill="F2F2F2"/>
            <w:noWrap/>
            <w:vAlign w:val="center"/>
            <w:hideMark/>
          </w:tcPr>
          <w:p w14:paraId="4CB51274"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5991D497"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A9586A3"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1062BA57" w14:textId="77777777" w:rsidTr="008D6B2E">
        <w:trPr>
          <w:trHeight w:val="20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DB4490A"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item15</w:t>
            </w:r>
          </w:p>
        </w:tc>
        <w:tc>
          <w:tcPr>
            <w:tcW w:w="1134" w:type="dxa"/>
            <w:tcBorders>
              <w:top w:val="nil"/>
              <w:left w:val="nil"/>
              <w:bottom w:val="single" w:sz="8" w:space="0" w:color="BFBFBF"/>
              <w:right w:val="single" w:sz="8" w:space="0" w:color="BFBFBF"/>
            </w:tcBorders>
            <w:shd w:val="clear" w:color="auto" w:fill="auto"/>
            <w:noWrap/>
            <w:vAlign w:val="center"/>
            <w:hideMark/>
          </w:tcPr>
          <w:p w14:paraId="3862FA92"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1209" w:type="dxa"/>
            <w:tcBorders>
              <w:top w:val="nil"/>
              <w:left w:val="nil"/>
              <w:bottom w:val="single" w:sz="8" w:space="0" w:color="BFBFBF"/>
              <w:right w:val="single" w:sz="8" w:space="0" w:color="BFBFBF"/>
            </w:tcBorders>
            <w:shd w:val="clear" w:color="auto" w:fill="auto"/>
            <w:noWrap/>
            <w:vAlign w:val="center"/>
            <w:hideMark/>
          </w:tcPr>
          <w:p w14:paraId="48338948"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989" w:type="dxa"/>
            <w:tcBorders>
              <w:top w:val="nil"/>
              <w:left w:val="nil"/>
              <w:bottom w:val="single" w:sz="8" w:space="0" w:color="BFBFBF"/>
              <w:right w:val="single" w:sz="8" w:space="0" w:color="BFBFBF"/>
            </w:tcBorders>
            <w:shd w:val="clear" w:color="auto" w:fill="auto"/>
            <w:noWrap/>
            <w:vAlign w:val="center"/>
            <w:hideMark/>
          </w:tcPr>
          <w:p w14:paraId="7C266B9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68FB6BC8"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1C391FE0"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3693578D"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item16</w:t>
            </w:r>
          </w:p>
        </w:tc>
        <w:tc>
          <w:tcPr>
            <w:tcW w:w="1134" w:type="dxa"/>
            <w:tcBorders>
              <w:top w:val="nil"/>
              <w:left w:val="nil"/>
              <w:bottom w:val="single" w:sz="8" w:space="0" w:color="BFBFBF"/>
              <w:right w:val="single" w:sz="8" w:space="0" w:color="BFBFBF"/>
            </w:tcBorders>
            <w:shd w:val="clear" w:color="000000" w:fill="F2F2F2"/>
            <w:noWrap/>
            <w:vAlign w:val="center"/>
            <w:hideMark/>
          </w:tcPr>
          <w:p w14:paraId="4D927BB0"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1209" w:type="dxa"/>
            <w:tcBorders>
              <w:top w:val="nil"/>
              <w:left w:val="nil"/>
              <w:bottom w:val="single" w:sz="8" w:space="0" w:color="BFBFBF"/>
              <w:right w:val="single" w:sz="8" w:space="0" w:color="BFBFBF"/>
            </w:tcBorders>
            <w:shd w:val="clear" w:color="000000" w:fill="F2F2F2"/>
            <w:noWrap/>
            <w:vAlign w:val="center"/>
            <w:hideMark/>
          </w:tcPr>
          <w:p w14:paraId="079FE303" w14:textId="77777777" w:rsidR="008D6B2E" w:rsidRPr="0091298B" w:rsidRDefault="008D6B2E" w:rsidP="00AF362E">
            <w:pPr>
              <w:rPr>
                <w:color w:val="000000"/>
                <w:sz w:val="16"/>
                <w:szCs w:val="16"/>
                <w:lang w:eastAsia="en-NZ"/>
              </w:rPr>
            </w:pPr>
            <w:r w:rsidRPr="0091298B">
              <w:rPr>
                <w:color w:val="000000"/>
                <w:sz w:val="16"/>
                <w:szCs w:val="16"/>
                <w:lang w:eastAsia="en-NZ"/>
              </w:rPr>
              <w:t>9</w:t>
            </w:r>
          </w:p>
        </w:tc>
        <w:tc>
          <w:tcPr>
            <w:tcW w:w="989" w:type="dxa"/>
            <w:tcBorders>
              <w:top w:val="nil"/>
              <w:left w:val="nil"/>
              <w:bottom w:val="single" w:sz="8" w:space="0" w:color="BFBFBF"/>
              <w:right w:val="single" w:sz="8" w:space="0" w:color="BFBFBF"/>
            </w:tcBorders>
            <w:shd w:val="clear" w:color="000000" w:fill="F2F2F2"/>
            <w:noWrap/>
            <w:vAlign w:val="center"/>
            <w:hideMark/>
          </w:tcPr>
          <w:p w14:paraId="1BD495E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4588628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519A53D"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688A2C0"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item18</w:t>
            </w:r>
          </w:p>
        </w:tc>
        <w:tc>
          <w:tcPr>
            <w:tcW w:w="1134" w:type="dxa"/>
            <w:tcBorders>
              <w:top w:val="nil"/>
              <w:left w:val="nil"/>
              <w:bottom w:val="single" w:sz="8" w:space="0" w:color="BFBFBF"/>
              <w:right w:val="single" w:sz="8" w:space="0" w:color="BFBFBF"/>
            </w:tcBorders>
            <w:shd w:val="clear" w:color="auto" w:fill="auto"/>
            <w:noWrap/>
            <w:vAlign w:val="center"/>
            <w:hideMark/>
          </w:tcPr>
          <w:p w14:paraId="52D87970"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auto" w:fill="auto"/>
            <w:noWrap/>
            <w:vAlign w:val="center"/>
            <w:hideMark/>
          </w:tcPr>
          <w:p w14:paraId="55B7A7C9"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989" w:type="dxa"/>
            <w:tcBorders>
              <w:top w:val="nil"/>
              <w:left w:val="nil"/>
              <w:bottom w:val="single" w:sz="8" w:space="0" w:color="BFBFBF"/>
              <w:right w:val="single" w:sz="8" w:space="0" w:color="BFBFBF"/>
            </w:tcBorders>
            <w:shd w:val="clear" w:color="auto" w:fill="auto"/>
            <w:noWrap/>
            <w:vAlign w:val="center"/>
            <w:hideMark/>
          </w:tcPr>
          <w:p w14:paraId="01ACABA8"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5841F325"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03A830B0"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3E4FAFC"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item19</w:t>
            </w:r>
          </w:p>
        </w:tc>
        <w:tc>
          <w:tcPr>
            <w:tcW w:w="1134" w:type="dxa"/>
            <w:tcBorders>
              <w:top w:val="nil"/>
              <w:left w:val="nil"/>
              <w:bottom w:val="single" w:sz="8" w:space="0" w:color="BFBFBF"/>
              <w:right w:val="single" w:sz="8" w:space="0" w:color="BFBFBF"/>
            </w:tcBorders>
            <w:shd w:val="clear" w:color="000000" w:fill="F2F2F2"/>
            <w:noWrap/>
            <w:vAlign w:val="center"/>
            <w:hideMark/>
          </w:tcPr>
          <w:p w14:paraId="327D900E"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000000" w:fill="F2F2F2"/>
            <w:noWrap/>
            <w:vAlign w:val="center"/>
            <w:hideMark/>
          </w:tcPr>
          <w:p w14:paraId="160C4254"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94</w:t>
            </w:r>
          </w:p>
        </w:tc>
        <w:tc>
          <w:tcPr>
            <w:tcW w:w="989" w:type="dxa"/>
            <w:tcBorders>
              <w:top w:val="nil"/>
              <w:left w:val="nil"/>
              <w:bottom w:val="single" w:sz="8" w:space="0" w:color="BFBFBF"/>
              <w:right w:val="single" w:sz="8" w:space="0" w:color="BFBFBF"/>
            </w:tcBorders>
            <w:shd w:val="clear" w:color="000000" w:fill="F2F2F2"/>
            <w:noWrap/>
            <w:vAlign w:val="center"/>
            <w:hideMark/>
          </w:tcPr>
          <w:p w14:paraId="6F5950C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507DC2D4"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6CFD16BF"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660721A"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item20</w:t>
            </w:r>
          </w:p>
        </w:tc>
        <w:tc>
          <w:tcPr>
            <w:tcW w:w="1134" w:type="dxa"/>
            <w:tcBorders>
              <w:top w:val="nil"/>
              <w:left w:val="nil"/>
              <w:bottom w:val="single" w:sz="8" w:space="0" w:color="BFBFBF"/>
              <w:right w:val="single" w:sz="8" w:space="0" w:color="BFBFBF"/>
            </w:tcBorders>
            <w:shd w:val="clear" w:color="auto" w:fill="auto"/>
            <w:noWrap/>
            <w:vAlign w:val="center"/>
            <w:hideMark/>
          </w:tcPr>
          <w:p w14:paraId="1D06490E"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152D705C"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93</w:t>
            </w:r>
          </w:p>
        </w:tc>
        <w:tc>
          <w:tcPr>
            <w:tcW w:w="989" w:type="dxa"/>
            <w:tcBorders>
              <w:top w:val="nil"/>
              <w:left w:val="nil"/>
              <w:bottom w:val="single" w:sz="8" w:space="0" w:color="BFBFBF"/>
              <w:right w:val="single" w:sz="8" w:space="0" w:color="BFBFBF"/>
            </w:tcBorders>
            <w:shd w:val="clear" w:color="auto" w:fill="auto"/>
            <w:noWrap/>
            <w:vAlign w:val="center"/>
            <w:hideMark/>
          </w:tcPr>
          <w:p w14:paraId="0B3C3DD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211CE800"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268C71E7"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45E99E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item21</w:t>
            </w:r>
          </w:p>
        </w:tc>
        <w:tc>
          <w:tcPr>
            <w:tcW w:w="1134" w:type="dxa"/>
            <w:tcBorders>
              <w:top w:val="nil"/>
              <w:left w:val="nil"/>
              <w:bottom w:val="single" w:sz="8" w:space="0" w:color="BFBFBF"/>
              <w:right w:val="single" w:sz="8" w:space="0" w:color="BFBFBF"/>
            </w:tcBorders>
            <w:shd w:val="clear" w:color="000000" w:fill="F2F2F2"/>
            <w:noWrap/>
            <w:vAlign w:val="center"/>
            <w:hideMark/>
          </w:tcPr>
          <w:p w14:paraId="7C43A203"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000000" w:fill="F2F2F2"/>
            <w:noWrap/>
            <w:vAlign w:val="center"/>
            <w:hideMark/>
          </w:tcPr>
          <w:p w14:paraId="49AB3E88"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92</w:t>
            </w:r>
          </w:p>
        </w:tc>
        <w:tc>
          <w:tcPr>
            <w:tcW w:w="989" w:type="dxa"/>
            <w:tcBorders>
              <w:top w:val="nil"/>
              <w:left w:val="nil"/>
              <w:bottom w:val="single" w:sz="8" w:space="0" w:color="BFBFBF"/>
              <w:right w:val="single" w:sz="8" w:space="0" w:color="BFBFBF"/>
            </w:tcBorders>
            <w:shd w:val="clear" w:color="000000" w:fill="F2F2F2"/>
            <w:noWrap/>
            <w:vAlign w:val="center"/>
            <w:hideMark/>
          </w:tcPr>
          <w:p w14:paraId="498AC18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6B2FDF0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3B1C4F2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4FA7AB7"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item22</w:t>
            </w:r>
          </w:p>
        </w:tc>
        <w:tc>
          <w:tcPr>
            <w:tcW w:w="1134" w:type="dxa"/>
            <w:tcBorders>
              <w:top w:val="nil"/>
              <w:left w:val="nil"/>
              <w:bottom w:val="single" w:sz="8" w:space="0" w:color="BFBFBF"/>
              <w:right w:val="single" w:sz="8" w:space="0" w:color="BFBFBF"/>
            </w:tcBorders>
            <w:shd w:val="clear" w:color="auto" w:fill="auto"/>
            <w:noWrap/>
            <w:vAlign w:val="center"/>
            <w:hideMark/>
          </w:tcPr>
          <w:p w14:paraId="4842A97A"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406C95D8"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91</w:t>
            </w:r>
          </w:p>
        </w:tc>
        <w:tc>
          <w:tcPr>
            <w:tcW w:w="989" w:type="dxa"/>
            <w:tcBorders>
              <w:top w:val="nil"/>
              <w:left w:val="nil"/>
              <w:bottom w:val="single" w:sz="8" w:space="0" w:color="BFBFBF"/>
              <w:right w:val="single" w:sz="8" w:space="0" w:color="BFBFBF"/>
            </w:tcBorders>
            <w:shd w:val="clear" w:color="auto" w:fill="auto"/>
            <w:noWrap/>
            <w:vAlign w:val="center"/>
            <w:hideMark/>
          </w:tcPr>
          <w:p w14:paraId="20BD6839"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1D5403A3"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562838E0"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8150A7E"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item23</w:t>
            </w:r>
          </w:p>
        </w:tc>
        <w:tc>
          <w:tcPr>
            <w:tcW w:w="1134" w:type="dxa"/>
            <w:tcBorders>
              <w:top w:val="nil"/>
              <w:left w:val="nil"/>
              <w:bottom w:val="single" w:sz="8" w:space="0" w:color="BFBFBF"/>
              <w:right w:val="single" w:sz="8" w:space="0" w:color="BFBFBF"/>
            </w:tcBorders>
            <w:shd w:val="clear" w:color="000000" w:fill="F2F2F2"/>
            <w:noWrap/>
            <w:vAlign w:val="center"/>
            <w:hideMark/>
          </w:tcPr>
          <w:p w14:paraId="6A406B9F"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000000" w:fill="F2F2F2"/>
            <w:noWrap/>
            <w:vAlign w:val="center"/>
            <w:hideMark/>
          </w:tcPr>
          <w:p w14:paraId="446DA986"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90</w:t>
            </w:r>
          </w:p>
        </w:tc>
        <w:tc>
          <w:tcPr>
            <w:tcW w:w="989" w:type="dxa"/>
            <w:tcBorders>
              <w:top w:val="nil"/>
              <w:left w:val="nil"/>
              <w:bottom w:val="single" w:sz="8" w:space="0" w:color="BFBFBF"/>
              <w:right w:val="single" w:sz="8" w:space="0" w:color="BFBFBF"/>
            </w:tcBorders>
            <w:shd w:val="clear" w:color="000000" w:fill="F2F2F2"/>
            <w:noWrap/>
            <w:vAlign w:val="center"/>
            <w:hideMark/>
          </w:tcPr>
          <w:p w14:paraId="3E0D4FB3"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1FB74D9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6AE6254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601ACAD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item26</w:t>
            </w:r>
          </w:p>
        </w:tc>
        <w:tc>
          <w:tcPr>
            <w:tcW w:w="1134" w:type="dxa"/>
            <w:tcBorders>
              <w:top w:val="nil"/>
              <w:left w:val="nil"/>
              <w:bottom w:val="single" w:sz="8" w:space="0" w:color="BFBFBF"/>
              <w:right w:val="single" w:sz="8" w:space="0" w:color="BFBFBF"/>
            </w:tcBorders>
            <w:shd w:val="clear" w:color="auto" w:fill="auto"/>
            <w:noWrap/>
            <w:vAlign w:val="center"/>
            <w:hideMark/>
          </w:tcPr>
          <w:p w14:paraId="7EE51975"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auto" w:fill="auto"/>
            <w:noWrap/>
            <w:vAlign w:val="center"/>
            <w:hideMark/>
          </w:tcPr>
          <w:p w14:paraId="360E9EE8"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989" w:type="dxa"/>
            <w:tcBorders>
              <w:top w:val="nil"/>
              <w:left w:val="nil"/>
              <w:bottom w:val="single" w:sz="8" w:space="0" w:color="BFBFBF"/>
              <w:right w:val="single" w:sz="8" w:space="0" w:color="BFBFBF"/>
            </w:tcBorders>
            <w:shd w:val="clear" w:color="auto" w:fill="auto"/>
            <w:noWrap/>
            <w:vAlign w:val="center"/>
            <w:hideMark/>
          </w:tcPr>
          <w:p w14:paraId="69F2F86E"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auto" w:fill="auto"/>
            <w:noWrap/>
            <w:vAlign w:val="center"/>
            <w:hideMark/>
          </w:tcPr>
          <w:p w14:paraId="29317F1C"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72885B54"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1A30A894"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item28</w:t>
            </w:r>
          </w:p>
        </w:tc>
        <w:tc>
          <w:tcPr>
            <w:tcW w:w="1134" w:type="dxa"/>
            <w:tcBorders>
              <w:top w:val="nil"/>
              <w:left w:val="nil"/>
              <w:bottom w:val="single" w:sz="8" w:space="0" w:color="BFBFBF"/>
              <w:right w:val="single" w:sz="8" w:space="0" w:color="BFBFBF"/>
            </w:tcBorders>
            <w:shd w:val="clear" w:color="000000" w:fill="F2F2F2"/>
            <w:noWrap/>
            <w:vAlign w:val="center"/>
            <w:hideMark/>
          </w:tcPr>
          <w:p w14:paraId="57BFE771" w14:textId="77777777" w:rsidR="008D6B2E" w:rsidRPr="0091298B" w:rsidRDefault="008D6B2E" w:rsidP="00AF362E">
            <w:pPr>
              <w:rPr>
                <w:color w:val="000000"/>
                <w:sz w:val="16"/>
                <w:szCs w:val="16"/>
                <w:lang w:eastAsia="en-NZ"/>
              </w:rPr>
            </w:pPr>
            <w:r w:rsidRPr="0091298B">
              <w:rPr>
                <w:color w:val="000000"/>
                <w:sz w:val="16"/>
                <w:szCs w:val="16"/>
                <w:lang w:eastAsia="en-NZ"/>
              </w:rPr>
              <w:t>26</w:t>
            </w:r>
          </w:p>
        </w:tc>
        <w:tc>
          <w:tcPr>
            <w:tcW w:w="1209" w:type="dxa"/>
            <w:tcBorders>
              <w:top w:val="nil"/>
              <w:left w:val="nil"/>
              <w:bottom w:val="single" w:sz="8" w:space="0" w:color="BFBFBF"/>
              <w:right w:val="single" w:sz="8" w:space="0" w:color="BFBFBF"/>
            </w:tcBorders>
            <w:shd w:val="clear" w:color="000000" w:fill="F2F2F2"/>
            <w:noWrap/>
            <w:vAlign w:val="center"/>
            <w:hideMark/>
          </w:tcPr>
          <w:p w14:paraId="781EC44C"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89</w:t>
            </w:r>
          </w:p>
        </w:tc>
        <w:tc>
          <w:tcPr>
            <w:tcW w:w="989" w:type="dxa"/>
            <w:tcBorders>
              <w:top w:val="nil"/>
              <w:left w:val="nil"/>
              <w:bottom w:val="single" w:sz="8" w:space="0" w:color="BFBFBF"/>
              <w:right w:val="single" w:sz="8" w:space="0" w:color="BFBFBF"/>
            </w:tcBorders>
            <w:shd w:val="clear" w:color="000000" w:fill="F2F2F2"/>
            <w:noWrap/>
            <w:vAlign w:val="center"/>
            <w:hideMark/>
          </w:tcPr>
          <w:p w14:paraId="4F5D872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5217B505"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BBC4B9C"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74248F89"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item29</w:t>
            </w:r>
          </w:p>
        </w:tc>
        <w:tc>
          <w:tcPr>
            <w:tcW w:w="1134" w:type="dxa"/>
            <w:tcBorders>
              <w:top w:val="nil"/>
              <w:left w:val="nil"/>
              <w:bottom w:val="single" w:sz="8" w:space="0" w:color="BFBFBF"/>
              <w:right w:val="single" w:sz="8" w:space="0" w:color="BFBFBF"/>
            </w:tcBorders>
            <w:shd w:val="clear" w:color="auto" w:fill="auto"/>
            <w:noWrap/>
            <w:vAlign w:val="center"/>
            <w:hideMark/>
          </w:tcPr>
          <w:p w14:paraId="39A37BDF" w14:textId="77777777" w:rsidR="008D6B2E" w:rsidRPr="0091298B" w:rsidRDefault="008D6B2E" w:rsidP="00AF362E">
            <w:pPr>
              <w:rPr>
                <w:color w:val="000000"/>
                <w:sz w:val="16"/>
                <w:szCs w:val="16"/>
                <w:lang w:eastAsia="en-NZ"/>
              </w:rPr>
            </w:pPr>
            <w:r w:rsidRPr="0091298B">
              <w:rPr>
                <w:color w:val="000000"/>
                <w:sz w:val="16"/>
                <w:szCs w:val="16"/>
                <w:lang w:eastAsia="en-NZ"/>
              </w:rPr>
              <w:t>26</w:t>
            </w:r>
          </w:p>
        </w:tc>
        <w:tc>
          <w:tcPr>
            <w:tcW w:w="1209" w:type="dxa"/>
            <w:tcBorders>
              <w:top w:val="nil"/>
              <w:left w:val="nil"/>
              <w:bottom w:val="single" w:sz="8" w:space="0" w:color="BFBFBF"/>
              <w:right w:val="single" w:sz="8" w:space="0" w:color="BFBFBF"/>
            </w:tcBorders>
            <w:shd w:val="clear" w:color="auto" w:fill="auto"/>
            <w:noWrap/>
            <w:vAlign w:val="center"/>
            <w:hideMark/>
          </w:tcPr>
          <w:p w14:paraId="4FD3F2A7"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88</w:t>
            </w:r>
          </w:p>
        </w:tc>
        <w:tc>
          <w:tcPr>
            <w:tcW w:w="989" w:type="dxa"/>
            <w:tcBorders>
              <w:top w:val="nil"/>
              <w:left w:val="nil"/>
              <w:bottom w:val="single" w:sz="8" w:space="0" w:color="BFBFBF"/>
              <w:right w:val="single" w:sz="8" w:space="0" w:color="BFBFBF"/>
            </w:tcBorders>
            <w:shd w:val="clear" w:color="auto" w:fill="auto"/>
            <w:noWrap/>
            <w:vAlign w:val="center"/>
            <w:hideMark/>
          </w:tcPr>
          <w:p w14:paraId="1110C5F1"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4B8656C9"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5EDF4C3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01ADA3C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item30</w:t>
            </w:r>
          </w:p>
        </w:tc>
        <w:tc>
          <w:tcPr>
            <w:tcW w:w="1134" w:type="dxa"/>
            <w:tcBorders>
              <w:top w:val="nil"/>
              <w:left w:val="nil"/>
              <w:bottom w:val="single" w:sz="8" w:space="0" w:color="BFBFBF"/>
              <w:right w:val="single" w:sz="8" w:space="0" w:color="BFBFBF"/>
            </w:tcBorders>
            <w:shd w:val="clear" w:color="000000" w:fill="F2F2F2"/>
            <w:noWrap/>
            <w:vAlign w:val="center"/>
            <w:hideMark/>
          </w:tcPr>
          <w:p w14:paraId="7D709F65" w14:textId="77777777" w:rsidR="008D6B2E" w:rsidRPr="0091298B" w:rsidRDefault="008D6B2E" w:rsidP="00AF362E">
            <w:pPr>
              <w:rPr>
                <w:color w:val="000000"/>
                <w:sz w:val="16"/>
                <w:szCs w:val="16"/>
                <w:lang w:eastAsia="en-NZ"/>
              </w:rPr>
            </w:pPr>
            <w:r w:rsidRPr="0091298B">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649FD5EF"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87</w:t>
            </w:r>
          </w:p>
        </w:tc>
        <w:tc>
          <w:tcPr>
            <w:tcW w:w="989" w:type="dxa"/>
            <w:tcBorders>
              <w:top w:val="nil"/>
              <w:left w:val="nil"/>
              <w:bottom w:val="single" w:sz="8" w:space="0" w:color="BFBFBF"/>
              <w:right w:val="single" w:sz="8" w:space="0" w:color="BFBFBF"/>
            </w:tcBorders>
            <w:shd w:val="clear" w:color="000000" w:fill="F2F2F2"/>
            <w:noWrap/>
            <w:vAlign w:val="center"/>
            <w:hideMark/>
          </w:tcPr>
          <w:p w14:paraId="62DF267C"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5D45C2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042BE5F7"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77B6E83"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item31</w:t>
            </w:r>
          </w:p>
        </w:tc>
        <w:tc>
          <w:tcPr>
            <w:tcW w:w="1134" w:type="dxa"/>
            <w:tcBorders>
              <w:top w:val="nil"/>
              <w:left w:val="nil"/>
              <w:bottom w:val="single" w:sz="8" w:space="0" w:color="BFBFBF"/>
              <w:right w:val="single" w:sz="8" w:space="0" w:color="BFBFBF"/>
            </w:tcBorders>
            <w:shd w:val="clear" w:color="auto" w:fill="auto"/>
            <w:noWrap/>
            <w:vAlign w:val="center"/>
            <w:hideMark/>
          </w:tcPr>
          <w:p w14:paraId="154B6897" w14:textId="77777777" w:rsidR="008D6B2E" w:rsidRPr="0091298B" w:rsidRDefault="008D6B2E" w:rsidP="00AF362E">
            <w:pPr>
              <w:rPr>
                <w:color w:val="000000"/>
                <w:sz w:val="16"/>
                <w:szCs w:val="16"/>
                <w:lang w:eastAsia="en-NZ"/>
              </w:rPr>
            </w:pPr>
            <w:r w:rsidRPr="0091298B">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auto" w:fill="auto"/>
            <w:noWrap/>
            <w:vAlign w:val="center"/>
            <w:hideMark/>
          </w:tcPr>
          <w:p w14:paraId="08F829E6"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86</w:t>
            </w:r>
          </w:p>
        </w:tc>
        <w:tc>
          <w:tcPr>
            <w:tcW w:w="989" w:type="dxa"/>
            <w:tcBorders>
              <w:top w:val="nil"/>
              <w:left w:val="nil"/>
              <w:bottom w:val="single" w:sz="8" w:space="0" w:color="BFBFBF"/>
              <w:right w:val="single" w:sz="8" w:space="0" w:color="BFBFBF"/>
            </w:tcBorders>
            <w:shd w:val="clear" w:color="auto" w:fill="auto"/>
            <w:noWrap/>
            <w:vAlign w:val="center"/>
            <w:hideMark/>
          </w:tcPr>
          <w:p w14:paraId="336C0325"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51C16AD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1EE5343C"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2321E8E2"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item32</w:t>
            </w:r>
          </w:p>
        </w:tc>
        <w:tc>
          <w:tcPr>
            <w:tcW w:w="1134" w:type="dxa"/>
            <w:tcBorders>
              <w:top w:val="nil"/>
              <w:left w:val="nil"/>
              <w:bottom w:val="single" w:sz="8" w:space="0" w:color="BFBFBF"/>
              <w:right w:val="single" w:sz="8" w:space="0" w:color="BFBFBF"/>
            </w:tcBorders>
            <w:shd w:val="clear" w:color="000000" w:fill="F2F2F2"/>
            <w:noWrap/>
            <w:vAlign w:val="center"/>
            <w:hideMark/>
          </w:tcPr>
          <w:p w14:paraId="66EFE9C2"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F2F2F2"/>
            <w:noWrap/>
            <w:vAlign w:val="center"/>
            <w:hideMark/>
          </w:tcPr>
          <w:p w14:paraId="1CE7B881"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85</w:t>
            </w:r>
          </w:p>
        </w:tc>
        <w:tc>
          <w:tcPr>
            <w:tcW w:w="989" w:type="dxa"/>
            <w:tcBorders>
              <w:top w:val="nil"/>
              <w:left w:val="nil"/>
              <w:bottom w:val="single" w:sz="8" w:space="0" w:color="BFBFBF"/>
              <w:right w:val="single" w:sz="8" w:space="0" w:color="BFBFBF"/>
            </w:tcBorders>
            <w:shd w:val="clear" w:color="000000" w:fill="F2F2F2"/>
            <w:noWrap/>
            <w:vAlign w:val="center"/>
            <w:hideMark/>
          </w:tcPr>
          <w:p w14:paraId="009DFE77"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4837C74A"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03228472" w14:textId="77777777" w:rsidTr="008D6B2E">
        <w:trPr>
          <w:trHeight w:val="20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A119246"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item33</w:t>
            </w:r>
          </w:p>
        </w:tc>
        <w:tc>
          <w:tcPr>
            <w:tcW w:w="1134" w:type="dxa"/>
            <w:tcBorders>
              <w:top w:val="nil"/>
              <w:left w:val="nil"/>
              <w:bottom w:val="single" w:sz="8" w:space="0" w:color="BFBFBF"/>
              <w:right w:val="single" w:sz="8" w:space="0" w:color="BFBFBF"/>
            </w:tcBorders>
            <w:shd w:val="clear" w:color="auto" w:fill="auto"/>
            <w:noWrap/>
            <w:vAlign w:val="center"/>
            <w:hideMark/>
          </w:tcPr>
          <w:p w14:paraId="6F257546" w14:textId="77777777" w:rsidR="008D6B2E" w:rsidRPr="0091298B" w:rsidRDefault="008D6B2E" w:rsidP="00AF362E">
            <w:pPr>
              <w:rPr>
                <w:color w:val="000000"/>
                <w:sz w:val="16"/>
                <w:szCs w:val="16"/>
                <w:lang w:eastAsia="en-NZ"/>
              </w:rPr>
            </w:pPr>
            <w:r w:rsidRPr="0091298B">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auto" w:fill="auto"/>
            <w:noWrap/>
            <w:vAlign w:val="center"/>
            <w:hideMark/>
          </w:tcPr>
          <w:p w14:paraId="0B10E336"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84</w:t>
            </w:r>
          </w:p>
        </w:tc>
        <w:tc>
          <w:tcPr>
            <w:tcW w:w="989" w:type="dxa"/>
            <w:tcBorders>
              <w:top w:val="nil"/>
              <w:left w:val="nil"/>
              <w:bottom w:val="single" w:sz="8" w:space="0" w:color="BFBFBF"/>
              <w:right w:val="single" w:sz="8" w:space="0" w:color="BFBFBF"/>
            </w:tcBorders>
            <w:shd w:val="clear" w:color="auto" w:fill="auto"/>
            <w:noWrap/>
            <w:vAlign w:val="center"/>
            <w:hideMark/>
          </w:tcPr>
          <w:p w14:paraId="21E94DEF"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0E5F8FF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1B397E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E3FC61B"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item34</w:t>
            </w:r>
          </w:p>
        </w:tc>
        <w:tc>
          <w:tcPr>
            <w:tcW w:w="1134" w:type="dxa"/>
            <w:tcBorders>
              <w:top w:val="nil"/>
              <w:left w:val="nil"/>
              <w:bottom w:val="single" w:sz="8" w:space="0" w:color="BFBFBF"/>
              <w:right w:val="single" w:sz="8" w:space="0" w:color="BFBFBF"/>
            </w:tcBorders>
            <w:shd w:val="clear" w:color="000000" w:fill="F2F2F2"/>
            <w:noWrap/>
            <w:vAlign w:val="center"/>
            <w:hideMark/>
          </w:tcPr>
          <w:p w14:paraId="4F9FD898" w14:textId="77777777" w:rsidR="008D6B2E" w:rsidRPr="0091298B" w:rsidRDefault="008D6B2E" w:rsidP="00AF362E">
            <w:pPr>
              <w:rPr>
                <w:color w:val="000000"/>
                <w:sz w:val="16"/>
                <w:szCs w:val="16"/>
                <w:lang w:eastAsia="en-NZ"/>
              </w:rPr>
            </w:pPr>
            <w:r w:rsidRPr="0091298B">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42452772"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83</w:t>
            </w:r>
          </w:p>
        </w:tc>
        <w:tc>
          <w:tcPr>
            <w:tcW w:w="989" w:type="dxa"/>
            <w:tcBorders>
              <w:top w:val="nil"/>
              <w:left w:val="nil"/>
              <w:bottom w:val="single" w:sz="8" w:space="0" w:color="BFBFBF"/>
              <w:right w:val="single" w:sz="8" w:space="0" w:color="BFBFBF"/>
            </w:tcBorders>
            <w:shd w:val="clear" w:color="000000" w:fill="F2F2F2"/>
            <w:noWrap/>
            <w:vAlign w:val="center"/>
            <w:hideMark/>
          </w:tcPr>
          <w:p w14:paraId="72070D4A"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1395B7A9"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268F946F"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11D733AA"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item35</w:t>
            </w:r>
          </w:p>
        </w:tc>
        <w:tc>
          <w:tcPr>
            <w:tcW w:w="1134" w:type="dxa"/>
            <w:tcBorders>
              <w:top w:val="nil"/>
              <w:left w:val="nil"/>
              <w:bottom w:val="single" w:sz="8" w:space="0" w:color="BFBFBF"/>
              <w:right w:val="single" w:sz="8" w:space="0" w:color="BFBFBF"/>
            </w:tcBorders>
            <w:shd w:val="clear" w:color="auto" w:fill="auto"/>
            <w:noWrap/>
            <w:vAlign w:val="center"/>
            <w:hideMark/>
          </w:tcPr>
          <w:p w14:paraId="07E5C3D3"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14961892"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83</w:t>
            </w:r>
          </w:p>
        </w:tc>
        <w:tc>
          <w:tcPr>
            <w:tcW w:w="989" w:type="dxa"/>
            <w:tcBorders>
              <w:top w:val="nil"/>
              <w:left w:val="nil"/>
              <w:bottom w:val="single" w:sz="8" w:space="0" w:color="BFBFBF"/>
              <w:right w:val="single" w:sz="8" w:space="0" w:color="BFBFBF"/>
            </w:tcBorders>
            <w:shd w:val="clear" w:color="auto" w:fill="auto"/>
            <w:noWrap/>
            <w:vAlign w:val="center"/>
            <w:hideMark/>
          </w:tcPr>
          <w:p w14:paraId="5D39653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7DEDCAF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3446601C"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6D3E3D2A"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item36</w:t>
            </w:r>
          </w:p>
        </w:tc>
        <w:tc>
          <w:tcPr>
            <w:tcW w:w="1134" w:type="dxa"/>
            <w:tcBorders>
              <w:top w:val="nil"/>
              <w:left w:val="nil"/>
              <w:bottom w:val="single" w:sz="8" w:space="0" w:color="BFBFBF"/>
              <w:right w:val="single" w:sz="8" w:space="0" w:color="BFBFBF"/>
            </w:tcBorders>
            <w:shd w:val="clear" w:color="000000" w:fill="F2F2F2"/>
            <w:noWrap/>
            <w:vAlign w:val="center"/>
            <w:hideMark/>
          </w:tcPr>
          <w:p w14:paraId="07BD621B" w14:textId="77777777" w:rsidR="008D6B2E" w:rsidRPr="0091298B" w:rsidRDefault="008D6B2E" w:rsidP="00AF362E">
            <w:pPr>
              <w:rPr>
                <w:color w:val="000000"/>
                <w:sz w:val="16"/>
                <w:szCs w:val="16"/>
                <w:lang w:eastAsia="en-NZ"/>
              </w:rPr>
            </w:pPr>
            <w:r w:rsidRPr="0091298B">
              <w:rPr>
                <w:color w:val="000000"/>
                <w:sz w:val="16"/>
                <w:szCs w:val="16"/>
                <w:lang w:eastAsia="en-NZ"/>
              </w:rPr>
              <w:t>32</w:t>
            </w:r>
          </w:p>
        </w:tc>
        <w:tc>
          <w:tcPr>
            <w:tcW w:w="1209" w:type="dxa"/>
            <w:tcBorders>
              <w:top w:val="nil"/>
              <w:left w:val="nil"/>
              <w:bottom w:val="single" w:sz="8" w:space="0" w:color="BFBFBF"/>
              <w:right w:val="single" w:sz="8" w:space="0" w:color="BFBFBF"/>
            </w:tcBorders>
            <w:shd w:val="clear" w:color="000000" w:fill="F2F2F2"/>
            <w:noWrap/>
            <w:vAlign w:val="center"/>
            <w:hideMark/>
          </w:tcPr>
          <w:p w14:paraId="07696461"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81</w:t>
            </w:r>
          </w:p>
        </w:tc>
        <w:tc>
          <w:tcPr>
            <w:tcW w:w="989" w:type="dxa"/>
            <w:tcBorders>
              <w:top w:val="nil"/>
              <w:left w:val="nil"/>
              <w:bottom w:val="single" w:sz="8" w:space="0" w:color="BFBFBF"/>
              <w:right w:val="single" w:sz="8" w:space="0" w:color="BFBFBF"/>
            </w:tcBorders>
            <w:shd w:val="clear" w:color="000000" w:fill="F2F2F2"/>
            <w:noWrap/>
            <w:vAlign w:val="center"/>
            <w:hideMark/>
          </w:tcPr>
          <w:p w14:paraId="713C840C"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9A2C40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1D9C3BD7"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0AE1F4C8"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item37</w:t>
            </w:r>
          </w:p>
        </w:tc>
        <w:tc>
          <w:tcPr>
            <w:tcW w:w="1134" w:type="dxa"/>
            <w:tcBorders>
              <w:top w:val="nil"/>
              <w:left w:val="nil"/>
              <w:bottom w:val="single" w:sz="8" w:space="0" w:color="BFBFBF"/>
              <w:right w:val="single" w:sz="8" w:space="0" w:color="BFBFBF"/>
            </w:tcBorders>
            <w:shd w:val="clear" w:color="auto" w:fill="auto"/>
            <w:noWrap/>
            <w:vAlign w:val="center"/>
            <w:hideMark/>
          </w:tcPr>
          <w:p w14:paraId="197851A2" w14:textId="77777777" w:rsidR="008D6B2E" w:rsidRPr="0091298B" w:rsidRDefault="008D6B2E" w:rsidP="00AF362E">
            <w:pPr>
              <w:rPr>
                <w:color w:val="000000"/>
                <w:sz w:val="16"/>
                <w:szCs w:val="16"/>
                <w:lang w:eastAsia="en-NZ"/>
              </w:rPr>
            </w:pPr>
            <w:r w:rsidRPr="0091298B">
              <w:rPr>
                <w:color w:val="000000"/>
                <w:sz w:val="16"/>
                <w:szCs w:val="16"/>
                <w:lang w:eastAsia="en-NZ"/>
              </w:rPr>
              <w:t>18</w:t>
            </w:r>
          </w:p>
        </w:tc>
        <w:tc>
          <w:tcPr>
            <w:tcW w:w="1209" w:type="dxa"/>
            <w:tcBorders>
              <w:top w:val="nil"/>
              <w:left w:val="nil"/>
              <w:bottom w:val="single" w:sz="8" w:space="0" w:color="BFBFBF"/>
              <w:right w:val="single" w:sz="8" w:space="0" w:color="BFBFBF"/>
            </w:tcBorders>
            <w:shd w:val="clear" w:color="auto" w:fill="auto"/>
            <w:noWrap/>
            <w:vAlign w:val="center"/>
            <w:hideMark/>
          </w:tcPr>
          <w:p w14:paraId="37E07770"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80</w:t>
            </w:r>
          </w:p>
        </w:tc>
        <w:tc>
          <w:tcPr>
            <w:tcW w:w="989" w:type="dxa"/>
            <w:tcBorders>
              <w:top w:val="nil"/>
              <w:left w:val="nil"/>
              <w:bottom w:val="single" w:sz="8" w:space="0" w:color="BFBFBF"/>
              <w:right w:val="single" w:sz="8" w:space="0" w:color="BFBFBF"/>
            </w:tcBorders>
            <w:shd w:val="clear" w:color="auto" w:fill="auto"/>
            <w:noWrap/>
            <w:vAlign w:val="center"/>
            <w:hideMark/>
          </w:tcPr>
          <w:p w14:paraId="3952D76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3A1DA052"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54242C6"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0DB0569D"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item40</w:t>
            </w:r>
          </w:p>
        </w:tc>
        <w:tc>
          <w:tcPr>
            <w:tcW w:w="1134" w:type="dxa"/>
            <w:tcBorders>
              <w:top w:val="nil"/>
              <w:left w:val="nil"/>
              <w:bottom w:val="single" w:sz="8" w:space="0" w:color="BFBFBF"/>
              <w:right w:val="single" w:sz="8" w:space="0" w:color="BFBFBF"/>
            </w:tcBorders>
            <w:shd w:val="clear" w:color="000000" w:fill="F2F2F2"/>
            <w:noWrap/>
            <w:vAlign w:val="center"/>
            <w:hideMark/>
          </w:tcPr>
          <w:p w14:paraId="40F77EA8" w14:textId="77777777" w:rsidR="008D6B2E" w:rsidRPr="0091298B" w:rsidRDefault="008D6B2E" w:rsidP="00AF362E">
            <w:pPr>
              <w:rPr>
                <w:color w:val="000000"/>
                <w:sz w:val="16"/>
                <w:szCs w:val="16"/>
                <w:lang w:eastAsia="en-NZ"/>
              </w:rPr>
            </w:pPr>
            <w:r w:rsidRPr="0091298B">
              <w:rPr>
                <w:color w:val="000000"/>
                <w:sz w:val="16"/>
                <w:szCs w:val="16"/>
                <w:lang w:eastAsia="en-NZ"/>
              </w:rPr>
              <w:t>1</w:t>
            </w:r>
          </w:p>
        </w:tc>
        <w:tc>
          <w:tcPr>
            <w:tcW w:w="1209" w:type="dxa"/>
            <w:tcBorders>
              <w:top w:val="nil"/>
              <w:left w:val="nil"/>
              <w:bottom w:val="single" w:sz="8" w:space="0" w:color="BFBFBF"/>
              <w:right w:val="single" w:sz="8" w:space="0" w:color="BFBFBF"/>
            </w:tcBorders>
            <w:shd w:val="clear" w:color="000000" w:fill="F2F2F2"/>
            <w:noWrap/>
            <w:vAlign w:val="center"/>
            <w:hideMark/>
          </w:tcPr>
          <w:p w14:paraId="71C2C0A7"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5765CDC3"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c>
          <w:tcPr>
            <w:tcW w:w="989" w:type="dxa"/>
            <w:tcBorders>
              <w:top w:val="nil"/>
              <w:left w:val="nil"/>
              <w:bottom w:val="single" w:sz="8" w:space="0" w:color="BFBFBF"/>
              <w:right w:val="single" w:sz="8" w:space="0" w:color="BFBFBF"/>
            </w:tcBorders>
            <w:shd w:val="clear" w:color="000000" w:fill="F2F2F2"/>
            <w:noWrap/>
            <w:vAlign w:val="center"/>
            <w:hideMark/>
          </w:tcPr>
          <w:p w14:paraId="77939EDC" w14:textId="77777777" w:rsidR="008D6B2E" w:rsidRPr="0091298B" w:rsidRDefault="008D6B2E" w:rsidP="00AF362E">
            <w:pPr>
              <w:rPr>
                <w:color w:val="000000"/>
                <w:sz w:val="16"/>
                <w:szCs w:val="16"/>
                <w:lang w:eastAsia="en-NZ"/>
              </w:rPr>
            </w:pPr>
            <w:r w:rsidRPr="0091298B">
              <w:rPr>
                <w:color w:val="000000"/>
                <w:sz w:val="16"/>
                <w:szCs w:val="16"/>
                <w:lang w:eastAsia="en-NZ"/>
              </w:rPr>
              <w:t>2</w:t>
            </w:r>
          </w:p>
        </w:tc>
      </w:tr>
      <w:tr w:rsidR="008D6B2E" w:rsidRPr="0091298B" w14:paraId="0D3F9E2E" w14:textId="77777777" w:rsidTr="008D6B2E">
        <w:trPr>
          <w:trHeight w:val="20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0A0892A7"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item41</w:t>
            </w:r>
          </w:p>
        </w:tc>
        <w:tc>
          <w:tcPr>
            <w:tcW w:w="1134" w:type="dxa"/>
            <w:tcBorders>
              <w:top w:val="nil"/>
              <w:left w:val="nil"/>
              <w:bottom w:val="single" w:sz="8" w:space="0" w:color="BFBFBF"/>
              <w:right w:val="single" w:sz="8" w:space="0" w:color="BFBFBF"/>
            </w:tcBorders>
            <w:shd w:val="clear" w:color="auto" w:fill="auto"/>
            <w:noWrap/>
            <w:vAlign w:val="center"/>
            <w:hideMark/>
          </w:tcPr>
          <w:p w14:paraId="05EED9BA" w14:textId="77777777" w:rsidR="008D6B2E" w:rsidRPr="0091298B" w:rsidRDefault="008D6B2E" w:rsidP="00AF362E">
            <w:pPr>
              <w:rPr>
                <w:color w:val="000000"/>
                <w:sz w:val="16"/>
                <w:szCs w:val="16"/>
                <w:lang w:eastAsia="en-NZ"/>
              </w:rPr>
            </w:pPr>
            <w:r w:rsidRPr="0091298B">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37236BDE"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79</w:t>
            </w:r>
          </w:p>
        </w:tc>
        <w:tc>
          <w:tcPr>
            <w:tcW w:w="989" w:type="dxa"/>
            <w:tcBorders>
              <w:top w:val="nil"/>
              <w:left w:val="nil"/>
              <w:bottom w:val="single" w:sz="8" w:space="0" w:color="BFBFBF"/>
              <w:right w:val="single" w:sz="8" w:space="0" w:color="BFBFBF"/>
            </w:tcBorders>
            <w:shd w:val="clear" w:color="auto" w:fill="auto"/>
            <w:noWrap/>
            <w:vAlign w:val="center"/>
            <w:hideMark/>
          </w:tcPr>
          <w:p w14:paraId="64EDFF6F"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196D32B9"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27FDEA6"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CA3FC50"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item42</w:t>
            </w:r>
          </w:p>
        </w:tc>
        <w:tc>
          <w:tcPr>
            <w:tcW w:w="1134" w:type="dxa"/>
            <w:tcBorders>
              <w:top w:val="nil"/>
              <w:left w:val="nil"/>
              <w:bottom w:val="single" w:sz="8" w:space="0" w:color="BFBFBF"/>
              <w:right w:val="single" w:sz="8" w:space="0" w:color="BFBFBF"/>
            </w:tcBorders>
            <w:shd w:val="clear" w:color="000000" w:fill="F2F2F2"/>
            <w:noWrap/>
            <w:vAlign w:val="center"/>
            <w:hideMark/>
          </w:tcPr>
          <w:p w14:paraId="1A136C58" w14:textId="77777777" w:rsidR="008D6B2E" w:rsidRPr="0091298B" w:rsidRDefault="008D6B2E" w:rsidP="00AF362E">
            <w:pPr>
              <w:rPr>
                <w:color w:val="000000"/>
                <w:sz w:val="16"/>
                <w:szCs w:val="16"/>
                <w:lang w:eastAsia="en-NZ"/>
              </w:rPr>
            </w:pPr>
            <w:r w:rsidRPr="0091298B">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000000" w:fill="F2F2F2"/>
            <w:noWrap/>
            <w:vAlign w:val="center"/>
            <w:hideMark/>
          </w:tcPr>
          <w:p w14:paraId="7630394B"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78</w:t>
            </w:r>
          </w:p>
        </w:tc>
        <w:tc>
          <w:tcPr>
            <w:tcW w:w="989" w:type="dxa"/>
            <w:tcBorders>
              <w:top w:val="nil"/>
              <w:left w:val="nil"/>
              <w:bottom w:val="single" w:sz="8" w:space="0" w:color="BFBFBF"/>
              <w:right w:val="single" w:sz="8" w:space="0" w:color="BFBFBF"/>
            </w:tcBorders>
            <w:shd w:val="clear" w:color="000000" w:fill="F2F2F2"/>
            <w:noWrap/>
            <w:vAlign w:val="center"/>
            <w:hideMark/>
          </w:tcPr>
          <w:p w14:paraId="3312DD78"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75C71BBB"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7D62F975"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E8D811D"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item43</w:t>
            </w:r>
          </w:p>
        </w:tc>
        <w:tc>
          <w:tcPr>
            <w:tcW w:w="1134" w:type="dxa"/>
            <w:tcBorders>
              <w:top w:val="nil"/>
              <w:left w:val="nil"/>
              <w:bottom w:val="single" w:sz="8" w:space="0" w:color="BFBFBF"/>
              <w:right w:val="single" w:sz="8" w:space="0" w:color="BFBFBF"/>
            </w:tcBorders>
            <w:shd w:val="clear" w:color="auto" w:fill="auto"/>
            <w:noWrap/>
            <w:vAlign w:val="center"/>
            <w:hideMark/>
          </w:tcPr>
          <w:p w14:paraId="059F044A" w14:textId="77777777" w:rsidR="008D6B2E" w:rsidRPr="0091298B" w:rsidRDefault="008D6B2E" w:rsidP="00AF362E">
            <w:pPr>
              <w:rPr>
                <w:color w:val="000000"/>
                <w:sz w:val="16"/>
                <w:szCs w:val="16"/>
                <w:lang w:eastAsia="en-NZ"/>
              </w:rPr>
            </w:pPr>
            <w:r w:rsidRPr="0091298B">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auto" w:fill="auto"/>
            <w:noWrap/>
            <w:vAlign w:val="center"/>
            <w:hideMark/>
          </w:tcPr>
          <w:p w14:paraId="40743AB0"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77</w:t>
            </w:r>
          </w:p>
        </w:tc>
        <w:tc>
          <w:tcPr>
            <w:tcW w:w="989" w:type="dxa"/>
            <w:tcBorders>
              <w:top w:val="nil"/>
              <w:left w:val="nil"/>
              <w:bottom w:val="single" w:sz="8" w:space="0" w:color="BFBFBF"/>
              <w:right w:val="single" w:sz="8" w:space="0" w:color="BFBFBF"/>
            </w:tcBorders>
            <w:shd w:val="clear" w:color="auto" w:fill="auto"/>
            <w:noWrap/>
            <w:vAlign w:val="center"/>
            <w:hideMark/>
          </w:tcPr>
          <w:p w14:paraId="45FC476E"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7A4D2A7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0CD33E74"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90902CD"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item44</w:t>
            </w:r>
          </w:p>
        </w:tc>
        <w:tc>
          <w:tcPr>
            <w:tcW w:w="1134" w:type="dxa"/>
            <w:tcBorders>
              <w:top w:val="nil"/>
              <w:left w:val="nil"/>
              <w:bottom w:val="single" w:sz="8" w:space="0" w:color="BFBFBF"/>
              <w:right w:val="single" w:sz="8" w:space="0" w:color="BFBFBF"/>
            </w:tcBorders>
            <w:shd w:val="clear" w:color="000000" w:fill="F2F2F2"/>
            <w:noWrap/>
            <w:vAlign w:val="center"/>
            <w:hideMark/>
          </w:tcPr>
          <w:p w14:paraId="49BD51B5"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000000" w:fill="F2F2F2"/>
            <w:noWrap/>
            <w:vAlign w:val="center"/>
            <w:hideMark/>
          </w:tcPr>
          <w:p w14:paraId="7EF4616B"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76</w:t>
            </w:r>
          </w:p>
        </w:tc>
        <w:tc>
          <w:tcPr>
            <w:tcW w:w="989" w:type="dxa"/>
            <w:tcBorders>
              <w:top w:val="nil"/>
              <w:left w:val="nil"/>
              <w:bottom w:val="single" w:sz="8" w:space="0" w:color="BFBFBF"/>
              <w:right w:val="single" w:sz="8" w:space="0" w:color="BFBFBF"/>
            </w:tcBorders>
            <w:shd w:val="clear" w:color="000000" w:fill="F2F2F2"/>
            <w:noWrap/>
            <w:vAlign w:val="center"/>
            <w:hideMark/>
          </w:tcPr>
          <w:p w14:paraId="004A4FD1"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3DE4C7D6"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686A6B0D"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1F0FA49C"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item45</w:t>
            </w:r>
          </w:p>
        </w:tc>
        <w:tc>
          <w:tcPr>
            <w:tcW w:w="1134" w:type="dxa"/>
            <w:tcBorders>
              <w:top w:val="nil"/>
              <w:left w:val="nil"/>
              <w:bottom w:val="single" w:sz="8" w:space="0" w:color="BFBFBF"/>
              <w:right w:val="single" w:sz="8" w:space="0" w:color="BFBFBF"/>
            </w:tcBorders>
            <w:shd w:val="clear" w:color="auto" w:fill="auto"/>
            <w:noWrap/>
            <w:vAlign w:val="center"/>
            <w:hideMark/>
          </w:tcPr>
          <w:p w14:paraId="362ABE8D"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1209" w:type="dxa"/>
            <w:tcBorders>
              <w:top w:val="nil"/>
              <w:left w:val="nil"/>
              <w:bottom w:val="single" w:sz="8" w:space="0" w:color="BFBFBF"/>
              <w:right w:val="single" w:sz="8" w:space="0" w:color="BFBFBF"/>
            </w:tcBorders>
            <w:shd w:val="clear" w:color="auto" w:fill="auto"/>
            <w:noWrap/>
            <w:vAlign w:val="center"/>
            <w:hideMark/>
          </w:tcPr>
          <w:p w14:paraId="20DD04CF"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75</w:t>
            </w:r>
          </w:p>
        </w:tc>
        <w:tc>
          <w:tcPr>
            <w:tcW w:w="989" w:type="dxa"/>
            <w:tcBorders>
              <w:top w:val="nil"/>
              <w:left w:val="nil"/>
              <w:bottom w:val="single" w:sz="8" w:space="0" w:color="BFBFBF"/>
              <w:right w:val="single" w:sz="8" w:space="0" w:color="BFBFBF"/>
            </w:tcBorders>
            <w:shd w:val="clear" w:color="auto" w:fill="auto"/>
            <w:noWrap/>
            <w:vAlign w:val="center"/>
            <w:hideMark/>
          </w:tcPr>
          <w:p w14:paraId="5A0E4E04"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auto" w:fill="auto"/>
            <w:noWrap/>
            <w:vAlign w:val="center"/>
            <w:hideMark/>
          </w:tcPr>
          <w:p w14:paraId="71D3E0F7"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r w:rsidR="008D6B2E" w:rsidRPr="0091298B" w14:paraId="6C13CF12" w14:textId="77777777" w:rsidTr="002A5728">
        <w:trPr>
          <w:trHeight w:val="40"/>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5599AD5C" w14:textId="77777777" w:rsidR="008D6B2E" w:rsidRPr="0091298B" w:rsidRDefault="008D6B2E" w:rsidP="00AF362E">
            <w:pPr>
              <w:rPr>
                <w:b/>
                <w:bCs/>
                <w:color w:val="000000"/>
                <w:sz w:val="16"/>
                <w:szCs w:val="16"/>
                <w:lang w:eastAsia="en-NZ"/>
              </w:rPr>
            </w:pPr>
            <w:r w:rsidRPr="0091298B">
              <w:rPr>
                <w:b/>
                <w:bCs/>
                <w:color w:val="000000"/>
                <w:sz w:val="16"/>
                <w:szCs w:val="16"/>
                <w:lang w:eastAsia="en-NZ"/>
              </w:rPr>
              <w:t>item46</w:t>
            </w:r>
          </w:p>
        </w:tc>
        <w:tc>
          <w:tcPr>
            <w:tcW w:w="1134" w:type="dxa"/>
            <w:tcBorders>
              <w:top w:val="nil"/>
              <w:left w:val="nil"/>
              <w:bottom w:val="single" w:sz="8" w:space="0" w:color="BFBFBF"/>
              <w:right w:val="single" w:sz="8" w:space="0" w:color="BFBFBF"/>
            </w:tcBorders>
            <w:shd w:val="clear" w:color="000000" w:fill="F2F2F2"/>
            <w:noWrap/>
            <w:vAlign w:val="center"/>
            <w:hideMark/>
          </w:tcPr>
          <w:p w14:paraId="039C81E2" w14:textId="77777777" w:rsidR="008D6B2E" w:rsidRPr="0091298B" w:rsidRDefault="008D6B2E" w:rsidP="00AF362E">
            <w:pPr>
              <w:rPr>
                <w:color w:val="000000"/>
                <w:sz w:val="16"/>
                <w:szCs w:val="16"/>
                <w:lang w:eastAsia="en-NZ"/>
              </w:rPr>
            </w:pPr>
            <w:r w:rsidRPr="0091298B">
              <w:rPr>
                <w:color w:val="000000"/>
                <w:sz w:val="16"/>
                <w:szCs w:val="16"/>
                <w:lang w:eastAsia="en-NZ"/>
              </w:rPr>
              <w:t>40</w:t>
            </w:r>
          </w:p>
        </w:tc>
        <w:tc>
          <w:tcPr>
            <w:tcW w:w="1209" w:type="dxa"/>
            <w:tcBorders>
              <w:top w:val="nil"/>
              <w:left w:val="nil"/>
              <w:bottom w:val="single" w:sz="8" w:space="0" w:color="BFBFBF"/>
              <w:right w:val="single" w:sz="8" w:space="0" w:color="BFBFBF"/>
            </w:tcBorders>
            <w:shd w:val="clear" w:color="000000" w:fill="F2F2F2"/>
            <w:noWrap/>
            <w:vAlign w:val="center"/>
            <w:hideMark/>
          </w:tcPr>
          <w:p w14:paraId="262F7E50" w14:textId="77777777" w:rsidR="008D6B2E" w:rsidRPr="0091298B" w:rsidRDefault="008D6B2E" w:rsidP="00AF362E">
            <w:pPr>
              <w:rPr>
                <w:i/>
                <w:iCs/>
                <w:color w:val="000000"/>
                <w:sz w:val="16"/>
                <w:szCs w:val="16"/>
                <w:lang w:eastAsia="en-NZ"/>
              </w:rPr>
            </w:pPr>
            <w:r w:rsidRPr="0091298B">
              <w:rPr>
                <w:i/>
                <w:iCs/>
                <w:color w:val="000000"/>
                <w:sz w:val="16"/>
                <w:szCs w:val="16"/>
                <w:lang w:eastAsia="en-NZ"/>
              </w:rPr>
              <w:t>74</w:t>
            </w:r>
          </w:p>
        </w:tc>
        <w:tc>
          <w:tcPr>
            <w:tcW w:w="989" w:type="dxa"/>
            <w:tcBorders>
              <w:top w:val="nil"/>
              <w:left w:val="nil"/>
              <w:bottom w:val="single" w:sz="8" w:space="0" w:color="BFBFBF"/>
              <w:right w:val="single" w:sz="8" w:space="0" w:color="BFBFBF"/>
            </w:tcBorders>
            <w:shd w:val="clear" w:color="000000" w:fill="F2F2F2"/>
            <w:noWrap/>
            <w:vAlign w:val="center"/>
            <w:hideMark/>
          </w:tcPr>
          <w:p w14:paraId="070D9A48"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c>
          <w:tcPr>
            <w:tcW w:w="989" w:type="dxa"/>
            <w:tcBorders>
              <w:top w:val="nil"/>
              <w:left w:val="nil"/>
              <w:bottom w:val="single" w:sz="8" w:space="0" w:color="BFBFBF"/>
              <w:right w:val="single" w:sz="8" w:space="0" w:color="BFBFBF"/>
            </w:tcBorders>
            <w:shd w:val="clear" w:color="000000" w:fill="F2F2F2"/>
            <w:noWrap/>
            <w:vAlign w:val="center"/>
            <w:hideMark/>
          </w:tcPr>
          <w:p w14:paraId="2FE4801E" w14:textId="77777777" w:rsidR="008D6B2E" w:rsidRPr="0091298B" w:rsidRDefault="008D6B2E" w:rsidP="00AF362E">
            <w:pPr>
              <w:rPr>
                <w:color w:val="000000"/>
                <w:sz w:val="16"/>
                <w:szCs w:val="16"/>
                <w:lang w:eastAsia="en-NZ"/>
              </w:rPr>
            </w:pPr>
            <w:r w:rsidRPr="0091298B">
              <w:rPr>
                <w:color w:val="000000"/>
                <w:sz w:val="16"/>
                <w:szCs w:val="16"/>
                <w:lang w:eastAsia="en-NZ"/>
              </w:rPr>
              <w:t>3</w:t>
            </w:r>
          </w:p>
        </w:tc>
      </w:tr>
    </w:tbl>
    <w:p w14:paraId="2C0C255E" w14:textId="1B9DF597" w:rsidR="00CF5A53" w:rsidRDefault="0036489C" w:rsidP="002A5728">
      <w:pPr>
        <w:rPr>
          <w:sz w:val="16"/>
          <w:szCs w:val="16"/>
        </w:rPr>
      </w:pPr>
      <w:r w:rsidRPr="0036489C">
        <w:rPr>
          <w:sz w:val="16"/>
          <w:szCs w:val="16"/>
        </w:rPr>
        <w:t>Table 2.  Insertion of dummy item.</w:t>
      </w:r>
    </w:p>
    <w:p w14:paraId="15E374A8" w14:textId="77777777" w:rsidR="0036489C" w:rsidRPr="0036489C" w:rsidRDefault="0036489C" w:rsidP="002A5728">
      <w:pPr>
        <w:rPr>
          <w:sz w:val="16"/>
          <w:szCs w:val="16"/>
        </w:rPr>
      </w:pPr>
    </w:p>
    <w:p w14:paraId="76AEAF38" w14:textId="0D1FC5C1" w:rsidR="00CF5A53" w:rsidRDefault="00CF5A53" w:rsidP="00CF5A53">
      <w:pPr>
        <w:jc w:val="both"/>
        <w:rPr>
          <w:szCs w:val="24"/>
        </w:rPr>
      </w:pPr>
      <w:r>
        <w:rPr>
          <w:rFonts w:eastAsia="Calibri"/>
          <w:szCs w:val="24"/>
        </w:rPr>
        <w:t xml:space="preserve">Step 7(b). </w:t>
      </w:r>
      <w:r w:rsidRPr="00E062A2">
        <w:rPr>
          <w:rFonts w:eastAsia="Calibri"/>
          <w:szCs w:val="24"/>
        </w:rPr>
        <w:t>In the second sub-step</w:t>
      </w:r>
      <w:r w:rsidRPr="00E062A2">
        <w:rPr>
          <w:szCs w:val="24"/>
        </w:rPr>
        <w:t>, as presented in Fig</w:t>
      </w:r>
      <w:r>
        <w:rPr>
          <w:szCs w:val="24"/>
        </w:rPr>
        <w:t>.</w:t>
      </w:r>
      <w:r w:rsidRPr="00E062A2">
        <w:rPr>
          <w:szCs w:val="24"/>
        </w:rPr>
        <w:t xml:space="preserve"> </w:t>
      </w:r>
      <w:r>
        <w:rPr>
          <w:szCs w:val="24"/>
        </w:rPr>
        <w:t>8</w:t>
      </w:r>
      <w:r w:rsidRPr="00E062A2">
        <w:rPr>
          <w:szCs w:val="24"/>
        </w:rPr>
        <w:t xml:space="preserve">, </w:t>
      </w:r>
      <w:r>
        <w:rPr>
          <w:szCs w:val="24"/>
        </w:rPr>
        <w:t xml:space="preserve">we </w:t>
      </w:r>
      <w:r w:rsidRPr="00E062A2">
        <w:rPr>
          <w:szCs w:val="24"/>
        </w:rPr>
        <w:t>calculat</w:t>
      </w:r>
      <w:r>
        <w:rPr>
          <w:szCs w:val="24"/>
        </w:rPr>
        <w:t>e the statistics</w:t>
      </w:r>
      <w:r>
        <w:t xml:space="preserve"> </w:t>
      </w:r>
      <w:r w:rsidRPr="00E062A2">
        <w:t xml:space="preserve">Goodman and Kruskal’s Lambda, Cohen’s </w:t>
      </w:r>
      <w:r w:rsidRPr="00E062A2">
        <w:rPr>
          <w:lang w:eastAsia="en-NZ"/>
        </w:rPr>
        <w:t xml:space="preserve">Kappa, and  </w:t>
      </w:r>
      <w:r w:rsidRPr="00E062A2">
        <w:t xml:space="preserve">Goodman and Kruskal’s </w:t>
      </w:r>
      <w:r w:rsidRPr="00E062A2">
        <w:rPr>
          <w:lang w:eastAsia="en-NZ"/>
        </w:rPr>
        <w:t xml:space="preserve">Gamma </w:t>
      </w:r>
      <w:r>
        <w:rPr>
          <w:lang w:eastAsia="en-NZ"/>
        </w:rPr>
        <w:fldChar w:fldCharType="begin" w:fldLock="1"/>
      </w:r>
      <w:r>
        <w:rPr>
          <w:lang w:eastAsia="en-NZ"/>
        </w:rPr>
        <w:instrText>ADDIN CSL_CITATION {"citationItems":[{"id":"ITEM-1","itemData":{"author":[{"dropping-particle":"","family":"Goodman, L. A., &amp; Kruskal","given":"W. H.","non-dropping-particle":"","parse-names":false,"suffix":""}],"container-title":"Journal of the American Statistical Association","id":"ITEM-1","issued":{"date-parts":[["1954"]]},"page":"732-764","title":"Measures of association for cross classifications.","type":"article-journal","volume":"49"},"uris":["http://www.mendeley.com/documents/?uuid=d7659be5-1dcc-407c-b362-449ae4cc2889"]}],"mendeley":{"formattedCitation":"[43]","plainTextFormattedCitation":"[43]","previouslyFormattedCitation":"[43]"},"properties":{"noteIndex":0},"schema":"https://github.com/citation-style-language/schema/raw/master/csl-citation.json"}</w:instrText>
      </w:r>
      <w:r>
        <w:rPr>
          <w:lang w:eastAsia="en-NZ"/>
        </w:rPr>
        <w:fldChar w:fldCharType="separate"/>
      </w:r>
      <w:r w:rsidRPr="00E65D3B">
        <w:rPr>
          <w:noProof/>
          <w:lang w:eastAsia="en-NZ"/>
        </w:rPr>
        <w:t>[43]</w:t>
      </w:r>
      <w:r>
        <w:rPr>
          <w:lang w:eastAsia="en-NZ"/>
        </w:rPr>
        <w:fldChar w:fldCharType="end"/>
      </w:r>
      <w:r>
        <w:rPr>
          <w:lang w:eastAsia="en-NZ"/>
        </w:rPr>
        <w:t>. These three statistics</w:t>
      </w:r>
      <w:r w:rsidRPr="00E062A2">
        <w:rPr>
          <w:lang w:eastAsia="en-NZ"/>
        </w:rPr>
        <w:t xml:space="preserve"> together provide useful information for evaluating the similarity of two tre</w:t>
      </w:r>
      <w:r>
        <w:rPr>
          <w:lang w:eastAsia="en-NZ"/>
        </w:rPr>
        <w:t>e</w:t>
      </w:r>
      <w:r w:rsidRPr="00E062A2">
        <w:rPr>
          <w:lang w:eastAsia="en-NZ"/>
        </w:rPr>
        <w:t xml:space="preserve">s.  </w:t>
      </w:r>
      <w:r w:rsidRPr="00F04FB4">
        <w:rPr>
          <w:rFonts w:eastAsia="Calibri"/>
          <w:szCs w:val="24"/>
        </w:rPr>
        <w:t xml:space="preserve">Prior research recommends Lambda&gt;0.7, Kappa &gt;0.4 and Gamma&gt;0.3 </w:t>
      </w:r>
      <w:r>
        <w:rPr>
          <w:rFonts w:eastAsia="Calibri"/>
          <w:szCs w:val="24"/>
        </w:rPr>
        <w:t xml:space="preserve">as good thresholds for tree fit </w:t>
      </w:r>
      <w:r>
        <w:rPr>
          <w:rFonts w:eastAsia="Calibri"/>
          <w:szCs w:val="24"/>
        </w:rPr>
        <w:fldChar w:fldCharType="begin" w:fldLock="1"/>
      </w:r>
      <w:r>
        <w:rPr>
          <w:rFonts w:eastAsia="Calibri"/>
          <w:szCs w:val="24"/>
        </w:rPr>
        <w:instrText>ADDIN CSL_CITATION {"citationItems":[{"id":"ITEM-1","itemData":{"DOI":"10.1007/s11135-019-00957-8","ISBN":"0123456789","ISSN":"15737845","abstract":"Diagnostic theories are fundamental to Information Systems practice and are represented in trees. One way of creating diagnostic trees is by employing independent experts to construct such trees and compare them. However, good measures of similarity to compare diagnostic trees have not been identified. This paper presents an analysis of the suitability of various measures of association to determine the similarity of two diagnostic trees using bootstrap simulations. We find that three measures of association, Goodman and Kruskal’s Lambda, Cohen’s Kappa, and Goodman and Kruskal’s Gamma (J Am Stat Assoc 49(268):732–764, 1954) each behave differently depending on what is inconsistent between the two trees thus providing both measures for assessing alignment between two trees developed by independent experts as well as identifying the causes of the differences.","author":[{"dropping-particle":"","family":"Sabbaghan","given":"Sahar","non-dropping-particle":"","parse-names":false,"suffix":""},{"dropping-particle":"","family":"Chua","given":"Cecil Eng Huang","non-dropping-particle":"","parse-names":false,"suffix":""},{"dropping-particle":"","family":"Gardner","given":"Lesley A.","non-dropping-particle":"","parse-names":false,"suffix":""}],"container-title":"Quality and Quantity","id":"ITEM-1","issue":"0123456789","issued":{"date-parts":[["2020"]]},"publisher":"Springer Netherlands","title":"Statistical measurement of trees’ similarity","type":"article-journal"},"uris":["http://www.mendeley.com/documents/?uuid=d8b03674-43d6-49db-9efb-07698e4364e4"]}],"mendeley":{"formattedCitation":"[37]","plainTextFormattedCitation":"[37]","previouslyFormattedCitation":"[37]"},"properties":{"noteIndex":0},"schema":"https://github.com/citation-style-language/schema/raw/master/csl-citation.json"}</w:instrText>
      </w:r>
      <w:r>
        <w:rPr>
          <w:rFonts w:eastAsia="Calibri"/>
          <w:szCs w:val="24"/>
        </w:rPr>
        <w:fldChar w:fldCharType="separate"/>
      </w:r>
      <w:r w:rsidRPr="00E65D3B">
        <w:rPr>
          <w:rFonts w:eastAsia="Calibri"/>
          <w:noProof/>
          <w:szCs w:val="24"/>
        </w:rPr>
        <w:t>[37]</w:t>
      </w:r>
      <w:r>
        <w:rPr>
          <w:rFonts w:eastAsia="Calibri"/>
          <w:szCs w:val="24"/>
        </w:rPr>
        <w:fldChar w:fldCharType="end"/>
      </w:r>
      <w:r w:rsidRPr="00F04FB4">
        <w:rPr>
          <w:rFonts w:eastAsia="Calibri"/>
          <w:szCs w:val="24"/>
        </w:rPr>
        <w:t>.</w:t>
      </w:r>
      <w:r>
        <w:rPr>
          <w:rFonts w:eastAsia="Calibri"/>
          <w:szCs w:val="24"/>
        </w:rPr>
        <w:t xml:space="preserve"> </w:t>
      </w:r>
      <w:r w:rsidRPr="00E062A2">
        <w:rPr>
          <w:rFonts w:eastAsia="Calibri"/>
          <w:szCs w:val="24"/>
        </w:rPr>
        <w:t>This corresponds to about 30% of the two trees being different.</w:t>
      </w:r>
      <w:r w:rsidRPr="00E062A2">
        <w:rPr>
          <w:szCs w:val="24"/>
        </w:rPr>
        <w:t xml:space="preserve"> Thus, so long as the trees meet satisfactory thresholds for similarity, we add one more level and perform the comparison again. </w:t>
      </w:r>
      <w:r>
        <w:rPr>
          <w:szCs w:val="24"/>
        </w:rPr>
        <w:t>If the entirety of both diagnostic trees built by the experts meet the thresholds, then the final tree can be built in step 9.</w:t>
      </w:r>
    </w:p>
    <w:p w14:paraId="16F225A7" w14:textId="39CE17C7" w:rsidR="002A5728" w:rsidRDefault="002A5728" w:rsidP="00CF5A53">
      <w:pPr>
        <w:jc w:val="both"/>
        <w:rPr>
          <w:szCs w:val="24"/>
        </w:rPr>
      </w:pPr>
      <w:r>
        <w:rPr>
          <w:noProof/>
          <w:szCs w:val="24"/>
        </w:rPr>
        <w:drawing>
          <wp:inline distT="0" distB="0" distL="0" distR="0" wp14:anchorId="3DCD68F2" wp14:editId="494F3484">
            <wp:extent cx="3482510" cy="1638300"/>
            <wp:effectExtent l="0" t="0" r="381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5"/>
                    <a:stretch>
                      <a:fillRect/>
                    </a:stretch>
                  </pic:blipFill>
                  <pic:spPr>
                    <a:xfrm>
                      <a:off x="0" y="0"/>
                      <a:ext cx="3492448" cy="1642975"/>
                    </a:xfrm>
                    <a:prstGeom prst="rect">
                      <a:avLst/>
                    </a:prstGeom>
                  </pic:spPr>
                </pic:pic>
              </a:graphicData>
            </a:graphic>
          </wp:inline>
        </w:drawing>
      </w:r>
    </w:p>
    <w:p w14:paraId="3272EEA2" w14:textId="4D187C05" w:rsidR="002A5728" w:rsidRPr="0036489C" w:rsidRDefault="002A5728" w:rsidP="002A5728">
      <w:pPr>
        <w:rPr>
          <w:sz w:val="16"/>
          <w:szCs w:val="16"/>
        </w:rPr>
      </w:pPr>
      <w:r w:rsidRPr="0036489C">
        <w:rPr>
          <w:sz w:val="16"/>
          <w:szCs w:val="16"/>
        </w:rPr>
        <w:t>Fig. 8.</w:t>
      </w:r>
      <w:r w:rsidR="0036489C" w:rsidRPr="0036489C">
        <w:rPr>
          <w:sz w:val="16"/>
          <w:szCs w:val="16"/>
        </w:rPr>
        <w:t xml:space="preserve">  Flowchart of the q-sorting evaluation process.</w:t>
      </w:r>
    </w:p>
    <w:p w14:paraId="3F5AAE59" w14:textId="77777777" w:rsidR="0036489C" w:rsidRPr="002A5728" w:rsidRDefault="0036489C" w:rsidP="002A5728"/>
    <w:p w14:paraId="2684F24E" w14:textId="6461E857" w:rsidR="00CF5A53" w:rsidRDefault="00CF5A53" w:rsidP="00CF5A53">
      <w:pPr>
        <w:jc w:val="both"/>
        <w:rPr>
          <w:rFonts w:eastAsia="Calibri"/>
          <w:szCs w:val="24"/>
        </w:rPr>
      </w:pPr>
      <w:r w:rsidRPr="00E062A2">
        <w:rPr>
          <w:szCs w:val="24"/>
        </w:rPr>
        <w:t>If the measures do not meet satisfactory levels</w:t>
      </w:r>
      <w:r>
        <w:rPr>
          <w:szCs w:val="24"/>
        </w:rPr>
        <w:t>,</w:t>
      </w:r>
      <w:r w:rsidRPr="00E062A2">
        <w:rPr>
          <w:szCs w:val="24"/>
        </w:rPr>
        <w:t xml:space="preserve"> th</w:t>
      </w:r>
      <w:r>
        <w:rPr>
          <w:szCs w:val="24"/>
        </w:rPr>
        <w:t>en</w:t>
      </w:r>
      <w:r w:rsidRPr="00E062A2">
        <w:rPr>
          <w:szCs w:val="24"/>
        </w:rPr>
        <w:t xml:space="preserve"> the scores </w:t>
      </w:r>
      <w:r>
        <w:rPr>
          <w:szCs w:val="24"/>
        </w:rPr>
        <w:t xml:space="preserve">are </w:t>
      </w:r>
      <w:r w:rsidRPr="00E062A2">
        <w:rPr>
          <w:szCs w:val="24"/>
        </w:rPr>
        <w:t xml:space="preserve">interpreted </w:t>
      </w:r>
      <w:r>
        <w:rPr>
          <w:szCs w:val="24"/>
        </w:rPr>
        <w:t>to identify problematic items. These items will then be edited, and experts are asked to remap the items in step 8. This evaluation process is guided by our three statistics, which each</w:t>
      </w:r>
      <w:r w:rsidRPr="00361485">
        <w:rPr>
          <w:lang w:eastAsia="en-NZ"/>
        </w:rPr>
        <w:t xml:space="preserve"> </w:t>
      </w:r>
      <w:r w:rsidRPr="00E062A2">
        <w:rPr>
          <w:lang w:eastAsia="en-NZ"/>
        </w:rPr>
        <w:t xml:space="preserve">behave differently depending on what is inconsistent between </w:t>
      </w:r>
      <w:r>
        <w:rPr>
          <w:lang w:eastAsia="en-NZ"/>
        </w:rPr>
        <w:t xml:space="preserve">the </w:t>
      </w:r>
      <w:r w:rsidRPr="00E062A2">
        <w:rPr>
          <w:lang w:eastAsia="en-NZ"/>
        </w:rPr>
        <w:t>two trees</w:t>
      </w:r>
      <w:r>
        <w:rPr>
          <w:lang w:eastAsia="en-NZ"/>
        </w:rPr>
        <w:t xml:space="preserve"> </w:t>
      </w:r>
      <w:r>
        <w:rPr>
          <w:rFonts w:eastAsia="Calibri"/>
          <w:szCs w:val="24"/>
        </w:rPr>
        <w:fldChar w:fldCharType="begin" w:fldLock="1"/>
      </w:r>
      <w:r>
        <w:rPr>
          <w:rFonts w:eastAsia="Calibri"/>
          <w:szCs w:val="24"/>
        </w:rPr>
        <w:instrText>ADDIN CSL_CITATION {"citationItems":[{"id":"ITEM-1","itemData":{"DOI":"10.1007/s11135-019-00957-8","ISBN":"0123456789","ISSN":"15737845","abstract":"Diagnostic theories are fundamental to Information Systems practice and are represented in trees. One way of creating diagnostic trees is by employing independent experts to construct such trees and compare them. However, good measures of similarity to compare diagnostic trees have not been identified. This paper presents an analysis of the suitability of various measures of association to determine the similarity of two diagnostic trees using bootstrap simulations. We find that three measures of association, Goodman and Kruskal’s Lambda, Cohen’s Kappa, and Goodman and Kruskal’s Gamma (J Am Stat Assoc 49(268):732–764, 1954) each behave differently depending on what is inconsistent between the two trees thus providing both measures for assessing alignment between two trees developed by independent experts as well as identifying the causes of the differences.","author":[{"dropping-particle":"","family":"Sabbaghan","given":"Sahar","non-dropping-particle":"","parse-names":false,"suffix":""},{"dropping-particle":"","family":"Chua","given":"Cecil Eng Huang","non-dropping-particle":"","parse-names":false,"suffix":""},{"dropping-particle":"","family":"Gardner","given":"Lesley A.","non-dropping-particle":"","parse-names":false,"suffix":""}],"container-title":"Quality and Quantity","id":"ITEM-1","issue":"0123456789","issued":{"date-parts":[["2020"]]},"publisher":"Springer Netherlands","title":"Statistical measurement of trees’ similarity","type":"article-journal"},"uris":["http://www.mendeley.com/documents/?uuid=d8b03674-43d6-49db-9efb-07698e4364e4"]}],"mendeley":{"formattedCitation":"[37]","plainTextFormattedCitation":"[37]","previouslyFormattedCitation":"[37]"},"properties":{"noteIndex":0},"schema":"https://github.com/citation-style-language/schema/raw/master/csl-citation.json"}</w:instrText>
      </w:r>
      <w:r>
        <w:rPr>
          <w:rFonts w:eastAsia="Calibri"/>
          <w:szCs w:val="24"/>
        </w:rPr>
        <w:fldChar w:fldCharType="separate"/>
      </w:r>
      <w:r w:rsidRPr="00E65D3B">
        <w:rPr>
          <w:rFonts w:eastAsia="Calibri"/>
          <w:noProof/>
          <w:szCs w:val="24"/>
        </w:rPr>
        <w:t>[37]</w:t>
      </w:r>
      <w:r>
        <w:rPr>
          <w:rFonts w:eastAsia="Calibri"/>
          <w:szCs w:val="24"/>
        </w:rPr>
        <w:fldChar w:fldCharType="end"/>
      </w:r>
      <w:r>
        <w:rPr>
          <w:rFonts w:eastAsia="Calibri"/>
          <w:szCs w:val="24"/>
        </w:rPr>
        <w:t>.</w:t>
      </w:r>
      <w:r>
        <w:rPr>
          <w:szCs w:val="24"/>
        </w:rPr>
        <w:t xml:space="preserve"> </w:t>
      </w:r>
      <w:r w:rsidRPr="00E062A2">
        <w:rPr>
          <w:rFonts w:eastAsia="Calibri"/>
          <w:szCs w:val="24"/>
        </w:rPr>
        <w:t xml:space="preserve">As presented in Table </w:t>
      </w:r>
      <w:r>
        <w:rPr>
          <w:rFonts w:eastAsia="Calibri"/>
          <w:szCs w:val="24"/>
        </w:rPr>
        <w:t>3</w:t>
      </w:r>
      <w:r w:rsidRPr="00E062A2">
        <w:rPr>
          <w:rFonts w:eastAsia="Calibri"/>
          <w:szCs w:val="24"/>
        </w:rPr>
        <w:t>,</w:t>
      </w:r>
      <w:r>
        <w:rPr>
          <w:rFonts w:eastAsia="Calibri"/>
          <w:szCs w:val="24"/>
        </w:rPr>
        <w:t xml:space="preserve"> </w:t>
      </w:r>
      <w:bookmarkStart w:id="55" w:name="_Hlk509416020"/>
      <w:r w:rsidRPr="00E062A2">
        <w:rPr>
          <w:rFonts w:eastAsia="Calibri"/>
          <w:szCs w:val="24"/>
        </w:rPr>
        <w:t>Gamma is particularly sensitive to differences in levels (hierarchy movements or swaps), while Kappa is sensitive to differences within a level of the tree (level movements or swaps).  Lambda is sensitive to “movements” where a single node or branch differs between the two trees, and not sensitive to “swaps” where two nodes or branches are</w:t>
      </w:r>
      <w:r>
        <w:rPr>
          <w:rFonts w:eastAsia="Calibri"/>
          <w:szCs w:val="24"/>
        </w:rPr>
        <w:t xml:space="preserve"> </w:t>
      </w:r>
      <w:r w:rsidRPr="00E062A2">
        <w:rPr>
          <w:rFonts w:eastAsia="Calibri"/>
          <w:szCs w:val="24"/>
        </w:rPr>
        <w:t>substituted. </w:t>
      </w:r>
      <w:bookmarkEnd w:id="55"/>
    </w:p>
    <w:p w14:paraId="1B1B326A" w14:textId="77777777" w:rsidR="007E1983" w:rsidRDefault="007E1983" w:rsidP="00CF5A53">
      <w:pPr>
        <w:jc w:val="both"/>
        <w:rPr>
          <w:rFonts w:eastAsia="Calibri"/>
          <w:szCs w:val="24"/>
        </w:rPr>
      </w:pPr>
    </w:p>
    <w:tbl>
      <w:tblPr>
        <w:tblStyle w:val="PlainTable1"/>
        <w:tblW w:w="5408" w:type="dxa"/>
        <w:tblLook w:val="04A0" w:firstRow="1" w:lastRow="0" w:firstColumn="1" w:lastColumn="0" w:noHBand="0" w:noVBand="1"/>
      </w:tblPr>
      <w:tblGrid>
        <w:gridCol w:w="594"/>
        <w:gridCol w:w="2662"/>
        <w:gridCol w:w="2152"/>
      </w:tblGrid>
      <w:tr w:rsidR="002A5728" w:rsidRPr="0091298B" w14:paraId="1CE63336" w14:textId="77777777" w:rsidTr="002A572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94" w:type="dxa"/>
          </w:tcPr>
          <w:p w14:paraId="72A15AC4" w14:textId="77777777" w:rsidR="002A5728" w:rsidRPr="0091298B" w:rsidRDefault="002A5728" w:rsidP="00AF362E">
            <w:pPr>
              <w:contextualSpacing/>
              <w:rPr>
                <w:rFonts w:ascii="Times New Roman" w:hAnsi="Times New Roman" w:cs="Times New Roman"/>
                <w:sz w:val="16"/>
                <w:szCs w:val="16"/>
              </w:rPr>
            </w:pPr>
            <w:bookmarkStart w:id="56" w:name="_Hlk495922099"/>
            <w:r w:rsidRPr="0091298B">
              <w:rPr>
                <w:rFonts w:ascii="Times New Roman" w:hAnsi="Times New Roman" w:cs="Times New Roman"/>
                <w:color w:val="000000"/>
                <w:sz w:val="16"/>
                <w:szCs w:val="16"/>
              </w:rPr>
              <w:t>Num.</w:t>
            </w:r>
          </w:p>
        </w:tc>
        <w:tc>
          <w:tcPr>
            <w:tcW w:w="2662" w:type="dxa"/>
          </w:tcPr>
          <w:p w14:paraId="33240950" w14:textId="77777777" w:rsidR="002A5728" w:rsidRPr="0091298B" w:rsidRDefault="002A5728" w:rsidP="00AF362E">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Interpretation of measures</w:t>
            </w:r>
          </w:p>
        </w:tc>
        <w:tc>
          <w:tcPr>
            <w:tcW w:w="2152" w:type="dxa"/>
          </w:tcPr>
          <w:p w14:paraId="08862280" w14:textId="77777777" w:rsidR="002A5728" w:rsidRPr="0091298B" w:rsidRDefault="002A5728" w:rsidP="00AF362E">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Type of error</w:t>
            </w:r>
          </w:p>
        </w:tc>
      </w:tr>
      <w:tr w:rsidR="002A5728" w:rsidRPr="0091298B" w14:paraId="3F2A6DA1" w14:textId="77777777" w:rsidTr="002A57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94" w:type="dxa"/>
          </w:tcPr>
          <w:p w14:paraId="464766A0" w14:textId="77777777" w:rsidR="002A5728" w:rsidRPr="0091298B" w:rsidRDefault="002A5728" w:rsidP="00AF362E">
            <w:pPr>
              <w:contextualSpacing/>
              <w:rPr>
                <w:rFonts w:ascii="Times New Roman" w:hAnsi="Times New Roman" w:cs="Times New Roman"/>
                <w:color w:val="000000"/>
                <w:sz w:val="16"/>
                <w:szCs w:val="16"/>
              </w:rPr>
            </w:pPr>
            <w:r w:rsidRPr="0091298B">
              <w:rPr>
                <w:rFonts w:ascii="Times New Roman" w:hAnsi="Times New Roman" w:cs="Times New Roman"/>
                <w:color w:val="000000"/>
                <w:sz w:val="16"/>
                <w:szCs w:val="16"/>
              </w:rPr>
              <w:t>1</w:t>
            </w:r>
          </w:p>
        </w:tc>
        <w:tc>
          <w:tcPr>
            <w:tcW w:w="2662" w:type="dxa"/>
          </w:tcPr>
          <w:p w14:paraId="3C38D0F5"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 xml:space="preserve">Gamma and Kappa are both lower than threshold </w:t>
            </w:r>
          </w:p>
        </w:tc>
        <w:tc>
          <w:tcPr>
            <w:tcW w:w="2152" w:type="dxa"/>
          </w:tcPr>
          <w:p w14:paraId="6AB50FC2"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eastAsia="Calibri" w:hAnsi="Times New Roman" w:cs="Times New Roman"/>
                <w:color w:val="000000"/>
                <w:sz w:val="16"/>
                <w:szCs w:val="16"/>
              </w:rPr>
              <w:t>Diagonal movements or swaps</w:t>
            </w:r>
          </w:p>
        </w:tc>
      </w:tr>
      <w:tr w:rsidR="002A5728" w:rsidRPr="0091298B" w14:paraId="5AE6664E" w14:textId="77777777" w:rsidTr="002A5728">
        <w:trPr>
          <w:trHeight w:val="50"/>
        </w:trPr>
        <w:tc>
          <w:tcPr>
            <w:cnfStyle w:val="001000000000" w:firstRow="0" w:lastRow="0" w:firstColumn="1" w:lastColumn="0" w:oddVBand="0" w:evenVBand="0" w:oddHBand="0" w:evenHBand="0" w:firstRowFirstColumn="0" w:firstRowLastColumn="0" w:lastRowFirstColumn="0" w:lastRowLastColumn="0"/>
            <w:tcW w:w="594" w:type="dxa"/>
          </w:tcPr>
          <w:p w14:paraId="59BC7F65"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2</w:t>
            </w:r>
          </w:p>
        </w:tc>
        <w:tc>
          <w:tcPr>
            <w:tcW w:w="2662" w:type="dxa"/>
          </w:tcPr>
          <w:p w14:paraId="2F703197"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Gamma is lower than threshold</w:t>
            </w:r>
          </w:p>
        </w:tc>
        <w:tc>
          <w:tcPr>
            <w:tcW w:w="2152" w:type="dxa"/>
          </w:tcPr>
          <w:p w14:paraId="7E2B36E8"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Hierarchy movement or swap</w:t>
            </w:r>
          </w:p>
        </w:tc>
      </w:tr>
      <w:tr w:rsidR="002A5728" w:rsidRPr="0091298B" w14:paraId="0E2E2229" w14:textId="77777777" w:rsidTr="002A5728">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94" w:type="dxa"/>
          </w:tcPr>
          <w:p w14:paraId="53EF9A46"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3</w:t>
            </w:r>
          </w:p>
        </w:tc>
        <w:tc>
          <w:tcPr>
            <w:tcW w:w="2662" w:type="dxa"/>
          </w:tcPr>
          <w:p w14:paraId="29FE4466"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Kappa is lower than threshold</w:t>
            </w:r>
          </w:p>
        </w:tc>
        <w:tc>
          <w:tcPr>
            <w:tcW w:w="2152" w:type="dxa"/>
          </w:tcPr>
          <w:p w14:paraId="1A92D626"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eastAsia="Calibri" w:hAnsi="Times New Roman" w:cs="Times New Roman"/>
                <w:color w:val="000000"/>
                <w:sz w:val="16"/>
                <w:szCs w:val="16"/>
              </w:rPr>
              <w:t>Level movement or swap</w:t>
            </w:r>
          </w:p>
        </w:tc>
      </w:tr>
      <w:tr w:rsidR="002A5728" w:rsidRPr="0091298B" w14:paraId="2DC475F2" w14:textId="77777777" w:rsidTr="002A5728">
        <w:trPr>
          <w:trHeight w:val="84"/>
        </w:trPr>
        <w:tc>
          <w:tcPr>
            <w:cnfStyle w:val="001000000000" w:firstRow="0" w:lastRow="0" w:firstColumn="1" w:lastColumn="0" w:oddVBand="0" w:evenVBand="0" w:oddHBand="0" w:evenHBand="0" w:firstRowFirstColumn="0" w:firstRowLastColumn="0" w:lastRowFirstColumn="0" w:lastRowLastColumn="0"/>
            <w:tcW w:w="594" w:type="dxa"/>
          </w:tcPr>
          <w:p w14:paraId="1AE134C5"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4</w:t>
            </w:r>
          </w:p>
        </w:tc>
        <w:tc>
          <w:tcPr>
            <w:tcW w:w="2662" w:type="dxa"/>
          </w:tcPr>
          <w:p w14:paraId="4CB2340B"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1. Lambda is lower than threshold</w:t>
            </w:r>
          </w:p>
        </w:tc>
        <w:tc>
          <w:tcPr>
            <w:tcW w:w="2152" w:type="dxa"/>
          </w:tcPr>
          <w:p w14:paraId="6B8378F6"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Movements</w:t>
            </w:r>
          </w:p>
        </w:tc>
      </w:tr>
      <w:tr w:rsidR="002A5728" w:rsidRPr="0091298B" w14:paraId="556A3DBD" w14:textId="77777777" w:rsidTr="002A572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94" w:type="dxa"/>
          </w:tcPr>
          <w:p w14:paraId="64ED9310"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5</w:t>
            </w:r>
          </w:p>
        </w:tc>
        <w:tc>
          <w:tcPr>
            <w:tcW w:w="2662" w:type="dxa"/>
          </w:tcPr>
          <w:p w14:paraId="092FB7F7"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1. Lambda is higher than threshold 2. Gamma is low</w:t>
            </w:r>
          </w:p>
        </w:tc>
        <w:tc>
          <w:tcPr>
            <w:tcW w:w="2152" w:type="dxa"/>
          </w:tcPr>
          <w:p w14:paraId="06B12878"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Hierarchy swap</w:t>
            </w:r>
          </w:p>
        </w:tc>
      </w:tr>
      <w:tr w:rsidR="002A5728" w:rsidRPr="0091298B" w14:paraId="015E623D" w14:textId="77777777" w:rsidTr="002A5728">
        <w:trPr>
          <w:trHeight w:val="300"/>
        </w:trPr>
        <w:tc>
          <w:tcPr>
            <w:cnfStyle w:val="001000000000" w:firstRow="0" w:lastRow="0" w:firstColumn="1" w:lastColumn="0" w:oddVBand="0" w:evenVBand="0" w:oddHBand="0" w:evenHBand="0" w:firstRowFirstColumn="0" w:firstRowLastColumn="0" w:lastRowFirstColumn="0" w:lastRowLastColumn="0"/>
            <w:tcW w:w="594" w:type="dxa"/>
          </w:tcPr>
          <w:p w14:paraId="67CF53B3"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6</w:t>
            </w:r>
          </w:p>
        </w:tc>
        <w:tc>
          <w:tcPr>
            <w:tcW w:w="2662" w:type="dxa"/>
          </w:tcPr>
          <w:p w14:paraId="17CAE447"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1. Lambda is higher than threshold 2. Kappa is low</w:t>
            </w:r>
          </w:p>
        </w:tc>
        <w:tc>
          <w:tcPr>
            <w:tcW w:w="2152" w:type="dxa"/>
          </w:tcPr>
          <w:p w14:paraId="5DA440FF" w14:textId="77777777" w:rsidR="002A5728" w:rsidRPr="0091298B" w:rsidRDefault="002A5728" w:rsidP="00AF362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Level swap</w:t>
            </w:r>
          </w:p>
        </w:tc>
      </w:tr>
      <w:tr w:rsidR="002A5728" w:rsidRPr="0091298B" w14:paraId="1195B6E7" w14:textId="77777777" w:rsidTr="002A572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94" w:type="dxa"/>
          </w:tcPr>
          <w:p w14:paraId="1CEB6B58" w14:textId="77777777" w:rsidR="002A5728" w:rsidRPr="0091298B" w:rsidRDefault="002A5728" w:rsidP="00AF362E">
            <w:pPr>
              <w:contextualSpacing/>
              <w:rPr>
                <w:rFonts w:ascii="Times New Roman" w:hAnsi="Times New Roman" w:cs="Times New Roman"/>
                <w:sz w:val="16"/>
                <w:szCs w:val="16"/>
              </w:rPr>
            </w:pPr>
            <w:r w:rsidRPr="0091298B">
              <w:rPr>
                <w:rFonts w:ascii="Times New Roman" w:hAnsi="Times New Roman" w:cs="Times New Roman"/>
                <w:sz w:val="16"/>
                <w:szCs w:val="16"/>
              </w:rPr>
              <w:t>7</w:t>
            </w:r>
          </w:p>
        </w:tc>
        <w:tc>
          <w:tcPr>
            <w:tcW w:w="2662" w:type="dxa"/>
          </w:tcPr>
          <w:p w14:paraId="0E81D6C1" w14:textId="77777777" w:rsidR="002A5728" w:rsidRPr="0091298B" w:rsidRDefault="002A5728" w:rsidP="00AF362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1. Lambda is higher than threshold 2. Kappa and Gamma are both low</w:t>
            </w:r>
          </w:p>
        </w:tc>
        <w:tc>
          <w:tcPr>
            <w:tcW w:w="2152" w:type="dxa"/>
          </w:tcPr>
          <w:p w14:paraId="2618698B" w14:textId="77777777" w:rsidR="002A5728" w:rsidRPr="0091298B" w:rsidRDefault="002A5728" w:rsidP="00AF362E">
            <w:pPr>
              <w:keepNext/>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298B">
              <w:rPr>
                <w:rFonts w:ascii="Times New Roman" w:hAnsi="Times New Roman" w:cs="Times New Roman"/>
                <w:sz w:val="16"/>
                <w:szCs w:val="16"/>
              </w:rPr>
              <w:t xml:space="preserve">Diagonal swap </w:t>
            </w:r>
          </w:p>
        </w:tc>
      </w:tr>
    </w:tbl>
    <w:bookmarkEnd w:id="56"/>
    <w:p w14:paraId="26FCC4B9" w14:textId="5F239124" w:rsidR="00CF5A53" w:rsidRDefault="0036489C" w:rsidP="002A5728">
      <w:pPr>
        <w:rPr>
          <w:sz w:val="16"/>
          <w:szCs w:val="16"/>
        </w:rPr>
      </w:pPr>
      <w:r w:rsidRPr="0036489C">
        <w:rPr>
          <w:sz w:val="16"/>
          <w:szCs w:val="16"/>
        </w:rPr>
        <w:t>Table 3.</w:t>
      </w:r>
      <w:r w:rsidR="00D966CA">
        <w:rPr>
          <w:sz w:val="16"/>
          <w:szCs w:val="16"/>
        </w:rPr>
        <w:t xml:space="preserve">  </w:t>
      </w:r>
      <w:r w:rsidRPr="0036489C">
        <w:rPr>
          <w:sz w:val="16"/>
          <w:szCs w:val="16"/>
        </w:rPr>
        <w:t>Summary of interpretation of the measures.</w:t>
      </w:r>
    </w:p>
    <w:p w14:paraId="02DBA419" w14:textId="77777777" w:rsidR="0036489C" w:rsidRPr="002A5728" w:rsidRDefault="0036489C" w:rsidP="002A5728">
      <w:pPr>
        <w:rPr>
          <w:sz w:val="16"/>
          <w:szCs w:val="16"/>
        </w:rPr>
      </w:pPr>
    </w:p>
    <w:p w14:paraId="1BDDBBA9" w14:textId="04A73BC8" w:rsidR="0036489C" w:rsidRDefault="00CF5A53" w:rsidP="00D966CA">
      <w:pPr>
        <w:ind w:firstLine="202"/>
        <w:jc w:val="both"/>
        <w:rPr>
          <w:szCs w:val="24"/>
          <w:lang w:eastAsia="en-NZ"/>
        </w:rPr>
      </w:pPr>
      <w:r>
        <w:rPr>
          <w:rFonts w:eastAsia="Calibri" w:cs="Arial"/>
          <w:szCs w:val="24"/>
        </w:rPr>
        <w:t xml:space="preserve">In our Instagram self-efficacy case, </w:t>
      </w:r>
      <w:r w:rsidRPr="004B11BA">
        <w:rPr>
          <w:szCs w:val="24"/>
        </w:rPr>
        <w:t>Lambda</w:t>
      </w:r>
      <w:r w:rsidRPr="004B11BA">
        <w:rPr>
          <w:szCs w:val="24"/>
          <w:lang w:eastAsia="en-NZ"/>
        </w:rPr>
        <w:t xml:space="preserve"> (λ) Kappa (ƙ), and Gamma (</w:t>
      </w:r>
      <w:r w:rsidRPr="004B11BA">
        <w:rPr>
          <w:szCs w:val="24"/>
        </w:rPr>
        <w:sym w:font="Symbol" w:char="F067"/>
      </w:r>
      <w:r w:rsidRPr="004B11BA">
        <w:rPr>
          <w:szCs w:val="24"/>
        </w:rPr>
        <w:t>)</w:t>
      </w:r>
      <w:r w:rsidRPr="004B11BA">
        <w:rPr>
          <w:szCs w:val="24"/>
          <w:lang w:eastAsia="en-NZ"/>
        </w:rPr>
        <w:t xml:space="preserve"> for the top 3 levels </w:t>
      </w:r>
      <w:r>
        <w:rPr>
          <w:szCs w:val="24"/>
          <w:lang w:eastAsia="en-NZ"/>
        </w:rPr>
        <w:t xml:space="preserve">were calculated as per </w:t>
      </w:r>
      <w:r w:rsidRPr="004B11BA">
        <w:rPr>
          <w:szCs w:val="24"/>
          <w:lang w:eastAsia="en-NZ"/>
        </w:rPr>
        <w:t>Table 4</w:t>
      </w:r>
      <w:r w:rsidRPr="00721AC0">
        <w:rPr>
          <w:szCs w:val="24"/>
          <w:lang w:eastAsia="en-NZ"/>
        </w:rPr>
        <w:t>. Lambda (λ) is 0.532, Kappa (ƙ) is 0.109, and Gamma (</w:t>
      </w:r>
      <w:r w:rsidRPr="00721AC0">
        <w:rPr>
          <w:szCs w:val="24"/>
        </w:rPr>
        <w:sym w:font="Symbol" w:char="F067"/>
      </w:r>
      <w:r w:rsidRPr="00721AC0">
        <w:rPr>
          <w:szCs w:val="24"/>
        </w:rPr>
        <w:t>)</w:t>
      </w:r>
      <w:r w:rsidRPr="00721AC0">
        <w:rPr>
          <w:szCs w:val="24"/>
          <w:lang w:eastAsia="en-NZ"/>
        </w:rPr>
        <w:t xml:space="preserve"> is 0.104. Here, Kappa and Gamma are</w:t>
      </w:r>
      <w:r w:rsidRPr="004B11BA">
        <w:rPr>
          <w:szCs w:val="24"/>
          <w:lang w:eastAsia="en-NZ"/>
        </w:rPr>
        <w:t xml:space="preserve"> the lowest scores, which identifies that the principal problem is disagreement with the mapping of items of the same level and hierarchy. </w:t>
      </w:r>
      <w:r>
        <w:rPr>
          <w:szCs w:val="24"/>
          <w:lang w:eastAsia="en-NZ"/>
        </w:rPr>
        <w:t xml:space="preserve">Visually, as illustrated in </w:t>
      </w:r>
      <w:r w:rsidR="00CC74A6">
        <w:rPr>
          <w:szCs w:val="24"/>
          <w:lang w:eastAsia="en-NZ"/>
        </w:rPr>
        <w:t>Fig.</w:t>
      </w:r>
      <w:r>
        <w:rPr>
          <w:szCs w:val="24"/>
          <w:lang w:eastAsia="en-NZ"/>
        </w:rPr>
        <w:t xml:space="preserve"> 7, we can see this as </w:t>
      </w:r>
      <w:r w:rsidRPr="004B11BA">
        <w:rPr>
          <w:szCs w:val="24"/>
          <w:lang w:eastAsia="en-NZ"/>
        </w:rPr>
        <w:t xml:space="preserve">expert 2 ‘s tree has more levels than expert 1, while expert 1 has more </w:t>
      </w:r>
      <w:r w:rsidRPr="00075451">
        <w:rPr>
          <w:szCs w:val="24"/>
          <w:lang w:eastAsia="en-NZ"/>
        </w:rPr>
        <w:t>branches.</w:t>
      </w:r>
      <w:r w:rsidRPr="000F368B">
        <w:rPr>
          <w:szCs w:val="24"/>
        </w:rPr>
        <w:t xml:space="preserve">  </w:t>
      </w:r>
      <w:bookmarkStart w:id="57" w:name="_Hlk49683897"/>
      <w:r w:rsidRPr="000F368B">
        <w:rPr>
          <w:szCs w:val="24"/>
        </w:rPr>
        <w:t xml:space="preserve">This affects items </w:t>
      </w:r>
      <w:r>
        <w:rPr>
          <w:szCs w:val="24"/>
        </w:rPr>
        <w:t xml:space="preserve">3, 5, </w:t>
      </w:r>
      <w:r w:rsidRPr="004E69B4">
        <w:rPr>
          <w:szCs w:val="24"/>
        </w:rPr>
        <w:t>11,</w:t>
      </w:r>
      <w:r>
        <w:rPr>
          <w:szCs w:val="24"/>
        </w:rPr>
        <w:t>12,</w:t>
      </w:r>
      <w:r w:rsidRPr="004E69B4">
        <w:rPr>
          <w:szCs w:val="24"/>
        </w:rPr>
        <w:t xml:space="preserve"> </w:t>
      </w:r>
      <w:r>
        <w:rPr>
          <w:szCs w:val="24"/>
        </w:rPr>
        <w:t xml:space="preserve">17, 19, 20, </w:t>
      </w:r>
      <w:r w:rsidRPr="004E69B4">
        <w:rPr>
          <w:szCs w:val="24"/>
        </w:rPr>
        <w:t>21, 22,</w:t>
      </w:r>
      <w:r>
        <w:rPr>
          <w:szCs w:val="24"/>
        </w:rPr>
        <w:t xml:space="preserve"> 26, </w:t>
      </w:r>
      <w:r w:rsidRPr="004E69B4">
        <w:rPr>
          <w:szCs w:val="24"/>
        </w:rPr>
        <w:t>2</w:t>
      </w:r>
      <w:r>
        <w:rPr>
          <w:szCs w:val="24"/>
        </w:rPr>
        <w:t>7</w:t>
      </w:r>
      <w:r w:rsidRPr="004E69B4">
        <w:rPr>
          <w:szCs w:val="24"/>
        </w:rPr>
        <w:t>, 32,</w:t>
      </w:r>
      <w:r>
        <w:rPr>
          <w:szCs w:val="24"/>
        </w:rPr>
        <w:t xml:space="preserve"> 35</w:t>
      </w:r>
      <w:r w:rsidRPr="004E69B4">
        <w:rPr>
          <w:szCs w:val="24"/>
        </w:rPr>
        <w:t xml:space="preserve"> and 40</w:t>
      </w:r>
      <w:r>
        <w:rPr>
          <w:szCs w:val="24"/>
        </w:rPr>
        <w:t xml:space="preserve">. </w:t>
      </w:r>
      <w:r w:rsidRPr="00075451">
        <w:rPr>
          <w:szCs w:val="24"/>
          <w:lang w:eastAsia="en-NZ"/>
        </w:rPr>
        <w:t>In addition, the measures indicate many diagonal</w:t>
      </w:r>
      <w:r w:rsidRPr="00B46B68">
        <w:rPr>
          <w:szCs w:val="24"/>
          <w:lang w:eastAsia="en-NZ"/>
        </w:rPr>
        <w:t xml:space="preserve"> movements, which can be identified as items </w:t>
      </w:r>
      <w:r w:rsidRPr="00417C8B">
        <w:rPr>
          <w:szCs w:val="24"/>
          <w:lang w:eastAsia="en-NZ"/>
        </w:rPr>
        <w:t xml:space="preserve">11, 17, 26, </w:t>
      </w:r>
      <w:r>
        <w:rPr>
          <w:szCs w:val="24"/>
          <w:lang w:eastAsia="en-NZ"/>
        </w:rPr>
        <w:t>and 32.</w:t>
      </w:r>
      <w:r>
        <w:rPr>
          <w:szCs w:val="24"/>
        </w:rPr>
        <w:t xml:space="preserve"> </w:t>
      </w:r>
      <w:r>
        <w:rPr>
          <w:szCs w:val="24"/>
          <w:lang w:eastAsia="en-NZ"/>
        </w:rPr>
        <w:t>Resolution of these discrepancies is addressed in step 8.</w:t>
      </w:r>
      <w:bookmarkEnd w:id="57"/>
    </w:p>
    <w:p w14:paraId="1F0075F2" w14:textId="77777777" w:rsidR="00862844" w:rsidRDefault="00862844" w:rsidP="001A4972">
      <w:pPr>
        <w:jc w:val="both"/>
        <w:rPr>
          <w:szCs w:val="24"/>
          <w:lang w:eastAsia="en-NZ"/>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07"/>
        <w:gridCol w:w="576"/>
        <w:gridCol w:w="576"/>
        <w:gridCol w:w="576"/>
      </w:tblGrid>
      <w:tr w:rsidR="002A5728" w:rsidRPr="0091298B" w14:paraId="75BCB742" w14:textId="77777777" w:rsidTr="002A5728">
        <w:trPr>
          <w:trHeight w:val="253"/>
        </w:trPr>
        <w:tc>
          <w:tcPr>
            <w:tcW w:w="0" w:type="auto"/>
          </w:tcPr>
          <w:p w14:paraId="2FB2856D" w14:textId="77777777" w:rsidR="002A5728" w:rsidRPr="0091298B" w:rsidRDefault="002A5728" w:rsidP="00AF362E">
            <w:pPr>
              <w:contextualSpacing/>
              <w:rPr>
                <w:rFonts w:eastAsia="Calibri"/>
                <w:b/>
                <w:color w:val="000000"/>
                <w:sz w:val="16"/>
                <w:szCs w:val="16"/>
              </w:rPr>
            </w:pPr>
            <w:r w:rsidRPr="0091298B">
              <w:rPr>
                <w:rFonts w:eastAsia="Calibri"/>
                <w:b/>
                <w:color w:val="000000"/>
                <w:sz w:val="16"/>
                <w:szCs w:val="16"/>
              </w:rPr>
              <w:t>Construct “Account Management”</w:t>
            </w:r>
          </w:p>
        </w:tc>
        <w:tc>
          <w:tcPr>
            <w:tcW w:w="0" w:type="auto"/>
          </w:tcPr>
          <w:p w14:paraId="6EB57233" w14:textId="77777777" w:rsidR="002A5728" w:rsidRPr="0091298B" w:rsidRDefault="002A5728" w:rsidP="00AF362E">
            <w:pPr>
              <w:contextualSpacing/>
              <w:rPr>
                <w:rFonts w:eastAsia="Calibri"/>
                <w:b/>
                <w:color w:val="000000"/>
                <w:sz w:val="16"/>
                <w:szCs w:val="16"/>
              </w:rPr>
            </w:pPr>
            <w:r w:rsidRPr="0091298B">
              <w:rPr>
                <w:b/>
                <w:color w:val="000000"/>
                <w:sz w:val="16"/>
                <w:szCs w:val="16"/>
                <w:lang w:eastAsia="en-NZ"/>
              </w:rPr>
              <w:t>(λ)</w:t>
            </w:r>
          </w:p>
        </w:tc>
        <w:tc>
          <w:tcPr>
            <w:tcW w:w="0" w:type="auto"/>
          </w:tcPr>
          <w:p w14:paraId="41EAF2EE" w14:textId="77777777" w:rsidR="002A5728" w:rsidRPr="0091298B" w:rsidRDefault="002A5728" w:rsidP="00AF362E">
            <w:pPr>
              <w:contextualSpacing/>
              <w:rPr>
                <w:rFonts w:eastAsia="Calibri"/>
                <w:b/>
                <w:i/>
                <w:iCs/>
                <w:color w:val="000000"/>
                <w:sz w:val="16"/>
                <w:szCs w:val="16"/>
              </w:rPr>
            </w:pPr>
            <w:r w:rsidRPr="0091298B">
              <w:rPr>
                <w:b/>
                <w:color w:val="000000"/>
                <w:sz w:val="16"/>
                <w:szCs w:val="16"/>
                <w:lang w:eastAsia="en-NZ"/>
              </w:rPr>
              <w:t>(ƙ)</w:t>
            </w:r>
          </w:p>
        </w:tc>
        <w:tc>
          <w:tcPr>
            <w:tcW w:w="0" w:type="auto"/>
          </w:tcPr>
          <w:p w14:paraId="6D767D95" w14:textId="77777777" w:rsidR="002A5728" w:rsidRPr="0091298B" w:rsidRDefault="002A5728" w:rsidP="00AF362E">
            <w:pPr>
              <w:contextualSpacing/>
              <w:rPr>
                <w:rFonts w:eastAsia="Calibri"/>
                <w:b/>
                <w:color w:val="000000"/>
                <w:sz w:val="16"/>
                <w:szCs w:val="16"/>
              </w:rPr>
            </w:pPr>
            <w:r w:rsidRPr="0091298B">
              <w:rPr>
                <w:b/>
                <w:color w:val="000000"/>
                <w:sz w:val="16"/>
                <w:szCs w:val="16"/>
                <w:lang w:eastAsia="en-NZ"/>
              </w:rPr>
              <w:t>(</w:t>
            </w:r>
            <w:r w:rsidRPr="0091298B">
              <w:rPr>
                <w:b/>
                <w:color w:val="000000"/>
                <w:sz w:val="16"/>
                <w:szCs w:val="16"/>
              </w:rPr>
              <w:sym w:font="Symbol" w:char="F067"/>
            </w:r>
            <w:r w:rsidRPr="0091298B">
              <w:rPr>
                <w:b/>
                <w:color w:val="000000"/>
                <w:sz w:val="16"/>
                <w:szCs w:val="16"/>
              </w:rPr>
              <w:t>)</w:t>
            </w:r>
          </w:p>
        </w:tc>
      </w:tr>
      <w:tr w:rsidR="002A5728" w:rsidRPr="0091298B" w14:paraId="651A7C4A" w14:textId="77777777" w:rsidTr="002A5728">
        <w:trPr>
          <w:trHeight w:val="45"/>
        </w:trPr>
        <w:tc>
          <w:tcPr>
            <w:tcW w:w="0" w:type="auto"/>
          </w:tcPr>
          <w:p w14:paraId="63CF622D"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Three levels</w:t>
            </w:r>
          </w:p>
        </w:tc>
        <w:tc>
          <w:tcPr>
            <w:tcW w:w="0" w:type="auto"/>
          </w:tcPr>
          <w:p w14:paraId="25F63449"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0.532</w:t>
            </w:r>
          </w:p>
        </w:tc>
        <w:tc>
          <w:tcPr>
            <w:tcW w:w="0" w:type="auto"/>
          </w:tcPr>
          <w:p w14:paraId="7140A97C"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0.109</w:t>
            </w:r>
          </w:p>
        </w:tc>
        <w:tc>
          <w:tcPr>
            <w:tcW w:w="0" w:type="auto"/>
          </w:tcPr>
          <w:p w14:paraId="58B2F980"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0.104</w:t>
            </w:r>
          </w:p>
        </w:tc>
      </w:tr>
      <w:tr w:rsidR="002A5728" w:rsidRPr="0091298B" w14:paraId="3D7DF999" w14:textId="77777777" w:rsidTr="002A5728">
        <w:trPr>
          <w:trHeight w:val="253"/>
        </w:trPr>
        <w:tc>
          <w:tcPr>
            <w:tcW w:w="0" w:type="auto"/>
          </w:tcPr>
          <w:p w14:paraId="441F0617"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 xml:space="preserve">Recalculation of the three levels </w:t>
            </w:r>
          </w:p>
        </w:tc>
        <w:tc>
          <w:tcPr>
            <w:tcW w:w="0" w:type="auto"/>
          </w:tcPr>
          <w:p w14:paraId="753966B6"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0.722</w:t>
            </w:r>
          </w:p>
        </w:tc>
        <w:tc>
          <w:tcPr>
            <w:tcW w:w="0" w:type="auto"/>
          </w:tcPr>
          <w:p w14:paraId="36264376"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0.556</w:t>
            </w:r>
          </w:p>
        </w:tc>
        <w:tc>
          <w:tcPr>
            <w:tcW w:w="0" w:type="auto"/>
          </w:tcPr>
          <w:p w14:paraId="74F6DCB5"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0.719</w:t>
            </w:r>
          </w:p>
        </w:tc>
      </w:tr>
      <w:tr w:rsidR="002A5728" w:rsidRPr="0091298B" w14:paraId="74BE997A" w14:textId="77777777" w:rsidTr="002A5728">
        <w:trPr>
          <w:trHeight w:val="141"/>
        </w:trPr>
        <w:tc>
          <w:tcPr>
            <w:tcW w:w="0" w:type="auto"/>
          </w:tcPr>
          <w:p w14:paraId="24DD4783"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4 levels</w:t>
            </w:r>
          </w:p>
        </w:tc>
        <w:tc>
          <w:tcPr>
            <w:tcW w:w="0" w:type="auto"/>
          </w:tcPr>
          <w:p w14:paraId="580D39C4"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0.701</w:t>
            </w:r>
          </w:p>
        </w:tc>
        <w:tc>
          <w:tcPr>
            <w:tcW w:w="0" w:type="auto"/>
          </w:tcPr>
          <w:p w14:paraId="0E6DF17E"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0.670</w:t>
            </w:r>
          </w:p>
        </w:tc>
        <w:tc>
          <w:tcPr>
            <w:tcW w:w="0" w:type="auto"/>
          </w:tcPr>
          <w:p w14:paraId="2AD627B8"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0.769</w:t>
            </w:r>
          </w:p>
        </w:tc>
      </w:tr>
      <w:tr w:rsidR="002A5728" w:rsidRPr="0091298B" w14:paraId="4153CC2D" w14:textId="77777777" w:rsidTr="002A5728">
        <w:trPr>
          <w:trHeight w:val="84"/>
        </w:trPr>
        <w:tc>
          <w:tcPr>
            <w:tcW w:w="0" w:type="auto"/>
          </w:tcPr>
          <w:p w14:paraId="4F12E324"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 xml:space="preserve">All levels </w:t>
            </w:r>
          </w:p>
        </w:tc>
        <w:tc>
          <w:tcPr>
            <w:tcW w:w="0" w:type="auto"/>
          </w:tcPr>
          <w:p w14:paraId="22A0C5CE"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0.703</w:t>
            </w:r>
          </w:p>
        </w:tc>
        <w:tc>
          <w:tcPr>
            <w:tcW w:w="0" w:type="auto"/>
          </w:tcPr>
          <w:p w14:paraId="0CD12EA1" w14:textId="77777777" w:rsidR="002A5728" w:rsidRPr="0091298B" w:rsidRDefault="002A5728" w:rsidP="00AF362E">
            <w:pPr>
              <w:contextualSpacing/>
              <w:rPr>
                <w:rFonts w:eastAsia="Calibri"/>
                <w:color w:val="000000"/>
                <w:sz w:val="16"/>
                <w:szCs w:val="16"/>
              </w:rPr>
            </w:pPr>
            <w:r w:rsidRPr="0091298B">
              <w:rPr>
                <w:rFonts w:eastAsia="Calibri"/>
                <w:color w:val="000000"/>
                <w:sz w:val="16"/>
                <w:szCs w:val="16"/>
              </w:rPr>
              <w:t>0.671</w:t>
            </w:r>
          </w:p>
        </w:tc>
        <w:tc>
          <w:tcPr>
            <w:tcW w:w="0" w:type="auto"/>
          </w:tcPr>
          <w:p w14:paraId="4FF69235" w14:textId="77777777" w:rsidR="002A5728" w:rsidRPr="0091298B" w:rsidRDefault="002A5728" w:rsidP="00AF362E">
            <w:pPr>
              <w:keepNext/>
              <w:contextualSpacing/>
              <w:rPr>
                <w:rFonts w:eastAsia="Calibri"/>
                <w:color w:val="000000"/>
                <w:sz w:val="16"/>
                <w:szCs w:val="16"/>
              </w:rPr>
            </w:pPr>
            <w:r w:rsidRPr="0091298B">
              <w:rPr>
                <w:rFonts w:eastAsia="Calibri"/>
                <w:color w:val="000000"/>
                <w:sz w:val="16"/>
                <w:szCs w:val="16"/>
              </w:rPr>
              <w:t>0.810</w:t>
            </w:r>
          </w:p>
        </w:tc>
      </w:tr>
    </w:tbl>
    <w:p w14:paraId="72049D55" w14:textId="058D7BB7" w:rsidR="00CF5A53" w:rsidRDefault="0036489C" w:rsidP="002A5728">
      <w:pPr>
        <w:rPr>
          <w:sz w:val="16"/>
          <w:szCs w:val="16"/>
        </w:rPr>
      </w:pPr>
      <w:r w:rsidRPr="0036489C">
        <w:rPr>
          <w:sz w:val="16"/>
          <w:szCs w:val="16"/>
        </w:rPr>
        <w:t>Table 4.</w:t>
      </w:r>
      <w:r>
        <w:rPr>
          <w:sz w:val="16"/>
          <w:szCs w:val="16"/>
        </w:rPr>
        <w:t xml:space="preserve">  </w:t>
      </w:r>
      <w:r w:rsidRPr="0036489C">
        <w:rPr>
          <w:sz w:val="16"/>
          <w:szCs w:val="16"/>
        </w:rPr>
        <w:t>Contingency table test of inter-expert agreement for the top-level construct “account management for Instagram.”</w:t>
      </w:r>
    </w:p>
    <w:p w14:paraId="1FCFD973" w14:textId="77777777" w:rsidR="0036489C" w:rsidRPr="002A5728" w:rsidRDefault="0036489C" w:rsidP="002A5728">
      <w:pPr>
        <w:rPr>
          <w:sz w:val="16"/>
          <w:szCs w:val="16"/>
        </w:rPr>
      </w:pPr>
    </w:p>
    <w:p w14:paraId="176B706D" w14:textId="1F67DCC6" w:rsidR="00507A7B" w:rsidRDefault="00507A7B" w:rsidP="00507A7B">
      <w:pPr>
        <w:jc w:val="both"/>
        <w:rPr>
          <w:rFonts w:cs="Arial"/>
          <w:szCs w:val="24"/>
          <w:lang w:eastAsia="en-NZ"/>
        </w:rPr>
      </w:pPr>
      <w:bookmarkStart w:id="58" w:name="_Hlk49846837"/>
      <w:bookmarkStart w:id="59" w:name="_Hlk49847375"/>
      <w:r>
        <w:rPr>
          <w:rFonts w:cs="Arial"/>
          <w:szCs w:val="24"/>
          <w:lang w:eastAsia="en-NZ"/>
        </w:rPr>
        <w:t xml:space="preserve">When these issues are resolved and experts remapped the items (i.e., came back from step 8 to step 7), the measures were recalculated as per </w:t>
      </w:r>
      <w:r w:rsidR="00CC74A6">
        <w:rPr>
          <w:rFonts w:cs="Arial"/>
          <w:szCs w:val="24"/>
          <w:lang w:eastAsia="en-NZ"/>
        </w:rPr>
        <w:t>Fig.</w:t>
      </w:r>
      <w:r>
        <w:rPr>
          <w:rFonts w:cs="Arial"/>
          <w:szCs w:val="24"/>
          <w:lang w:eastAsia="en-NZ"/>
        </w:rPr>
        <w:t xml:space="preserve"> 9. This time, </w:t>
      </w:r>
      <w:bookmarkStart w:id="60" w:name="_Hlk529874556"/>
      <w:r w:rsidRPr="00E062A2">
        <w:rPr>
          <w:rFonts w:cs="Arial"/>
          <w:szCs w:val="24"/>
        </w:rPr>
        <w:t>Lambda</w:t>
      </w:r>
      <w:r w:rsidRPr="00E062A2">
        <w:rPr>
          <w:rFonts w:cs="Arial"/>
          <w:szCs w:val="24"/>
          <w:lang w:eastAsia="en-NZ"/>
        </w:rPr>
        <w:t xml:space="preserve"> (λ) </w:t>
      </w:r>
      <w:r>
        <w:rPr>
          <w:rFonts w:cs="Arial"/>
          <w:szCs w:val="24"/>
          <w:lang w:eastAsia="en-NZ"/>
        </w:rPr>
        <w:t>was</w:t>
      </w:r>
      <w:r w:rsidRPr="00E062A2">
        <w:rPr>
          <w:rFonts w:cs="Arial"/>
          <w:szCs w:val="24"/>
          <w:lang w:eastAsia="en-NZ"/>
        </w:rPr>
        <w:t xml:space="preserve"> 0.7</w:t>
      </w:r>
      <w:r>
        <w:rPr>
          <w:rFonts w:cs="Arial"/>
          <w:szCs w:val="24"/>
          <w:lang w:eastAsia="en-NZ"/>
        </w:rPr>
        <w:t>11</w:t>
      </w:r>
      <w:r w:rsidRPr="00E062A2">
        <w:rPr>
          <w:rFonts w:cs="Arial"/>
          <w:szCs w:val="24"/>
          <w:lang w:eastAsia="en-NZ"/>
        </w:rPr>
        <w:t>, Kappa (ƙ) 0.</w:t>
      </w:r>
      <w:r>
        <w:rPr>
          <w:rFonts w:cs="Arial"/>
          <w:szCs w:val="24"/>
          <w:lang w:eastAsia="en-NZ"/>
        </w:rPr>
        <w:t>556</w:t>
      </w:r>
      <w:r w:rsidRPr="00E062A2">
        <w:rPr>
          <w:rFonts w:cs="Arial"/>
          <w:szCs w:val="24"/>
          <w:lang w:eastAsia="en-NZ"/>
        </w:rPr>
        <w:t>, and Gamma (</w:t>
      </w:r>
      <w:r w:rsidRPr="00E062A2">
        <w:rPr>
          <w:rFonts w:cs="Arial"/>
          <w:szCs w:val="24"/>
        </w:rPr>
        <w:sym w:font="Symbol" w:char="F067"/>
      </w:r>
      <w:r w:rsidRPr="00E062A2">
        <w:rPr>
          <w:rFonts w:cs="Arial"/>
          <w:szCs w:val="24"/>
        </w:rPr>
        <w:t>)</w:t>
      </w:r>
      <w:r w:rsidRPr="00E062A2">
        <w:rPr>
          <w:rFonts w:cs="Arial"/>
          <w:szCs w:val="24"/>
          <w:lang w:eastAsia="en-NZ"/>
        </w:rPr>
        <w:t>0.</w:t>
      </w:r>
      <w:bookmarkEnd w:id="60"/>
      <w:r>
        <w:rPr>
          <w:rFonts w:cs="Arial"/>
          <w:szCs w:val="24"/>
          <w:lang w:eastAsia="en-NZ"/>
        </w:rPr>
        <w:t>719 w</w:t>
      </w:r>
      <w:r w:rsidRPr="00E062A2">
        <w:rPr>
          <w:rFonts w:cs="Arial"/>
          <w:szCs w:val="24"/>
          <w:lang w:eastAsia="en-NZ"/>
        </w:rPr>
        <w:t>hich</w:t>
      </w:r>
      <w:r>
        <w:rPr>
          <w:rFonts w:cs="Arial"/>
          <w:szCs w:val="24"/>
          <w:lang w:eastAsia="en-NZ"/>
        </w:rPr>
        <w:t xml:space="preserve"> met the thresholds and </w:t>
      </w:r>
      <w:r w:rsidRPr="00E062A2">
        <w:rPr>
          <w:rFonts w:cs="Arial"/>
          <w:szCs w:val="24"/>
          <w:lang w:eastAsia="en-NZ"/>
        </w:rPr>
        <w:t>allow</w:t>
      </w:r>
      <w:r>
        <w:rPr>
          <w:rFonts w:cs="Arial"/>
          <w:szCs w:val="24"/>
          <w:lang w:eastAsia="en-NZ"/>
        </w:rPr>
        <w:t>ed</w:t>
      </w:r>
      <w:r w:rsidRPr="00E062A2">
        <w:rPr>
          <w:rFonts w:cs="Arial"/>
          <w:szCs w:val="24"/>
          <w:lang w:eastAsia="en-NZ"/>
        </w:rPr>
        <w:t xml:space="preserve"> us to proceed to the next level. We added the fourth level </w:t>
      </w:r>
      <w:r>
        <w:rPr>
          <w:rFonts w:cs="Arial"/>
          <w:szCs w:val="24"/>
          <w:lang w:eastAsia="en-NZ"/>
        </w:rPr>
        <w:t>and fifth level and re</w:t>
      </w:r>
      <w:r w:rsidRPr="00E062A2">
        <w:rPr>
          <w:rFonts w:cs="Arial"/>
          <w:szCs w:val="24"/>
        </w:rPr>
        <w:t>calculated Lambda</w:t>
      </w:r>
      <w:r w:rsidRPr="00E062A2">
        <w:rPr>
          <w:rFonts w:cs="Arial"/>
          <w:szCs w:val="24"/>
          <w:lang w:eastAsia="en-NZ"/>
        </w:rPr>
        <w:t xml:space="preserve"> (λ) Kappa (ƙ), and Gamma (</w:t>
      </w:r>
      <w:r w:rsidRPr="00E062A2">
        <w:rPr>
          <w:rFonts w:cs="Arial"/>
          <w:szCs w:val="24"/>
        </w:rPr>
        <w:sym w:font="Symbol" w:char="F067"/>
      </w:r>
      <w:r w:rsidRPr="00E062A2">
        <w:rPr>
          <w:rFonts w:cs="Arial"/>
          <w:szCs w:val="24"/>
        </w:rPr>
        <w:t>)</w:t>
      </w:r>
      <w:r>
        <w:rPr>
          <w:rFonts w:cs="Arial"/>
          <w:szCs w:val="24"/>
          <w:lang w:eastAsia="en-NZ"/>
        </w:rPr>
        <w:t>, and edited the items accordingly. The final results are in Table 4.</w:t>
      </w:r>
      <w:bookmarkEnd w:id="58"/>
    </w:p>
    <w:p w14:paraId="6E8D4FD3" w14:textId="32943FD7" w:rsidR="00970D55" w:rsidRPr="00F64916" w:rsidRDefault="009C63CB" w:rsidP="00507A7B">
      <w:pPr>
        <w:jc w:val="both"/>
        <w:rPr>
          <w:rFonts w:eastAsiaTheme="majorEastAsia" w:cstheme="majorBidi"/>
          <w:b/>
          <w:i/>
          <w:color w:val="171717" w:themeColor="background2" w:themeShade="1A"/>
          <w:szCs w:val="24"/>
        </w:rPr>
      </w:pPr>
      <w:r>
        <w:rPr>
          <w:rFonts w:eastAsiaTheme="majorEastAsia" w:cstheme="majorBidi"/>
          <w:b/>
          <w:i/>
          <w:noProof/>
          <w:color w:val="171717" w:themeColor="background2" w:themeShade="1A"/>
          <w:szCs w:val="24"/>
        </w:rPr>
        <w:drawing>
          <wp:inline distT="0" distB="0" distL="0" distR="0" wp14:anchorId="7C61D6F8" wp14:editId="7C4DD9A4">
            <wp:extent cx="2937632" cy="3301340"/>
            <wp:effectExtent l="0" t="0" r="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a:blip r:embed="rId16"/>
                    <a:stretch>
                      <a:fillRect/>
                    </a:stretch>
                  </pic:blipFill>
                  <pic:spPr>
                    <a:xfrm>
                      <a:off x="0" y="0"/>
                      <a:ext cx="2943039" cy="3307416"/>
                    </a:xfrm>
                    <a:prstGeom prst="rect">
                      <a:avLst/>
                    </a:prstGeom>
                  </pic:spPr>
                </pic:pic>
              </a:graphicData>
            </a:graphic>
          </wp:inline>
        </w:drawing>
      </w:r>
    </w:p>
    <w:bookmarkEnd w:id="59"/>
    <w:p w14:paraId="11351CCA" w14:textId="339E0CD5" w:rsidR="00507A7B" w:rsidRPr="0036489C" w:rsidRDefault="0036489C" w:rsidP="00970D55">
      <w:pPr>
        <w:rPr>
          <w:sz w:val="16"/>
          <w:szCs w:val="16"/>
        </w:rPr>
      </w:pPr>
      <w:r w:rsidRPr="0036489C">
        <w:rPr>
          <w:sz w:val="16"/>
          <w:szCs w:val="16"/>
        </w:rPr>
        <w:t>Fig</w:t>
      </w:r>
      <w:r>
        <w:rPr>
          <w:sz w:val="16"/>
          <w:szCs w:val="16"/>
        </w:rPr>
        <w:t xml:space="preserve">. </w:t>
      </w:r>
      <w:r w:rsidRPr="0036489C">
        <w:rPr>
          <w:sz w:val="16"/>
          <w:szCs w:val="16"/>
        </w:rPr>
        <w:t>9.</w:t>
      </w:r>
      <w:r>
        <w:rPr>
          <w:sz w:val="16"/>
          <w:szCs w:val="16"/>
        </w:rPr>
        <w:t xml:space="preserve">  </w:t>
      </w:r>
      <w:r w:rsidRPr="0036489C">
        <w:rPr>
          <w:sz w:val="16"/>
          <w:szCs w:val="16"/>
        </w:rPr>
        <w:t>Third round tree diagram for the top-level construct “account management for Instagram.”</w:t>
      </w:r>
    </w:p>
    <w:p w14:paraId="33932FA8" w14:textId="77777777" w:rsidR="0036489C" w:rsidRDefault="0036489C" w:rsidP="00970D55"/>
    <w:p w14:paraId="298FCA1A" w14:textId="140E0C09" w:rsidR="00507A7B" w:rsidRDefault="00507A7B" w:rsidP="00507A7B">
      <w:pPr>
        <w:jc w:val="both"/>
        <w:rPr>
          <w:rFonts w:eastAsiaTheme="majorEastAsia" w:cstheme="majorBidi"/>
          <w:b/>
          <w:i/>
          <w:color w:val="171717" w:themeColor="background2" w:themeShade="1A"/>
          <w:szCs w:val="24"/>
        </w:rPr>
      </w:pPr>
      <w:r w:rsidRPr="00507A7B">
        <w:rPr>
          <w:rFonts w:eastAsiaTheme="majorEastAsia" w:cstheme="majorBidi"/>
          <w:bCs/>
          <w:i/>
          <w:color w:val="171717" w:themeColor="background2" w:themeShade="1A"/>
          <w:szCs w:val="24"/>
        </w:rPr>
        <w:t>Step 8: Diagnosing the trees.</w:t>
      </w:r>
      <w:r>
        <w:rPr>
          <w:rFonts w:eastAsiaTheme="majorEastAsia" w:cstheme="majorBidi"/>
          <w:b/>
          <w:i/>
          <w:color w:val="171717" w:themeColor="background2" w:themeShade="1A"/>
          <w:szCs w:val="24"/>
        </w:rPr>
        <w:t xml:space="preserve"> </w:t>
      </w:r>
      <w:r>
        <w:rPr>
          <w:szCs w:val="24"/>
          <w:lang w:eastAsia="en-NZ"/>
        </w:rPr>
        <w:t xml:space="preserve">In this step, as presented in </w:t>
      </w:r>
      <w:r w:rsidR="00CC74A6">
        <w:rPr>
          <w:szCs w:val="24"/>
          <w:lang w:eastAsia="en-NZ"/>
        </w:rPr>
        <w:t>Fig.</w:t>
      </w:r>
      <w:r>
        <w:rPr>
          <w:szCs w:val="24"/>
          <w:lang w:eastAsia="en-NZ"/>
        </w:rPr>
        <w:t xml:space="preserve"> 9, based on the results from step 7, we identify the problematic items and systematically resolve them. </w:t>
      </w:r>
      <w:r w:rsidRPr="003C3B65">
        <w:rPr>
          <w:szCs w:val="24"/>
          <w:lang w:eastAsia="en-NZ"/>
        </w:rPr>
        <w:t xml:space="preserve">As a result of the analysis, we edited </w:t>
      </w:r>
      <w:r>
        <w:rPr>
          <w:szCs w:val="24"/>
          <w:lang w:eastAsia="en-NZ"/>
        </w:rPr>
        <w:t xml:space="preserve">items </w:t>
      </w:r>
      <w:r>
        <w:rPr>
          <w:szCs w:val="24"/>
        </w:rPr>
        <w:t xml:space="preserve">3, 5, </w:t>
      </w:r>
      <w:r w:rsidRPr="004E69B4">
        <w:rPr>
          <w:szCs w:val="24"/>
        </w:rPr>
        <w:t>11,</w:t>
      </w:r>
      <w:r>
        <w:rPr>
          <w:szCs w:val="24"/>
        </w:rPr>
        <w:t>12,</w:t>
      </w:r>
      <w:r w:rsidRPr="004E69B4">
        <w:rPr>
          <w:szCs w:val="24"/>
        </w:rPr>
        <w:t xml:space="preserve"> </w:t>
      </w:r>
      <w:r>
        <w:rPr>
          <w:szCs w:val="24"/>
        </w:rPr>
        <w:t xml:space="preserve">17, 19, 20, </w:t>
      </w:r>
      <w:r w:rsidRPr="004E69B4">
        <w:rPr>
          <w:szCs w:val="24"/>
        </w:rPr>
        <w:t>21, 22,</w:t>
      </w:r>
      <w:r>
        <w:rPr>
          <w:szCs w:val="24"/>
        </w:rPr>
        <w:t xml:space="preserve"> 26, </w:t>
      </w:r>
      <w:r w:rsidRPr="004E69B4">
        <w:rPr>
          <w:szCs w:val="24"/>
        </w:rPr>
        <w:t>2</w:t>
      </w:r>
      <w:r>
        <w:rPr>
          <w:szCs w:val="24"/>
        </w:rPr>
        <w:t>7</w:t>
      </w:r>
      <w:r w:rsidRPr="004E69B4">
        <w:rPr>
          <w:szCs w:val="24"/>
        </w:rPr>
        <w:t>, 32,</w:t>
      </w:r>
      <w:r>
        <w:rPr>
          <w:szCs w:val="24"/>
        </w:rPr>
        <w:t xml:space="preserve"> 35</w:t>
      </w:r>
      <w:r w:rsidRPr="004E69B4">
        <w:rPr>
          <w:szCs w:val="24"/>
        </w:rPr>
        <w:t xml:space="preserve"> and 40</w:t>
      </w:r>
      <w:r>
        <w:rPr>
          <w:szCs w:val="24"/>
        </w:rPr>
        <w:t xml:space="preserve">. </w:t>
      </w:r>
      <w:r w:rsidRPr="004B11BA">
        <w:rPr>
          <w:szCs w:val="24"/>
          <w:lang w:eastAsia="en-NZ"/>
        </w:rPr>
        <w:t xml:space="preserve"> For instance, we edited item 40 from</w:t>
      </w:r>
      <w:r w:rsidRPr="004B11BA">
        <w:rPr>
          <w:szCs w:val="24"/>
        </w:rPr>
        <w:t xml:space="preserve"> “</w:t>
      </w:r>
      <w:r w:rsidRPr="004B11BA">
        <w:rPr>
          <w:szCs w:val="24"/>
          <w:lang w:eastAsia="en-NZ"/>
        </w:rPr>
        <w:t>I know how to secure my Instagram” to “</w:t>
      </w:r>
      <w:bookmarkStart w:id="61" w:name="_Hlk49944781"/>
      <w:r w:rsidRPr="004B11BA">
        <w:rPr>
          <w:szCs w:val="24"/>
          <w:lang w:eastAsia="en-NZ"/>
        </w:rPr>
        <w:t>I know how to secure my Instagram account</w:t>
      </w:r>
      <w:bookmarkEnd w:id="61"/>
      <w:r w:rsidRPr="004B11BA">
        <w:rPr>
          <w:szCs w:val="24"/>
          <w:lang w:eastAsia="en-NZ"/>
        </w:rPr>
        <w:t xml:space="preserve">” in which we added the term “account” </w:t>
      </w:r>
      <w:r>
        <w:rPr>
          <w:szCs w:val="24"/>
          <w:lang w:eastAsia="en-NZ"/>
        </w:rPr>
        <w:t xml:space="preserve"> - the term “my Instagram” is too general and could mean several things, such as one’s profile, one’s posts, or one’s </w:t>
      </w:r>
      <w:r w:rsidRPr="00DC4AC0">
        <w:rPr>
          <w:szCs w:val="24"/>
          <w:lang w:eastAsia="en-NZ"/>
        </w:rPr>
        <w:t>login</w:t>
      </w:r>
      <w:r>
        <w:rPr>
          <w:szCs w:val="24"/>
          <w:lang w:eastAsia="en-NZ"/>
        </w:rPr>
        <w:t xml:space="preserve">. </w:t>
      </w:r>
      <w:r w:rsidRPr="00B671FB">
        <w:rPr>
          <w:szCs w:val="24"/>
          <w:lang w:eastAsia="en-NZ"/>
        </w:rPr>
        <w:t xml:space="preserve">We then gave the experts </w:t>
      </w:r>
      <w:r>
        <w:rPr>
          <w:szCs w:val="24"/>
          <w:lang w:eastAsia="en-NZ"/>
        </w:rPr>
        <w:t xml:space="preserve">the </w:t>
      </w:r>
      <w:r w:rsidRPr="00B671FB">
        <w:rPr>
          <w:szCs w:val="24"/>
          <w:lang w:eastAsia="en-NZ"/>
        </w:rPr>
        <w:t>modified set of items and asked them to redo the mapping</w:t>
      </w:r>
      <w:r>
        <w:rPr>
          <w:szCs w:val="24"/>
          <w:lang w:eastAsia="en-NZ"/>
        </w:rPr>
        <w:t>.</w:t>
      </w:r>
    </w:p>
    <w:p w14:paraId="0C4920C3" w14:textId="16346178" w:rsidR="00507A7B" w:rsidRPr="00BE257C" w:rsidRDefault="00507A7B" w:rsidP="00507A7B">
      <w:pPr>
        <w:jc w:val="both"/>
        <w:rPr>
          <w:rFonts w:eastAsia="Calibri" w:cs="Arial"/>
        </w:rPr>
      </w:pPr>
      <w:r w:rsidRPr="00507A7B">
        <w:rPr>
          <w:rFonts w:eastAsiaTheme="majorEastAsia" w:cstheme="majorBidi"/>
          <w:bCs/>
          <w:i/>
          <w:color w:val="171717" w:themeColor="background2" w:themeShade="1A"/>
          <w:szCs w:val="24"/>
        </w:rPr>
        <w:t xml:space="preserve">Step 9: Building the final </w:t>
      </w:r>
      <w:r w:rsidRPr="00507A7B">
        <w:rPr>
          <w:bCs/>
          <w:i/>
          <w:szCs w:val="24"/>
        </w:rPr>
        <w:t>diagnostic tree and</w:t>
      </w:r>
      <w:r w:rsidRPr="00507A7B">
        <w:rPr>
          <w:rFonts w:eastAsiaTheme="majorEastAsia" w:cstheme="majorBidi"/>
          <w:bCs/>
          <w:i/>
          <w:color w:val="171717" w:themeColor="background2" w:themeShade="1A"/>
          <w:szCs w:val="24"/>
        </w:rPr>
        <w:t xml:space="preserve"> design.</w:t>
      </w:r>
      <w:r w:rsidRPr="00E062A2">
        <w:rPr>
          <w:rFonts w:eastAsia="Calibri" w:cs="Arial"/>
          <w:b/>
        </w:rPr>
        <w:t xml:space="preserve"> </w:t>
      </w:r>
      <w:r w:rsidRPr="00C83BC9">
        <w:rPr>
          <w:rFonts w:eastAsia="Calibri" w:cs="Arial"/>
        </w:rPr>
        <w:t>When satisfactory levels of significance and suitable thresholds are achieved, items that experts disagree on need to be reconciled and the design of the tree finalized. This is done in three steps. First, the experts are given the problematic items and we explain why such discrepancies exist using the statistics Goodman and Kruskal’s Lambda, Cohen’s Kappa, and Goodman and Kruskal’s Gamma </w:t>
      </w:r>
      <w:r w:rsidRPr="00C83BC9">
        <w:rPr>
          <w:rFonts w:eastAsia="Calibri" w:cs="Arial"/>
        </w:rPr>
        <w:fldChar w:fldCharType="begin" w:fldLock="1"/>
      </w:r>
      <w:r>
        <w:rPr>
          <w:rFonts w:eastAsia="Calibri" w:cs="Arial"/>
        </w:rPr>
        <w:instrText>ADDIN CSL_CITATION {"citationItems":[{"id":"ITEM-1","itemData":{"author":[{"dropping-particle":"","family":"Goodman, L. A., &amp; Kruskal","given":"W. H.","non-dropping-particle":"","parse-names":false,"suffix":""}],"container-title":"Journal of the American Statistical Association","id":"ITEM-1","issued":{"date-parts":[["1954"]]},"page":"732-764","title":"Measures of association for cross classifications.","type":"article-journal","volume":"49"},"uris":["http://www.mendeley.com/documents/?uuid=d7659be5-1dcc-407c-b362-449ae4cc2889"]}],"mendeley":{"formattedCitation":"[43]","plainTextFormattedCitation":"[43]","previouslyFormattedCitation":"[43]"},"properties":{"noteIndex":0},"schema":"https://github.com/citation-style-language/schema/raw/master/csl-citation.json"}</w:instrText>
      </w:r>
      <w:r w:rsidRPr="00C83BC9">
        <w:rPr>
          <w:rFonts w:eastAsia="Calibri" w:cs="Arial"/>
        </w:rPr>
        <w:fldChar w:fldCharType="separate"/>
      </w:r>
      <w:r w:rsidRPr="00E65D3B">
        <w:rPr>
          <w:rFonts w:eastAsia="Calibri" w:cs="Arial"/>
          <w:noProof/>
        </w:rPr>
        <w:t>[43]</w:t>
      </w:r>
      <w:r w:rsidRPr="00C83BC9">
        <w:rPr>
          <w:rFonts w:eastAsia="Calibri" w:cs="Arial"/>
        </w:rPr>
        <w:fldChar w:fldCharType="end"/>
      </w:r>
      <w:r w:rsidRPr="00C83BC9">
        <w:rPr>
          <w:rFonts w:eastAsia="Calibri" w:cs="Arial"/>
        </w:rPr>
        <w:t xml:space="preserve">. Next, we ask the experts to discuss the discrepancies. Finally, depending on the consensus decision by the experts, the items or the mapping of the items is revised.  In cases where experts </w:t>
      </w:r>
      <w:proofErr w:type="spellStart"/>
      <w:r w:rsidRPr="00C83BC9">
        <w:rPr>
          <w:rFonts w:eastAsia="Calibri" w:cs="Arial"/>
        </w:rPr>
        <w:t>can not</w:t>
      </w:r>
      <w:proofErr w:type="spellEnd"/>
      <w:r w:rsidRPr="00C83BC9">
        <w:rPr>
          <w:rFonts w:eastAsia="Calibri" w:cs="Arial"/>
        </w:rPr>
        <w:t xml:space="preserve"> agree, either the researchers intervene and assist with the final mapping or alternatively a new set of experts are invited and asked to do the q-sort. In our case this</w:t>
      </w:r>
      <w:r>
        <w:rPr>
          <w:rFonts w:eastAsia="Calibri" w:cs="Arial"/>
        </w:rPr>
        <w:t>,</w:t>
      </w:r>
      <w:r w:rsidRPr="00C83BC9">
        <w:rPr>
          <w:rFonts w:eastAsia="Calibri" w:cs="Arial"/>
        </w:rPr>
        <w:t xml:space="preserve"> was not necessary as experts were able to arrive at a consensus for all discrepancies. As</w:t>
      </w:r>
      <w:r w:rsidRPr="00E062A2">
        <w:rPr>
          <w:rFonts w:eastAsia="Calibri" w:cs="Arial"/>
        </w:rPr>
        <w:t xml:space="preserve"> an example, </w:t>
      </w:r>
      <w:r>
        <w:rPr>
          <w:rFonts w:eastAsia="Calibri" w:cs="Arial"/>
        </w:rPr>
        <w:t xml:space="preserve">consider the </w:t>
      </w:r>
      <w:r>
        <w:rPr>
          <w:szCs w:val="24"/>
        </w:rPr>
        <w:t xml:space="preserve">diagnostic </w:t>
      </w:r>
      <w:r w:rsidRPr="00E062A2">
        <w:rPr>
          <w:szCs w:val="24"/>
        </w:rPr>
        <w:t>tree</w:t>
      </w:r>
      <w:r w:rsidRPr="00E062A2">
        <w:rPr>
          <w:rFonts w:eastAsia="Calibri" w:cs="Arial"/>
        </w:rPr>
        <w:t xml:space="preserve"> presented in </w:t>
      </w:r>
      <w:r w:rsidR="00CC74A6">
        <w:rPr>
          <w:rFonts w:eastAsia="Calibri" w:cs="Arial"/>
        </w:rPr>
        <w:t>Fig.</w:t>
      </w:r>
      <w:r>
        <w:rPr>
          <w:rFonts w:eastAsia="Calibri" w:cs="Arial"/>
        </w:rPr>
        <w:t xml:space="preserve"> 10</w:t>
      </w:r>
      <w:r w:rsidRPr="00E062A2">
        <w:rPr>
          <w:rFonts w:eastAsia="Calibri" w:cs="Arial"/>
        </w:rPr>
        <w:t>. After the reconciliation, several items were remapped</w:t>
      </w:r>
      <w:r w:rsidRPr="0033623C">
        <w:rPr>
          <w:rFonts w:eastAsia="Calibri" w:cs="Arial"/>
        </w:rPr>
        <w:t>. For instance, in the third round, experts disagreed on which item should be the parent of item 40 “I know how to secure my Instagram account.”  Expert 1 mapped item 40 to item 2 “I know how to create an Instagram account,” while expert 2 mapped item 40 to item 18 “I have the ability to control the visibility and privacy of the Instagram account”. After discussion, the experts and researchers agreed to map item 40 to item 18 “I have the ability to control the visibility and privacy of the Instagram account.”</w:t>
      </w:r>
    </w:p>
    <w:p w14:paraId="3F3E8801" w14:textId="28179B83" w:rsidR="00970D55" w:rsidRDefault="00507A7B" w:rsidP="00970D55">
      <w:pPr>
        <w:spacing w:before="120"/>
        <w:ind w:firstLine="202"/>
        <w:jc w:val="both"/>
        <w:rPr>
          <w:szCs w:val="24"/>
        </w:rPr>
      </w:pPr>
      <w:r>
        <w:rPr>
          <w:szCs w:val="24"/>
        </w:rPr>
        <w:t xml:space="preserve">It should be observed that while we were concerned with the number of branches each item could have (i.e., the “breadth” of the tree), we implemented no controls on the “depth” of the tree.  The rule of thumb when developing instruments requiring user feedback is to have at most 10 questions.  This normally takes users </w:t>
      </w:r>
      <w:r w:rsidRPr="00B23500">
        <w:rPr>
          <w:szCs w:val="24"/>
        </w:rPr>
        <w:t>5 minutes</w:t>
      </w:r>
      <w:r>
        <w:rPr>
          <w:szCs w:val="24"/>
        </w:rPr>
        <w:t xml:space="preserve"> to fill</w:t>
      </w:r>
      <w:r w:rsidRPr="00B23500">
        <w:rPr>
          <w:szCs w:val="24"/>
        </w:rPr>
        <w:t xml:space="preserve">. </w:t>
      </w:r>
      <w:r>
        <w:rPr>
          <w:szCs w:val="24"/>
        </w:rPr>
        <w:t xml:space="preserve"> Any longer, and there is an increased risk of </w:t>
      </w:r>
      <w:r w:rsidRPr="00B23500">
        <w:rPr>
          <w:szCs w:val="24"/>
        </w:rPr>
        <w:t xml:space="preserve">fatigue and dropouts </w:t>
      </w:r>
      <w:r w:rsidRPr="00B23500">
        <w:rPr>
          <w:szCs w:val="24"/>
        </w:rPr>
        <w:fldChar w:fldCharType="begin" w:fldLock="1"/>
      </w:r>
      <w:r>
        <w:rPr>
          <w:szCs w:val="24"/>
        </w:rPr>
        <w:instrText>ADDIN CSL_CITATION {"citationItems":[{"id":"ITEM-1","itemData":{"DOI":"10.1093/poq/nfp031","ISSN":"0033-362X","author":[{"dropping-particle":"","family":"Galesic","given":"M.","non-dropping-particle":"","parse-names":false,"suffix":""},{"dropping-particle":"","family":"Bosnjak","given":"M.","non-dropping-particle":"","parse-names":false,"suffix":""}],"container-title":"Public Opinion Quarterly","id":"ITEM-1","issue":"2","issued":{"date-parts":[["2009","5","28"]]},"page":"349-360","title":"Effects of questionnaire length on participation and indicators of response quality in a Web Survey","type":"article-journal","volume":"73"},"uris":["http://www.mendeley.com/documents/?uuid=ae6f6048-ed73-429f-868f-abce20c3a4a7"]},{"id":"ITEM-2","itemData":{"abstract":"Dropouts in Web surveys may pose a serious threat to data quality, yet their causes are often unknown. This study aims to shed light on how respondent’s motivation changes throughout the survey and how that affects dropping out. While most existing studies examine survey response at a single point in time, we try to grasp the dynamics of respondents’ behavior by registering their perceptions of survey situation throughout the survey. The questionnaire consisted of an introductory part followed by 20 Web pages with several questions apiece. The pages differed in content and format of the questions, as well as in number of questions and average completion time. The order of the pages was randomized. At the end of each page, respondents were asked how interesting the questions on that page were and how much effort they invested in answering them. Changes in interest and perceived burden were analyzed for groups of respondents who dropped out at each page. The results show that interest usually decreases and perceived burden increases just before the respondent drops out. These changes in interest and burden are related to characteristics of the questions, respondents, and survey design. Respondents’ tendency for dropout can be observed even before the dropout actually happens, through lower levels of interest, higher levels of effort, and higher item nonresponse in question blocks that precede the point of the dropout. Global evaluations of survey experience are not affected by overall duration of the questionnaire, but mostly by certain key moments during the questionnaire, most notably the maximum and ending levels of interest and effort. The results could help in practical work and open new paths to theoretical explanations of survey behavior. [ABSTRACT FROM AUTHOR]","author":[{"dropping-particle":"","family":"Galesic","given":"Mirta","non-dropping-particle":"","parse-names":false,"suffix":""}],"container-title":"Journal of Official Statistics","id":"ITEM-2","issue":"2","issued":{"date-parts":[["2006"]]},"page":"313-328","title":"Dropouts on the Web: Influence of changes in respondents' interest and perceived burden during the Web survey","type":"article-journal","volume":"22"},"uris":["http://www.mendeley.com/documents/?uuid=accbdff4-c7af-4334-9a2d-24270574764b"]}],"mendeley":{"formattedCitation":"[62], [63]","plainTextFormattedCitation":"[62], [63]","previouslyFormattedCitation":"[62], [63]"},"properties":{"noteIndex":0},"schema":"https://github.com/citation-style-language/schema/raw/master/csl-citation.json"}</w:instrText>
      </w:r>
      <w:r w:rsidRPr="00B23500">
        <w:rPr>
          <w:szCs w:val="24"/>
        </w:rPr>
        <w:fldChar w:fldCharType="separate"/>
      </w:r>
      <w:r w:rsidRPr="00E65D3B">
        <w:rPr>
          <w:noProof/>
          <w:szCs w:val="24"/>
        </w:rPr>
        <w:t>[62], [63]</w:t>
      </w:r>
      <w:r w:rsidRPr="00B23500">
        <w:rPr>
          <w:szCs w:val="24"/>
        </w:rPr>
        <w:fldChar w:fldCharType="end"/>
      </w:r>
      <w:r w:rsidRPr="00B23500">
        <w:rPr>
          <w:szCs w:val="24"/>
        </w:rPr>
        <w:t xml:space="preserve">. </w:t>
      </w:r>
      <w:r>
        <w:rPr>
          <w:szCs w:val="24"/>
        </w:rPr>
        <w:t xml:space="preserve"> From the perspective of diagnostic trees, a diagnostic tree with 2 branches per item nested 10 levels deep would have 2</w:t>
      </w:r>
      <w:r w:rsidRPr="000F368B">
        <w:rPr>
          <w:szCs w:val="24"/>
          <w:vertAlign w:val="superscript"/>
        </w:rPr>
        <w:t>10</w:t>
      </w:r>
      <w:r>
        <w:rPr>
          <w:szCs w:val="24"/>
        </w:rPr>
        <w:t xml:space="preserve"> or 1024 questions, i.e., more questions than need to be asked.  Thus, typically, the depth of the tree structure does not pose an issue in design.</w:t>
      </w:r>
    </w:p>
    <w:p w14:paraId="2CB5B60D" w14:textId="2A4530FB" w:rsidR="00970D55" w:rsidRDefault="00970D55" w:rsidP="00970D55">
      <w:pPr>
        <w:spacing w:before="120"/>
        <w:jc w:val="both"/>
        <w:rPr>
          <w:szCs w:val="24"/>
        </w:rPr>
      </w:pPr>
      <w:r>
        <w:rPr>
          <w:noProof/>
          <w:szCs w:val="24"/>
        </w:rPr>
        <w:drawing>
          <wp:inline distT="0" distB="0" distL="0" distR="0" wp14:anchorId="3B74E899" wp14:editId="1AD5E70D">
            <wp:extent cx="3321496" cy="1609344"/>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7"/>
                    <a:stretch>
                      <a:fillRect/>
                    </a:stretch>
                  </pic:blipFill>
                  <pic:spPr>
                    <a:xfrm>
                      <a:off x="0" y="0"/>
                      <a:ext cx="3327181" cy="1612098"/>
                    </a:xfrm>
                    <a:prstGeom prst="rect">
                      <a:avLst/>
                    </a:prstGeom>
                  </pic:spPr>
                </pic:pic>
              </a:graphicData>
            </a:graphic>
          </wp:inline>
        </w:drawing>
      </w:r>
    </w:p>
    <w:p w14:paraId="1F16379B" w14:textId="41D6E7DE" w:rsidR="00507A7B" w:rsidRPr="0036489C" w:rsidRDefault="00507A7B" w:rsidP="00970D55">
      <w:pPr>
        <w:rPr>
          <w:sz w:val="16"/>
          <w:szCs w:val="16"/>
        </w:rPr>
      </w:pPr>
      <w:r w:rsidRPr="0036489C">
        <w:rPr>
          <w:sz w:val="16"/>
          <w:szCs w:val="16"/>
        </w:rPr>
        <w:t>Fig. 10.</w:t>
      </w:r>
      <w:r w:rsidR="0036489C" w:rsidRPr="0036489C">
        <w:rPr>
          <w:sz w:val="16"/>
          <w:szCs w:val="16"/>
        </w:rPr>
        <w:t xml:space="preserve">  Final mapping “account management for Instagram” tree.</w:t>
      </w:r>
    </w:p>
    <w:p w14:paraId="6506F792" w14:textId="77777777" w:rsidR="00507A7B" w:rsidRPr="00970365" w:rsidRDefault="00507A7B" w:rsidP="00507A7B">
      <w:pPr>
        <w:spacing w:before="120"/>
        <w:jc w:val="both"/>
        <w:rPr>
          <w:szCs w:val="24"/>
        </w:rPr>
      </w:pPr>
      <w:bookmarkStart w:id="62" w:name="_Hlk64285073"/>
      <w:r w:rsidRPr="00507A7B">
        <w:rPr>
          <w:rFonts w:eastAsiaTheme="majorEastAsia" w:cstheme="majorBidi"/>
          <w:bCs/>
          <w:i/>
          <w:color w:val="171717" w:themeColor="background2" w:themeShade="1A"/>
          <w:szCs w:val="24"/>
        </w:rPr>
        <w:t>Step 10: Empirically validating the Diagnostic tree.</w:t>
      </w:r>
      <w:r w:rsidRPr="00970365">
        <w:rPr>
          <w:rFonts w:eastAsiaTheme="majorEastAsia" w:cstheme="majorBidi"/>
          <w:b/>
          <w:i/>
          <w:color w:val="171717" w:themeColor="background2" w:themeShade="1A"/>
          <w:szCs w:val="24"/>
        </w:rPr>
        <w:t xml:space="preserve"> </w:t>
      </w:r>
      <w:r w:rsidRPr="00970365">
        <w:rPr>
          <w:szCs w:val="24"/>
        </w:rPr>
        <w:t xml:space="preserve">Our Diagnostic Tree (DT) is designed to identify systematic reasons for users’ failure to engage with various Instagram functions. There are clearly many forms of validity, such as construct, internal, and external validity </w:t>
      </w:r>
      <w:r w:rsidRPr="00970365">
        <w:rPr>
          <w:szCs w:val="24"/>
        </w:rPr>
        <w:fldChar w:fldCharType="begin" w:fldLock="1"/>
      </w:r>
      <w:r>
        <w:rPr>
          <w:szCs w:val="24"/>
        </w:rPr>
        <w:instrText>ADDIN CSL_CITATION {"citationItems":[{"id":"ITEM-1","itemData":{"DOI":"10.1198/jasa.2005.s22","ISBN":"0395615569","ISSN":"0162-1459","abstract":"This long awaited successor of the original Cook/Campbell Quasi- Experimentation: Design and Analysis Issues for Field Settings represents updates in the field over the last two decades. The book covers four major topics in field experimentation: Theoretical matters: Experimentation, causation, and validity Quasi-experimental design: Regression discontinuity designs, interrupted time series designs, quasi-experimental designs that use both pretests and control groups, and other designs Randomized experiments: Logic and design issues, and practical problems involving ethics, recruitment, assignment, treatment implementation, and attrition Generalized causal inference: A grounded theory of generalized causal inference, along with methods for implementing that theory in single and multiple studies","author":[{"dropping-particle":"","family":"Shadish","given":"William R","non-dropping-particle":"","parse-names":false,"suffix":""},{"dropping-particle":"","family":"Cook","given":"Thomas D","non-dropping-particle":"","parse-names":false,"suffix":""},{"dropping-particle":"","family":"Campbell","given":"Donald T","non-dropping-particle":"","parse-names":false,"suffix":""}],"container-title":"Wadsworth Cengage learning","id":"ITEM-1","issued":{"date-parts":[["2002"]]},"publisher":"Houghton Mifflin Company","title":"Experimental and Quasi-Experimental for Generalized Designs Causal Inference","type":"book"},"uris":["http://www.mendeley.com/documents/?uuid=2efad4b0-4d19-4092-bad0-a27f35b774c6"]}],"mendeley":{"formattedCitation":"[64]","plainTextFormattedCitation":"[64]","previouslyFormattedCitation":"[64]"},"properties":{"noteIndex":0},"schema":"https://github.com/citation-style-language/schema/raw/master/csl-citation.json"}</w:instrText>
      </w:r>
      <w:r w:rsidRPr="00970365">
        <w:rPr>
          <w:szCs w:val="24"/>
        </w:rPr>
        <w:fldChar w:fldCharType="separate"/>
      </w:r>
      <w:r w:rsidRPr="00E65D3B">
        <w:rPr>
          <w:noProof/>
          <w:szCs w:val="24"/>
        </w:rPr>
        <w:t>[64]</w:t>
      </w:r>
      <w:r w:rsidRPr="00970365">
        <w:rPr>
          <w:szCs w:val="24"/>
        </w:rPr>
        <w:fldChar w:fldCharType="end"/>
      </w:r>
      <w:r w:rsidRPr="00970365">
        <w:rPr>
          <w:szCs w:val="24"/>
        </w:rPr>
        <w:t xml:space="preserve">, and a full validation of any measurement instrument is time intensive. One way to validate a Diagnostic Tree is to assess it against an external criterion. For the </w:t>
      </w:r>
      <w:bookmarkStart w:id="63" w:name="_Hlk62550261"/>
      <w:r w:rsidRPr="00970365">
        <w:rPr>
          <w:szCs w:val="24"/>
        </w:rPr>
        <w:t>Instagram self-efficacy for account management</w:t>
      </w:r>
      <w:bookmarkEnd w:id="63"/>
      <w:r w:rsidRPr="00970365">
        <w:rPr>
          <w:szCs w:val="24"/>
        </w:rPr>
        <w:t>, online comments or reviews were used as an external criterion. We extracted comments from Reddit</w:t>
      </w:r>
      <w:r>
        <w:rPr>
          <w:szCs w:val="24"/>
        </w:rPr>
        <w:t>, in particular subreddits, such as,</w:t>
      </w:r>
      <w:r w:rsidRPr="007B1A36">
        <w:t xml:space="preserve"> </w:t>
      </w:r>
      <w:r>
        <w:t>“</w:t>
      </w:r>
      <w:r w:rsidRPr="007B1A36">
        <w:rPr>
          <w:szCs w:val="24"/>
        </w:rPr>
        <w:t>r/Instagram</w:t>
      </w:r>
      <w:r>
        <w:rPr>
          <w:szCs w:val="24"/>
        </w:rPr>
        <w:t>” or “</w:t>
      </w:r>
      <w:r w:rsidRPr="007B1A36">
        <w:rPr>
          <w:szCs w:val="24"/>
        </w:rPr>
        <w:t>r/</w:t>
      </w:r>
      <w:proofErr w:type="spellStart"/>
      <w:r w:rsidRPr="007B1A36">
        <w:rPr>
          <w:szCs w:val="24"/>
        </w:rPr>
        <w:t>socialmedia</w:t>
      </w:r>
      <w:proofErr w:type="spellEnd"/>
      <w:r>
        <w:rPr>
          <w:szCs w:val="24"/>
        </w:rPr>
        <w:t xml:space="preserve">’, </w:t>
      </w:r>
      <w:r w:rsidRPr="00970365">
        <w:rPr>
          <w:szCs w:val="24"/>
        </w:rPr>
        <w:t>using keywords</w:t>
      </w:r>
      <w:r w:rsidRPr="00970365">
        <w:t xml:space="preserve"> such as </w:t>
      </w:r>
      <w:r w:rsidRPr="00970365">
        <w:rPr>
          <w:szCs w:val="24"/>
        </w:rPr>
        <w:t>account, profile, privacy, and security</w:t>
      </w:r>
      <w:r>
        <w:rPr>
          <w:szCs w:val="24"/>
        </w:rPr>
        <w:t>,</w:t>
      </w:r>
      <w:r w:rsidRPr="00206D25">
        <w:rPr>
          <w:szCs w:val="24"/>
        </w:rPr>
        <w:t xml:space="preserve"> because it concerns complaints about Instagram</w:t>
      </w:r>
      <w:r>
        <w:rPr>
          <w:szCs w:val="24"/>
        </w:rPr>
        <w:t>.</w:t>
      </w:r>
      <w:r w:rsidRPr="00206D25">
        <w:rPr>
          <w:szCs w:val="24"/>
        </w:rPr>
        <w:t xml:space="preserve"> </w:t>
      </w:r>
      <w:r w:rsidRPr="00970365">
        <w:rPr>
          <w:szCs w:val="24"/>
        </w:rPr>
        <w:t>We then retrieved all the data from the search. We then cleaned the data and dropped duplicates. We obtained a total of 193 comments. Next, two independent experts were given the comments and the categories and were asked to map each comment to the categories. In our research design, experts could elect to not map comments to categories, and this occurred.  When unmapped comments were reviewed by researchers, it was determined they were either irrelevant to the context of the study or vague and hence were dropped. For instance, the comment “Instagram blocks my Live for using my own music” was dropped as it was marked as irrelevant, as it was not related to the context of Instagram self-efficacy for account management. A total of 41 such comments were dropped.  The inter-rater reliability was significant, and kappa was 0.603. Interestingly, of the 153 comments, expert</w:t>
      </w:r>
      <w:r>
        <w:rPr>
          <w:szCs w:val="24"/>
        </w:rPr>
        <w:t xml:space="preserve"> </w:t>
      </w:r>
      <w:r w:rsidRPr="00970365">
        <w:rPr>
          <w:szCs w:val="24"/>
        </w:rPr>
        <w:t xml:space="preserve">1 and expert 2 could only map 52 and 62 </w:t>
      </w:r>
      <w:r>
        <w:rPr>
          <w:szCs w:val="24"/>
        </w:rPr>
        <w:t xml:space="preserve">items </w:t>
      </w:r>
      <w:r w:rsidRPr="00970365">
        <w:rPr>
          <w:szCs w:val="24"/>
        </w:rPr>
        <w:t>respectively to levels below the first two levels. What this means is that the diagnostic tree allowed for a more in-depth diagnosis for why Instagram users had account management problems than the actual Reddit complaints.  This therefore provides some evidence our diagnostic tree is superior to at least other traditional source of diagnostic information (i.e., online forums).</w:t>
      </w:r>
    </w:p>
    <w:p w14:paraId="57548E3B" w14:textId="77777777" w:rsidR="00507A7B" w:rsidRPr="00970365" w:rsidRDefault="00507A7B" w:rsidP="00507A7B">
      <w:pPr>
        <w:pStyle w:val="Heading1"/>
      </w:pPr>
      <w:bookmarkStart w:id="64" w:name="_Toc524428283"/>
      <w:bookmarkEnd w:id="62"/>
      <w:r w:rsidRPr="00970365">
        <w:t>Conclusion</w:t>
      </w:r>
      <w:bookmarkEnd w:id="64"/>
      <w:r w:rsidRPr="00970365">
        <w:t xml:space="preserve">  </w:t>
      </w:r>
    </w:p>
    <w:p w14:paraId="61E14061" w14:textId="7CC40205" w:rsidR="00507A7B" w:rsidRDefault="00507A7B" w:rsidP="00507A7B">
      <w:pPr>
        <w:shd w:val="clear" w:color="auto" w:fill="FFFFFF"/>
        <w:ind w:firstLine="202"/>
        <w:jc w:val="both"/>
        <w:rPr>
          <w:color w:val="222222"/>
          <w:szCs w:val="24"/>
          <w:lang w:eastAsia="en-NZ"/>
        </w:rPr>
      </w:pPr>
      <w:bookmarkStart w:id="65" w:name="_Hlk64105394"/>
      <w:bookmarkStart w:id="66" w:name="_Hlk49849596"/>
      <w:bookmarkStart w:id="67" w:name="_Hlk49951879"/>
      <w:r w:rsidRPr="00970365">
        <w:rPr>
          <w:color w:val="222222"/>
          <w:szCs w:val="24"/>
          <w:lang w:eastAsia="en-NZ"/>
        </w:rPr>
        <w:t xml:space="preserve">This paper introduced a new q-sort methodology for validating diagnostic trees.  </w:t>
      </w:r>
      <w:bookmarkStart w:id="68" w:name="_Hlk64102773"/>
      <w:bookmarkStart w:id="69" w:name="_Hlk64119630"/>
      <w:bookmarkStart w:id="70" w:name="_Hlk49848382"/>
      <w:r w:rsidRPr="00FD547D">
        <w:rPr>
          <w:color w:val="222222"/>
          <w:szCs w:val="24"/>
          <w:lang w:eastAsia="en-NZ"/>
        </w:rPr>
        <w:t xml:space="preserve">Existing approaches are limited in their ability to assess these types of trees for a number of reasons. Consider the example of the diagnostic tree in </w:t>
      </w:r>
      <w:r w:rsidR="00CC74A6">
        <w:rPr>
          <w:color w:val="222222"/>
          <w:szCs w:val="24"/>
          <w:lang w:eastAsia="en-NZ"/>
        </w:rPr>
        <w:t>Fig.</w:t>
      </w:r>
      <w:r w:rsidRPr="00FD547D">
        <w:rPr>
          <w:color w:val="222222"/>
          <w:szCs w:val="24"/>
          <w:lang w:eastAsia="en-NZ"/>
        </w:rPr>
        <w:t xml:space="preserve"> 1, for Instagram self-efficacy. Existing expert review and comparisons-based techniques are insufficient, because they focus only on evaluating the tree’s overall fitness, rather than considering the fitness of the individual branches- they do not include methodological processes for validating tree branches.  For example, while the overall tree might be alright, if the “content creation” branch performs poorly, we would continue to have a segment of unhappy users.  With respect to quantitative techniques, if a quantitative technique demonstrates our diagnostic tree has poor validity, it does not then articulate for us what the issue with validity is- we just simply know the validity score is poor</w:t>
      </w:r>
      <w:bookmarkEnd w:id="68"/>
      <w:r>
        <w:rPr>
          <w:color w:val="222222"/>
          <w:szCs w:val="24"/>
          <w:lang w:eastAsia="en-NZ"/>
        </w:rPr>
        <w:t>. Thus, the key distinction between ours’ and others’ techniques is in our focus on evaluating not only the whole tree, but parts of the tree.  This is done by: (1) having our experts assess only part of the diagnostic tree at one time, (2) performing quantitative statistical tests on successive elements of the tree, working from the top of the tree down to the end nodes, and (3) using statistical measures that what part of two trees are dissimilar.</w:t>
      </w:r>
      <w:bookmarkEnd w:id="65"/>
      <w:bookmarkEnd w:id="69"/>
      <w:r>
        <w:rPr>
          <w:color w:val="222222"/>
          <w:szCs w:val="24"/>
          <w:lang w:eastAsia="en-NZ"/>
        </w:rPr>
        <w:t xml:space="preserve"> </w:t>
      </w:r>
    </w:p>
    <w:p w14:paraId="196FA601" w14:textId="77777777" w:rsidR="00507A7B" w:rsidRDefault="00507A7B" w:rsidP="00507A7B">
      <w:pPr>
        <w:shd w:val="clear" w:color="auto" w:fill="FFFFFF"/>
        <w:ind w:firstLine="202"/>
        <w:jc w:val="both"/>
        <w:rPr>
          <w:color w:val="222222"/>
          <w:szCs w:val="24"/>
          <w:lang w:eastAsia="en-NZ"/>
        </w:rPr>
      </w:pPr>
      <w:bookmarkStart w:id="71" w:name="_Hlk64288151"/>
      <w:r w:rsidRPr="009A74C5">
        <w:rPr>
          <w:color w:val="222222"/>
          <w:szCs w:val="24"/>
          <w:lang w:eastAsia="en-NZ"/>
        </w:rPr>
        <w:t>Our paper makes several contributions</w:t>
      </w:r>
      <w:bookmarkStart w:id="72" w:name="_Hlk64120438"/>
      <w:r w:rsidRPr="009A74C5">
        <w:rPr>
          <w:color w:val="222222"/>
          <w:szCs w:val="24"/>
          <w:lang w:eastAsia="en-NZ"/>
        </w:rPr>
        <w:t xml:space="preserve">.  First, </w:t>
      </w:r>
      <w:bookmarkStart w:id="73" w:name="_Hlk62129262"/>
      <w:r w:rsidRPr="009A74C5">
        <w:rPr>
          <w:color w:val="222222"/>
          <w:szCs w:val="24"/>
          <w:lang w:eastAsia="en-NZ"/>
        </w:rPr>
        <w:t>we introduce a methodology which not only validates the overall diagnostic tree, but also validates components of the tree</w:t>
      </w:r>
      <w:bookmarkEnd w:id="73"/>
      <w:r w:rsidRPr="009A74C5">
        <w:rPr>
          <w:color w:val="222222"/>
          <w:szCs w:val="24"/>
          <w:lang w:eastAsia="en-NZ"/>
        </w:rPr>
        <w:t>.  In performing validation, we not only identify that something is wrong, but what is wrong, i.e., whether the problem is at the top or bottom of the tree, and whether the problem is a hierarchical, or level issue.  Our methodology is furthermore systematic and follows a step-by-step procedure that others can follow</w:t>
      </w:r>
      <w:bookmarkEnd w:id="72"/>
      <w:r w:rsidRPr="009A74C5">
        <w:rPr>
          <w:color w:val="222222"/>
          <w:szCs w:val="24"/>
          <w:lang w:eastAsia="en-NZ"/>
        </w:rPr>
        <w:t>.</w:t>
      </w:r>
      <w:r>
        <w:rPr>
          <w:color w:val="222222"/>
          <w:szCs w:val="24"/>
          <w:lang w:eastAsia="en-NZ"/>
        </w:rPr>
        <w:t xml:space="preserve"> </w:t>
      </w:r>
      <w:bookmarkStart w:id="74" w:name="_Hlk64102918"/>
      <w:r>
        <w:rPr>
          <w:color w:val="222222"/>
          <w:szCs w:val="24"/>
          <w:lang w:eastAsia="en-NZ"/>
        </w:rPr>
        <w:t>Our methodology thus provides a rigorous way by which existing diagnostic trees (e.g., in expert systems and follow-up customer satisfaction surveys) can be validated prior to launch.</w:t>
      </w:r>
      <w:bookmarkEnd w:id="74"/>
      <w:r>
        <w:rPr>
          <w:color w:val="222222"/>
          <w:szCs w:val="24"/>
          <w:lang w:eastAsia="en-NZ"/>
        </w:rPr>
        <w:t xml:space="preserve"> </w:t>
      </w:r>
      <w:r w:rsidRPr="009A74C5">
        <w:rPr>
          <w:color w:val="222222"/>
          <w:szCs w:val="24"/>
          <w:lang w:eastAsia="en-NZ"/>
        </w:rPr>
        <w:t>In addition, as part of evaluating our validation process</w:t>
      </w:r>
      <w:r>
        <w:rPr>
          <w:color w:val="222222"/>
          <w:szCs w:val="24"/>
          <w:lang w:eastAsia="en-NZ"/>
        </w:rPr>
        <w:t>,</w:t>
      </w:r>
      <w:r w:rsidRPr="009A74C5">
        <w:rPr>
          <w:color w:val="222222"/>
          <w:szCs w:val="24"/>
          <w:lang w:eastAsia="en-NZ"/>
        </w:rPr>
        <w:t xml:space="preserve"> we developed a new diagnostic tree for Instagram self-efficacy.  This diagnostic tree will prove helpful not only for identifying the key gaps in Instagram’s user experience, but also more generally expands our understanding of user self-efficacy as a concept</w:t>
      </w:r>
      <w:r>
        <w:rPr>
          <w:color w:val="222222"/>
          <w:szCs w:val="24"/>
          <w:lang w:eastAsia="en-NZ"/>
        </w:rPr>
        <w:t xml:space="preserve"> </w:t>
      </w:r>
      <w:r w:rsidRPr="002D208C">
        <w:rPr>
          <w:rFonts w:eastAsia="Calibri"/>
          <w:szCs w:val="24"/>
          <w:lang w:val="en-GB"/>
        </w:rPr>
        <w:fldChar w:fldCharType="begin" w:fldLock="1"/>
      </w:r>
      <w:r>
        <w:rPr>
          <w:rFonts w:eastAsia="Calibri"/>
          <w:szCs w:val="24"/>
          <w:lang w:val="en-GB"/>
        </w:rPr>
        <w:instrText>ADDIN CSL_CITATION {"citationItems":[{"id":"ITEM-1","itemData":{"DOI":"10.1111/isj.12082","ISBN":"1350-1917, 1350-1917","ISSN":"13652575","PMID":"59552716","abstract":"Smartphones are increasingly penetrating business and consumer markets, and mobile applications (apps) have engendered a large and innovative market. Whereas apps are useful, they also present new forms of privacy risk associated with users' personal and location data. However, these dangers do not appear to increase the perceived risk or reduce the trust consumers demonstrate when using apps. Many information technology (IT) trust indicators are well documented such as the quality of the IT, trust assurances, brand recognition and social influences. However, these traditional indicators appear to have a lesser impact on the adoption of mobile commerce via apps because of the nature of mobile-app adoption and subsequent information disclosure. As a result, we draw from social cognitive theory and its construct of self-efficacy in particular to explain perceived mobile-app risk and provider trust. Through two controlled experiments, we demonstrate the strong direct effect of mobile-computing self-efficacy on users' initial trust in location-based app vendors as well as their perceived risk of disclosing information – regardless of the actual trustworthiness of the app vendor. The results imply that being skilled in the latest smartphones and apps can cause users to place greater trust in app providers and perceive less risk in the app itself, even when the intentions of the app providers cannot be verified.","author":[{"dropping-particle":"","family":"Keith","given":"Mark J.","non-dropping-particle":"","parse-names":false,"suffix":""},{"dropping-particle":"","family":"Babb","given":"Jeffry S.","non-dropping-particle":"","parse-names":false,"suffix":""},{"dropping-particle":"","family":"Lowry","given":"Paul Benjamin","non-dropping-particle":"","parse-names":false,"suffix":""},{"dropping-particle":"","family":"Furner","given":"Christopher P.","non-dropping-particle":"","parse-names":false,"suffix":""},{"dropping-particle":"","family":"Abdullat","given":"Amjad","non-dropping-particle":"","parse-names":false,"suffix":""}],"container-title":"Information Systems Journal","id":"ITEM-1","issue":"6","issued":{"date-parts":[["2015"]]},"page":"637-667","title":"The role of mobile-computing self-efficacy in consumer information disclosure","type":"article-journal","volume":"25"},"uris":["http://www.mendeley.com/documents/?uuid=8cfb8d5b-c8e7-42e4-9197-e4a9b8c823be"]}],"mendeley":{"formattedCitation":"[13]","plainTextFormattedCitation":"[13]","previouslyFormattedCitation":"[13]"},"properties":{"noteIndex":0},"schema":"https://github.com/citation-style-language/schema/raw/master/csl-citation.json"}</w:instrText>
      </w:r>
      <w:r w:rsidRPr="002D208C">
        <w:rPr>
          <w:rFonts w:eastAsia="Calibri"/>
          <w:szCs w:val="24"/>
          <w:lang w:val="en-GB"/>
        </w:rPr>
        <w:fldChar w:fldCharType="separate"/>
      </w:r>
      <w:r w:rsidRPr="00B84BCF">
        <w:rPr>
          <w:rFonts w:eastAsia="Calibri"/>
          <w:noProof/>
          <w:szCs w:val="24"/>
          <w:lang w:val="en-GB"/>
        </w:rPr>
        <w:t>[13]</w:t>
      </w:r>
      <w:r w:rsidRPr="002D208C">
        <w:rPr>
          <w:rFonts w:eastAsia="Calibri"/>
          <w:szCs w:val="24"/>
        </w:rPr>
        <w:fldChar w:fldCharType="end"/>
      </w:r>
      <w:r w:rsidRPr="002D208C">
        <w:rPr>
          <w:rFonts w:eastAsia="Calibri"/>
          <w:szCs w:val="24"/>
          <w:lang w:val="en-GB"/>
        </w:rPr>
        <w:t xml:space="preserve">. </w:t>
      </w:r>
      <w:r>
        <w:rPr>
          <w:color w:val="222222"/>
          <w:szCs w:val="24"/>
          <w:lang w:eastAsia="en-NZ"/>
        </w:rPr>
        <w:t>O</w:t>
      </w:r>
      <w:r w:rsidRPr="009A74C5">
        <w:rPr>
          <w:color w:val="222222"/>
          <w:szCs w:val="24"/>
          <w:lang w:eastAsia="en-NZ"/>
        </w:rPr>
        <w:t>ur work allows for a more systematic evaluation of the elements of user self-efficacy and why users perceive themselves as not particularly self-efficacious.</w:t>
      </w:r>
      <w:r w:rsidRPr="00F702ED">
        <w:rPr>
          <w:color w:val="222222"/>
          <w:szCs w:val="24"/>
          <w:lang w:eastAsia="en-NZ"/>
        </w:rPr>
        <w:t xml:space="preserve"> </w:t>
      </w:r>
    </w:p>
    <w:p w14:paraId="6B4022E4" w14:textId="77777777" w:rsidR="00507A7B" w:rsidRPr="00E24FDA" w:rsidRDefault="00507A7B" w:rsidP="00507A7B">
      <w:pPr>
        <w:shd w:val="clear" w:color="auto" w:fill="FFFFFF"/>
        <w:ind w:firstLine="202"/>
        <w:jc w:val="both"/>
        <w:rPr>
          <w:szCs w:val="24"/>
        </w:rPr>
      </w:pPr>
      <w:bookmarkStart w:id="75" w:name="_Hlk62814250"/>
      <w:bookmarkStart w:id="76" w:name="_Hlk64120999"/>
      <w:bookmarkEnd w:id="71"/>
      <w:r w:rsidRPr="00FD547D">
        <w:rPr>
          <w:color w:val="222222"/>
          <w:szCs w:val="24"/>
          <w:lang w:eastAsia="en-NZ"/>
        </w:rPr>
        <w:t xml:space="preserve">The development of our new q-sort methodology opens up several opportunities for information systems research.  </w:t>
      </w:r>
      <w:bookmarkStart w:id="77" w:name="_Hlk64281460"/>
      <w:r w:rsidRPr="00FD547D">
        <w:rPr>
          <w:color w:val="222222"/>
          <w:szCs w:val="24"/>
          <w:lang w:eastAsia="en-NZ"/>
        </w:rPr>
        <w:t xml:space="preserve">First, most empirical information systems research focuses on explaining causal relationships. For instance, methods such as Structural Equation Modeling (SEM) are used to examine causal relationships and to test the hypotheses between the observed and latent items in a research model </w:t>
      </w:r>
      <w:r w:rsidRPr="00FD547D">
        <w:rPr>
          <w:color w:val="222222"/>
          <w:szCs w:val="24"/>
          <w:lang w:eastAsia="en-NZ"/>
        </w:rPr>
        <w:fldChar w:fldCharType="begin" w:fldLock="1"/>
      </w:r>
      <w:r>
        <w:rPr>
          <w:color w:val="222222"/>
          <w:szCs w:val="24"/>
          <w:lang w:eastAsia="en-NZ"/>
        </w:rPr>
        <w:instrText>ADDIN CSL_CITATION {"citationItems":[{"id":"ITEM-1","itemData":{"author":[{"dropping-particle":"","family":"Hoyle","given":"R. H.","non-dropping-particle":"","parse-names":false,"suffix":""}],"id":"ITEM-1","issued":{"date-parts":[["1995"]]},"publisher":"SAGE Publications","publisher-place":"Thousand Oaks, CA,","title":"Structural equation modeling: Concepts, issues, and applications","type":"book"},"uris":["http://www.mendeley.com/documents/?uuid=f7a5c6ab-4a75-4167-8d68-e2574a6a5166"]}],"mendeley":{"formattedCitation":"[65]","plainTextFormattedCitation":"[65]","previouslyFormattedCitation":"[65]"},"properties":{"noteIndex":0},"schema":"https://github.com/citation-style-language/schema/raw/master/csl-citation.json"}</w:instrText>
      </w:r>
      <w:r w:rsidRPr="00FD547D">
        <w:rPr>
          <w:color w:val="222222"/>
          <w:szCs w:val="24"/>
          <w:lang w:eastAsia="en-NZ"/>
        </w:rPr>
        <w:fldChar w:fldCharType="separate"/>
      </w:r>
      <w:r w:rsidRPr="00E65D3B">
        <w:rPr>
          <w:noProof/>
          <w:color w:val="222222"/>
          <w:szCs w:val="24"/>
          <w:lang w:eastAsia="en-NZ"/>
        </w:rPr>
        <w:t>[65]</w:t>
      </w:r>
      <w:r w:rsidRPr="00FD547D">
        <w:rPr>
          <w:color w:val="222222"/>
          <w:szCs w:val="24"/>
          <w:lang w:eastAsia="en-NZ"/>
        </w:rPr>
        <w:fldChar w:fldCharType="end"/>
      </w:r>
      <w:r w:rsidRPr="00FD547D">
        <w:rPr>
          <w:color w:val="222222"/>
          <w:szCs w:val="24"/>
          <w:lang w:eastAsia="en-NZ"/>
        </w:rPr>
        <w:t>. However, in many situations, one may desire to know why such relationships exist or fail to hold. For instance</w:t>
      </w:r>
      <w:r w:rsidRPr="00FD547D">
        <w:rPr>
          <w:color w:val="222222"/>
          <w:szCs w:val="24"/>
          <w:shd w:val="clear" w:color="auto" w:fill="FFFFFF"/>
        </w:rPr>
        <w:t xml:space="preserve">, </w:t>
      </w:r>
      <w:proofErr w:type="spellStart"/>
      <w:r w:rsidRPr="00FD547D">
        <w:rPr>
          <w:color w:val="222222"/>
          <w:szCs w:val="24"/>
          <w:shd w:val="clear" w:color="auto" w:fill="FFFFFF"/>
        </w:rPr>
        <w:t>Bagozzi</w:t>
      </w:r>
      <w:proofErr w:type="spellEnd"/>
      <w:r w:rsidRPr="00FD547D">
        <w:rPr>
          <w:color w:val="222222"/>
          <w:szCs w:val="24"/>
          <w:shd w:val="clear" w:color="auto" w:fill="FFFFFF"/>
        </w:rPr>
        <w:t xml:space="preserve"> </w:t>
      </w:r>
      <w:r w:rsidRPr="00FD547D">
        <w:rPr>
          <w:color w:val="222222"/>
          <w:szCs w:val="24"/>
          <w:shd w:val="clear" w:color="auto" w:fill="FFFFFF"/>
        </w:rPr>
        <w:fldChar w:fldCharType="begin" w:fldLock="1"/>
      </w:r>
      <w:r>
        <w:rPr>
          <w:color w:val="222222"/>
          <w:szCs w:val="24"/>
          <w:shd w:val="clear" w:color="auto" w:fill="FFFFFF"/>
        </w:rPr>
        <w:instrText>ADDIN CSL_CITATION {"citationItems":[{"id":"ITEM-1","itemData":{"DOI":"Article","ISBN":"15369323","ISSN":"1536-9323","PMID":"25513239","abstract":"This article presents a critique of a number of shortcomings with the technology acceptance model (TAM) and points to specific remedies in each case. In addition, I present a model for the purposes of providing a foundation for a paradigm shift. The model consists first of a decision making core (goal desire → goal intention → action desire → action intention) that is grounded in basic decision making variables/processes of a universal nature. The decision core also contains a mechanism for self-regulation that moderates the effects of desires on intentions. Second, added to the decision making core are a number of causes and effects of decisions and self-regulatory reasoning, with the aim of introducing potential contingent, contextual nuances for understanding decision making. Many of the causal variables here are contained within TAM or its extensions; also considered are new variables grounded in emotional, group/social/cultural, and goal-directed behavior research.","author":[{"dropping-particle":"","family":"Bagozzi","given":"Richard P","non-dropping-particle":"","parse-names":false,"suffix":""}],"container-title":"Journal of the Association for Information Systems","id":"ITEM-1","issue":"4","issued":{"date-parts":[["2007"]]},"page":"244-254","title":"The Legacy of the Technology Acceptance Model and a Proposal for a Paradigm Shift","type":"article-journal","volume":"8"},"uris":["http://www.mendeley.com/documents/?uuid=f1c35b38-954a-4652-a7bc-35473924183f"]}],"mendeley":{"formattedCitation":"[66]","plainTextFormattedCitation":"[66]","previouslyFormattedCitation":"[66]"},"properties":{"noteIndex":0},"schema":"https://github.com/citation-style-language/schema/raw/master/csl-citation.json"}</w:instrText>
      </w:r>
      <w:r w:rsidRPr="00FD547D">
        <w:rPr>
          <w:color w:val="222222"/>
          <w:szCs w:val="24"/>
          <w:shd w:val="clear" w:color="auto" w:fill="FFFFFF"/>
        </w:rPr>
        <w:fldChar w:fldCharType="separate"/>
      </w:r>
      <w:r w:rsidRPr="00E65D3B">
        <w:rPr>
          <w:noProof/>
          <w:color w:val="222222"/>
          <w:szCs w:val="24"/>
          <w:shd w:val="clear" w:color="auto" w:fill="FFFFFF"/>
        </w:rPr>
        <w:t>[66]</w:t>
      </w:r>
      <w:r w:rsidRPr="00FD547D">
        <w:rPr>
          <w:color w:val="222222"/>
          <w:szCs w:val="24"/>
          <w:shd w:val="clear" w:color="auto" w:fill="FFFFFF"/>
        </w:rPr>
        <w:fldChar w:fldCharType="end"/>
      </w:r>
      <w:r w:rsidRPr="00FD547D">
        <w:rPr>
          <w:color w:val="222222"/>
          <w:szCs w:val="24"/>
          <w:shd w:val="clear" w:color="auto" w:fill="FFFFFF"/>
        </w:rPr>
        <w:t xml:space="preserve"> highlights that research on the technology acceptance model has demonstrated the relationship between perceived usefulness, ease of use, and intention to use, but cannot articulate why this relationship holds. As a practical matter, we often want to determine why (for example) users find a technology to not be useful, or not easy to use. </w:t>
      </w:r>
      <w:r w:rsidRPr="00FD547D">
        <w:rPr>
          <w:szCs w:val="24"/>
        </w:rPr>
        <w:t xml:space="preserve"> </w:t>
      </w:r>
      <w:bookmarkStart w:id="78" w:name="_Hlk64104391"/>
      <w:r w:rsidRPr="00FD547D">
        <w:rPr>
          <w:szCs w:val="24"/>
        </w:rPr>
        <w:t>As an example,</w:t>
      </w:r>
      <w:r w:rsidRPr="00FD547D">
        <w:t xml:space="preserve"> </w:t>
      </w:r>
      <w:r w:rsidRPr="00FD547D">
        <w:rPr>
          <w:szCs w:val="24"/>
        </w:rPr>
        <w:t xml:space="preserve">researchers have investigated why users find the Web not particularly easy to use, they identified several reasons, such as slow data access, difficulty searching for specific information, information clutter, time delays due to images, the unreliability of sites, and incomplete category searches </w:t>
      </w:r>
      <w:r w:rsidRPr="00FD547D">
        <w:rPr>
          <w:szCs w:val="24"/>
        </w:rPr>
        <w:fldChar w:fldCharType="begin" w:fldLock="1"/>
      </w:r>
      <w:r>
        <w:rPr>
          <w:szCs w:val="24"/>
        </w:rPr>
        <w:instrText>ADDIN CSL_CITATION {"citationItems":[{"id":"ITEM-1","itemData":{"DOI":"10.1016/S0167-9236(00)00076-2","ISSN":"01679236","abstract":"The technology acceptance model (TAM) proposes that ease of use and usefulness predict applications usage. The current research investigated TAM for work-related tasks with the World Wide Web as the application. One hundred and sixty-three subjects responded to an e-mail survey about a Web site they access often in their jobs. The results support TAM. They also demonstrate that (1) ease of understanding and ease of finding predict ease of use, and that (2) information quality predicts usefulness for revisited sites. In effect, the investigation applies TAM to help Web researchers, developers, and managers understand antecedents to users' decisions to revisit sites relevant to their jobs.","author":[{"dropping-particle":"","family":"Lederer","given":"Albert L.","non-dropping-particle":"","parse-names":false,"suffix":""},{"dropping-particle":"","family":"Maupin","given":"Donna J.","non-dropping-particle":"","parse-names":false,"suffix":""},{"dropping-particle":"","family":"Sena","given":"Mark P.","non-dropping-particle":"","parse-names":false,"suffix":""},{"dropping-particle":"","family":"Zhuang","given":"Youlong","non-dropping-particle":"","parse-names":false,"suffix":""}],"container-title":"Decision Support Systems","id":"ITEM-1","issue":"3","issued":{"date-parts":[["2000"]]},"page":"269-282","title":"Technology acceptance model and the World Wide Web","type":"article-journal","volume":"29"},"uris":["http://www.mendeley.com/documents/?uuid=b48e60b2-3d6c-49a0-8c18-b32035aac362"]}],"mendeley":{"formattedCitation":"[67]","plainTextFormattedCitation":"[67]","previouslyFormattedCitation":"[67]"},"properties":{"noteIndex":0},"schema":"https://github.com/citation-style-language/schema/raw/master/csl-citation.json"}</w:instrText>
      </w:r>
      <w:r w:rsidRPr="00FD547D">
        <w:rPr>
          <w:szCs w:val="24"/>
        </w:rPr>
        <w:fldChar w:fldCharType="separate"/>
      </w:r>
      <w:r w:rsidRPr="00E65D3B">
        <w:rPr>
          <w:noProof/>
          <w:szCs w:val="24"/>
        </w:rPr>
        <w:t>[67]</w:t>
      </w:r>
      <w:r w:rsidRPr="00FD547D">
        <w:rPr>
          <w:szCs w:val="24"/>
        </w:rPr>
        <w:fldChar w:fldCharType="end"/>
      </w:r>
      <w:r w:rsidRPr="00FD547D">
        <w:rPr>
          <w:szCs w:val="24"/>
        </w:rPr>
        <w:t>. In this case</w:t>
      </w:r>
      <w:r w:rsidRPr="00FD547D">
        <w:rPr>
          <w:color w:val="222222"/>
          <w:szCs w:val="24"/>
          <w:lang w:eastAsia="en-NZ"/>
        </w:rPr>
        <w:t xml:space="preserve"> a diagnostic theory would be useful where each end node represents a possible reason why the Web is not easy to use. </w:t>
      </w:r>
      <w:bookmarkStart w:id="79" w:name="_Hlk63685041"/>
      <w:r w:rsidRPr="00FD547D">
        <w:rPr>
          <w:szCs w:val="24"/>
        </w:rPr>
        <w:t>Our development of a systematic methodology facilitates the development of diagnostic trees to answer these kinds of questions</w:t>
      </w:r>
      <w:bookmarkEnd w:id="79"/>
      <w:r w:rsidRPr="00FD547D">
        <w:rPr>
          <w:szCs w:val="24"/>
        </w:rPr>
        <w:t>.</w:t>
      </w:r>
      <w:bookmarkStart w:id="80" w:name="_Hlk49847655"/>
      <w:bookmarkStart w:id="81" w:name="_Hlk49954012"/>
      <w:bookmarkEnd w:id="70"/>
      <w:r>
        <w:rPr>
          <w:color w:val="222222"/>
          <w:szCs w:val="24"/>
          <w:lang w:eastAsia="en-NZ"/>
        </w:rPr>
        <w:t xml:space="preserve"> </w:t>
      </w:r>
      <w:bookmarkEnd w:id="78"/>
    </w:p>
    <w:p w14:paraId="16877D51" w14:textId="77777777" w:rsidR="00507A7B" w:rsidRPr="00392CFF" w:rsidRDefault="00507A7B" w:rsidP="00507A7B">
      <w:pPr>
        <w:shd w:val="clear" w:color="auto" w:fill="FFFFFF"/>
        <w:ind w:firstLine="202"/>
        <w:jc w:val="both"/>
        <w:rPr>
          <w:color w:val="222222"/>
          <w:szCs w:val="24"/>
          <w:lang w:eastAsia="en-NZ"/>
        </w:rPr>
      </w:pPr>
      <w:bookmarkStart w:id="82" w:name="_Hlk49847955"/>
      <w:bookmarkStart w:id="83" w:name="_Hlk63071286"/>
      <w:bookmarkEnd w:id="75"/>
      <w:bookmarkEnd w:id="77"/>
      <w:bookmarkEnd w:id="80"/>
      <w:bookmarkEnd w:id="81"/>
      <w:r w:rsidRPr="00392CFF">
        <w:rPr>
          <w:color w:val="222222"/>
          <w:szCs w:val="24"/>
          <w:lang w:eastAsia="en-NZ"/>
        </w:rPr>
        <w:t>Finally, as ongoing research on validating our methodology, we used it to create a diagnostic tree</w:t>
      </w:r>
      <w:r>
        <w:rPr>
          <w:color w:val="222222"/>
          <w:szCs w:val="24"/>
          <w:lang w:eastAsia="en-NZ"/>
        </w:rPr>
        <w:t xml:space="preserve"> survey</w:t>
      </w:r>
      <w:r w:rsidRPr="00392CFF">
        <w:rPr>
          <w:color w:val="222222"/>
          <w:szCs w:val="24"/>
          <w:lang w:eastAsia="en-NZ"/>
        </w:rPr>
        <w:t xml:space="preserve"> of </w:t>
      </w:r>
      <w:r w:rsidRPr="00392CFF">
        <w:rPr>
          <w:color w:val="222222"/>
          <w:szCs w:val="24"/>
          <w:lang w:val="en-AU" w:eastAsia="en-NZ"/>
        </w:rPr>
        <w:t xml:space="preserve">café customer satisfaction and used it in a number of cafes </w:t>
      </w:r>
      <w:r>
        <w:rPr>
          <w:color w:val="222222"/>
          <w:szCs w:val="24"/>
          <w:lang w:val="en-AU" w:eastAsia="en-NZ"/>
        </w:rPr>
        <w:fldChar w:fldCharType="begin" w:fldLock="1"/>
      </w:r>
      <w:r>
        <w:rPr>
          <w:color w:val="222222"/>
          <w:szCs w:val="24"/>
          <w:lang w:val="en-AU" w:eastAsia="en-NZ"/>
        </w:rPr>
        <w:instrText>ADDIN CSL_CITATION {"citationItems":[{"id":"ITEM-1","itemData":{"author":[{"dropping-particle":"","family":"Sabbaghan","given":"Sahar","non-dropping-particle":"","parse-names":false,"suffix":""},{"dropping-particle":"","family":"Gardner","given":"Lesley A","non-dropping-particle":"","parse-names":false,"suffix":""},{"dropping-particle":"","family":"Chua","given":"Cecil","non-dropping-particle":"","parse-names":false,"suffix":""}],"container-title":"Pacific Asia Conference on Information Systems (PACIS)","id":"ITEM-1","issued":{"date-parts":[["2017"]]},"page":"1-15","title":"Computer-Adaptive Surveys ( CAS ) as a Means of Answering Questions of Why","type":"article-journal"},"uris":["http://www.mendeley.com/documents/?uuid=9f491684-6350-456a-9461-fad32992813d"]}],"mendeley":{"formattedCitation":"[68]","plainTextFormattedCitation":"[68]","previouslyFormattedCitation":"[68]"},"properties":{"noteIndex":0},"schema":"https://github.com/citation-style-language/schema/raw/master/csl-citation.json"}</w:instrText>
      </w:r>
      <w:r>
        <w:rPr>
          <w:color w:val="222222"/>
          <w:szCs w:val="24"/>
          <w:lang w:val="en-AU" w:eastAsia="en-NZ"/>
        </w:rPr>
        <w:fldChar w:fldCharType="separate"/>
      </w:r>
      <w:r w:rsidRPr="00E65D3B">
        <w:rPr>
          <w:noProof/>
          <w:color w:val="222222"/>
          <w:szCs w:val="24"/>
          <w:lang w:val="en-AU" w:eastAsia="en-NZ"/>
        </w:rPr>
        <w:t>[68]</w:t>
      </w:r>
      <w:r>
        <w:rPr>
          <w:color w:val="222222"/>
          <w:szCs w:val="24"/>
          <w:lang w:val="en-AU" w:eastAsia="en-NZ"/>
        </w:rPr>
        <w:fldChar w:fldCharType="end"/>
      </w:r>
      <w:r w:rsidRPr="00392CFF">
        <w:rPr>
          <w:color w:val="222222"/>
          <w:szCs w:val="24"/>
          <w:lang w:val="en-AU" w:eastAsia="en-NZ"/>
        </w:rPr>
        <w:t>.  We compared the results against two other techniques, specifically (1) a traditional customer satisfaction survey, and (2) a content analysis of online customer reviews. </w:t>
      </w:r>
      <w:r w:rsidRPr="00392CFF">
        <w:rPr>
          <w:color w:val="222222"/>
          <w:szCs w:val="24"/>
          <w:lang w:eastAsia="en-NZ"/>
        </w:rPr>
        <w:t>Preliminary results indicate that our diagnostic tree has several advantages over the other tools.  It has a higher response rate, requires fewer items for respondents to answer, which reduces fatigue effect, has better item discrimination in that respondents tend to provide more extreme scores, and has a higher agreement among respondents for each item than a traditional survey</w:t>
      </w:r>
      <w:r w:rsidRPr="00392CFF">
        <w:rPr>
          <w:color w:val="222222"/>
          <w:szCs w:val="24"/>
          <w:lang w:val="en-AU" w:eastAsia="en-NZ"/>
        </w:rPr>
        <w:t>.  It also provides a more precise diagnostic than customer reviews, which tend to be short and non-descriptive.  Our development and evaluation of this diagnostic tool is ongoing.</w:t>
      </w:r>
    </w:p>
    <w:p w14:paraId="66DF42E6" w14:textId="77777777" w:rsidR="00507A7B" w:rsidRDefault="00507A7B" w:rsidP="00507A7B">
      <w:pPr>
        <w:spacing w:before="120"/>
        <w:ind w:firstLine="202"/>
        <w:jc w:val="both"/>
        <w:rPr>
          <w:color w:val="222222"/>
          <w:szCs w:val="24"/>
          <w:lang w:eastAsia="en-NZ"/>
        </w:rPr>
      </w:pPr>
      <w:bookmarkStart w:id="84" w:name="_Hlk64281500"/>
      <w:bookmarkEnd w:id="66"/>
      <w:bookmarkEnd w:id="67"/>
      <w:bookmarkEnd w:id="76"/>
      <w:bookmarkEnd w:id="82"/>
      <w:r w:rsidRPr="00392CFF">
        <w:rPr>
          <w:color w:val="222222"/>
          <w:szCs w:val="24"/>
          <w:lang w:eastAsia="en-NZ"/>
        </w:rPr>
        <w:t xml:space="preserve">As with all validation methodologies, our q-sort methodology has limitations. </w:t>
      </w:r>
      <w:r>
        <w:rPr>
          <w:color w:val="222222"/>
          <w:szCs w:val="24"/>
          <w:lang w:eastAsia="en-NZ"/>
        </w:rPr>
        <w:t xml:space="preserve">One, similar to </w:t>
      </w:r>
      <w:r w:rsidRPr="003426A2">
        <w:rPr>
          <w:rFonts w:eastAsia="Calibri"/>
          <w:szCs w:val="24"/>
        </w:rPr>
        <w:t>expert review</w:t>
      </w:r>
      <w:r>
        <w:rPr>
          <w:rFonts w:eastAsia="Calibri"/>
          <w:szCs w:val="24"/>
        </w:rPr>
        <w:t xml:space="preserve">ers, it is fallible and biased.  They </w:t>
      </w:r>
      <w:r w:rsidRPr="003426A2">
        <w:rPr>
          <w:rFonts w:eastAsia="Calibri"/>
          <w:szCs w:val="24"/>
        </w:rPr>
        <w:t xml:space="preserve">often </w:t>
      </w:r>
      <w:r>
        <w:rPr>
          <w:rFonts w:eastAsia="Calibri"/>
          <w:szCs w:val="24"/>
        </w:rPr>
        <w:t xml:space="preserve">focus on specific kinds of </w:t>
      </w:r>
      <w:r w:rsidRPr="003426A2">
        <w:rPr>
          <w:rFonts w:eastAsia="Calibri"/>
          <w:szCs w:val="24"/>
        </w:rPr>
        <w:t xml:space="preserve">problems and may miss important issues </w:t>
      </w:r>
      <w:r w:rsidRPr="003426A2">
        <w:rPr>
          <w:rFonts w:eastAsia="Calibri"/>
          <w:szCs w:val="24"/>
        </w:rPr>
        <w:fldChar w:fldCharType="begin" w:fldLock="1"/>
      </w:r>
      <w:r>
        <w:rPr>
          <w:rFonts w:eastAsia="Calibri"/>
          <w:szCs w:val="24"/>
        </w:rPr>
        <w:instrText>ADDIN CSL_CITATION {"citationItems":[{"id":"ITEM-1","itemData":{"DOI":"10.1109/MCG.2005.102","ISSN":"02721716","author":[{"dropping-particle":"","family":"Tory","given":"Melanie","non-dropping-particle":"","parse-names":false,"suffix":""},{"dropping-particle":"","family":"Möller","given":"Torsten","non-dropping-particle":"","parse-names":false,"suffix":""}],"container-title":"IEEE Computer Graphics and Applications","id":"ITEM-1","issue":"5","issued":{"date-parts":[["2005"]]},"page":"8-11","title":"Evaluating visualizations: Do expert reviews work?","type":"article-journal","volume":"25"},"uris":["http://www.mendeley.com/documents/?uuid=de07d53d-593c-4a44-8158-2b7a0c7aecd5"]}],"mendeley":{"formattedCitation":"[17]","plainTextFormattedCitation":"[17]","previouslyFormattedCitation":"[17]"},"properties":{"noteIndex":0},"schema":"https://github.com/citation-style-language/schema/raw/master/csl-citation.json"}</w:instrText>
      </w:r>
      <w:r w:rsidRPr="003426A2">
        <w:rPr>
          <w:rFonts w:eastAsia="Calibri"/>
          <w:szCs w:val="24"/>
        </w:rPr>
        <w:fldChar w:fldCharType="separate"/>
      </w:r>
      <w:r w:rsidRPr="00B84BCF">
        <w:rPr>
          <w:rFonts w:eastAsia="Calibri"/>
          <w:noProof/>
          <w:szCs w:val="24"/>
        </w:rPr>
        <w:t>[17]</w:t>
      </w:r>
      <w:r w:rsidRPr="003426A2">
        <w:rPr>
          <w:rFonts w:eastAsia="Calibri"/>
          <w:szCs w:val="24"/>
        </w:rPr>
        <w:fldChar w:fldCharType="end"/>
      </w:r>
      <w:r w:rsidRPr="003426A2">
        <w:rPr>
          <w:rFonts w:eastAsia="Calibri"/>
          <w:szCs w:val="24"/>
        </w:rPr>
        <w:t>. Two, results of an expert review depend on experts’ qualifications</w:t>
      </w:r>
      <w:r>
        <w:rPr>
          <w:rFonts w:eastAsia="Calibri"/>
          <w:szCs w:val="24"/>
        </w:rPr>
        <w:t xml:space="preserve"> </w:t>
      </w:r>
      <w:r w:rsidRPr="003426A2">
        <w:rPr>
          <w:rFonts w:eastAsia="Calibri"/>
          <w:szCs w:val="24"/>
        </w:rPr>
        <w:fldChar w:fldCharType="begin" w:fldLock="1"/>
      </w:r>
      <w:r>
        <w:rPr>
          <w:rFonts w:eastAsia="Calibri"/>
          <w:szCs w:val="24"/>
        </w:rPr>
        <w:instrText>ADDIN CSL_CITATION {"citationItems":[{"id":"ITEM-1","itemData":{"author":[{"dropping-particle":"","family":"Yoon","given":"Youngohc","non-dropping-particle":"","parse-names":false,"suffix":""},{"dropping-particle":"","family":"Guimaraes","given":"Tor","non-dropping-particle":"","parse-names":false,"suffix":""},{"dropping-particle":"","family":"O'Neal","given":"Quinton","non-dropping-particle":"","parse-names":false,"suffix":""}],"container-title":"MIS Quarterly","id":"ITEM-1","issue":"1","issued":{"date-parts":[["1995"]]},"page":"83-106","title":"Exploring the Factors Associated with Expert Systems Success","type":"article-journal","volume":"19"},"uris":["http://www.mendeley.com/documents/?uuid=0af75338-0a4b-402b-bdf0-ed9306f7c532"]},{"id":"ITEM-2","itemData":{"DOI":"10.1109/MEX.1987.5006538","ISSN":"08859000","abstract":"The authors seek to establish validation as an important concern in expert systems research and development. Problems in expert system validation are discussed, and both qualitative and quantitative methods for validating expert systems are presented.","author":[{"dropping-particle":"","family":"O'Keefe","given":"Robert M.","non-dropping-particle":"","parse-names":false,"suffix":""},{"dropping-particle":"","family":"Balci","given":"Osman","non-dropping-particle":"","parse-names":false,"suffix":""},{"dropping-particle":"","family":"Smith","given":"Eric P.","non-dropping-particle":"","parse-names":false,"suffix":""}],"container-title":"IEEE Expert","id":"ITEM-2","issue":"4","issued":{"date-parts":[["1988"]]},"page":"81-90","title":"Validating Expert System Performance.","type":"article","volume":"2"},"uris":["http://www.mendeley.com/documents/?uuid=6397aafc-13a0-4236-b564-7a18bb18a00a"]}],"mendeley":{"formattedCitation":"[7], [69]","plainTextFormattedCitation":"[7], [69]","previouslyFormattedCitation":"[7], [69]"},"properties":{"noteIndex":0},"schema":"https://github.com/citation-style-language/schema/raw/master/csl-citation.json"}</w:instrText>
      </w:r>
      <w:r w:rsidRPr="003426A2">
        <w:rPr>
          <w:rFonts w:eastAsia="Calibri"/>
          <w:szCs w:val="24"/>
        </w:rPr>
        <w:fldChar w:fldCharType="separate"/>
      </w:r>
      <w:r w:rsidRPr="00E65D3B">
        <w:rPr>
          <w:rFonts w:eastAsia="Calibri"/>
          <w:noProof/>
          <w:szCs w:val="24"/>
        </w:rPr>
        <w:t>[7], [69]</w:t>
      </w:r>
      <w:r w:rsidRPr="003426A2">
        <w:rPr>
          <w:rFonts w:eastAsia="Calibri"/>
          <w:szCs w:val="24"/>
        </w:rPr>
        <w:fldChar w:fldCharType="end"/>
      </w:r>
      <w:r w:rsidRPr="003426A2">
        <w:rPr>
          <w:rFonts w:eastAsia="Calibri"/>
          <w:szCs w:val="24"/>
        </w:rPr>
        <w:t xml:space="preserve">.  </w:t>
      </w:r>
      <w:r>
        <w:rPr>
          <w:rFonts w:eastAsia="Calibri"/>
          <w:szCs w:val="24"/>
        </w:rPr>
        <w:t xml:space="preserve">Many diagnostic </w:t>
      </w:r>
      <w:r w:rsidRPr="003426A2">
        <w:rPr>
          <w:rFonts w:eastAsia="Calibri"/>
          <w:szCs w:val="24"/>
        </w:rPr>
        <w:t xml:space="preserve">trees are </w:t>
      </w:r>
      <w:r>
        <w:rPr>
          <w:rFonts w:eastAsia="Calibri"/>
          <w:szCs w:val="24"/>
        </w:rPr>
        <w:t xml:space="preserve">complex, </w:t>
      </w:r>
      <w:r w:rsidRPr="003426A2">
        <w:rPr>
          <w:rFonts w:eastAsia="Calibri"/>
          <w:szCs w:val="24"/>
        </w:rPr>
        <w:fldChar w:fldCharType="begin" w:fldLock="1"/>
      </w:r>
      <w:r>
        <w:rPr>
          <w:rFonts w:eastAsia="Calibri"/>
          <w:szCs w:val="24"/>
        </w:rPr>
        <w:instrText>ADDIN CSL_CITATION {"citationItems":[{"id":"ITEM-1","itemData":{"DOI":"10.1145/2492248.2492263","ISSN":"01635948","abstract":"Root Cause Analysis (RCA) is the process of identifying project issues, correcting them and taking preventive actions to avoid occurrences of such issues in the future. Issues could be variance in schedule, effort, cost, productivity, expected results of software, performance parameters and customer satisfaction. RCA also involves collecting valid data, analyzing it, deriving metrics and finding root causes using RCA methods. In this paper we will do Root cause analysis of some severe software failures that happened in the past and of some failures in ongoing projects in the software Industry. We will also describe various RCA methods and processes used in the software Industry to reduce the chances of software failure.","author":[{"dropping-particle":"","family":"Dalal","given":"Sandeep","non-dropping-particle":"","parse-names":false,"suffix":""},{"dropping-particle":"","family":"Chhillar","given":"Rajender Singh","non-dropping-particle":"","parse-names":false,"suffix":""}],"container-title":"ACM SIGSOFT Software Engineering Notes","id":"ITEM-1","issue":"4","issued":{"date-parts":[["2013"]]},"page":"1","title":"Empirical study of root cause analysis of software failure","type":"article-journal","volume":"38"},"uris":["http://www.mendeley.com/documents/?uuid=8117ac4a-9618-4a55-bd8e-9dc315980ae7"]}],"mendeley":{"formattedCitation":"[70]","plainTextFormattedCitation":"[70]","previouslyFormattedCitation":"[70]"},"properties":{"noteIndex":0},"schema":"https://github.com/citation-style-language/schema/raw/master/csl-citation.json"}</w:instrText>
      </w:r>
      <w:r w:rsidRPr="003426A2">
        <w:rPr>
          <w:rFonts w:eastAsia="Calibri"/>
          <w:szCs w:val="24"/>
        </w:rPr>
        <w:fldChar w:fldCharType="separate"/>
      </w:r>
      <w:r w:rsidRPr="00E65D3B">
        <w:rPr>
          <w:rFonts w:eastAsia="Calibri"/>
          <w:noProof/>
          <w:szCs w:val="24"/>
        </w:rPr>
        <w:t>[70]</w:t>
      </w:r>
      <w:r w:rsidRPr="003426A2">
        <w:rPr>
          <w:rFonts w:eastAsia="Calibri"/>
          <w:szCs w:val="24"/>
        </w:rPr>
        <w:fldChar w:fldCharType="end"/>
      </w:r>
      <w:r w:rsidRPr="003426A2">
        <w:rPr>
          <w:rFonts w:eastAsia="Calibri"/>
          <w:szCs w:val="24"/>
        </w:rPr>
        <w:t xml:space="preserve"> </w:t>
      </w:r>
      <w:r w:rsidRPr="000A668B">
        <w:rPr>
          <w:szCs w:val="24"/>
        </w:rPr>
        <w:t xml:space="preserve">requiring </w:t>
      </w:r>
      <w:r w:rsidRPr="000A668B">
        <w:rPr>
          <w:rFonts w:eastAsia="Calibri"/>
          <w:szCs w:val="24"/>
        </w:rPr>
        <w:t xml:space="preserve">knowledge from multiple domains </w:t>
      </w:r>
      <w:r w:rsidRPr="000A668B">
        <w:rPr>
          <w:rFonts w:eastAsia="Calibri"/>
          <w:szCs w:val="24"/>
        </w:rPr>
        <w:fldChar w:fldCharType="begin" w:fldLock="1"/>
      </w:r>
      <w:r>
        <w:rPr>
          <w:rFonts w:eastAsia="Calibri"/>
          <w:szCs w:val="24"/>
        </w:rPr>
        <w:instrText>ADDIN CSL_CITATION {"citationItems":[{"id":"ITEM-1","itemData":{"DOI":"10.1007/s00170-002-1389-9","ISSN":"02683768","abstract":"An efficient expert system for machine fault diagnosis is developed. A new search method is proposed in this system to improve the efficiency of the diagnostic process. First of all, a diagnostic tree (a decision tree) is built by domain experts according to the functions of the devices in the machine. Then, the diagnostic priorities of nodes (devices) in the tree are determined based on a fuzzy group multiple attribute decision making method. A meta knowledge base for fault diagnosis is generated automatically based on the determined priorities to guide the diagnostic process. After that, a domain knowledge base that hypothesises possible faults for each device in the tree is generated by domain experts and/or manuals. At last, the inference process starts based on the meta knowledge base and hypothesises which device is the possible cause of failure. To validate the system performance, an illustrative example (VCR troubleshooting) is presented for demonstration purposes.","author":[{"dropping-particle":"","family":"Liu","given":"S. C.","non-dropping-particle":"","parse-names":false,"suffix":""},{"dropping-particle":"","family":"Liu","given":"S. Y.","non-dropping-particle":"","parse-names":false,"suffix":""}],"container-title":"International Journal of Advanced Manufacturing Technology","id":"ITEM-1","issue":"9","issued":{"date-parts":[["2003"]]},"page":"691-698","title":"An efficient expert system for machine fault diagnosis","type":"article-journal","volume":"21"},"uris":["http://www.mendeley.com/documents/?uuid=958afc9a-560e-4b4d-a66a-2e8dad0ab006"]}],"mendeley":{"formattedCitation":"[3]","plainTextFormattedCitation":"[3]","previouslyFormattedCitation":"[3]"},"properties":{"noteIndex":0},"schema":"https://github.com/citation-style-language/schema/raw/master/csl-citation.json"}</w:instrText>
      </w:r>
      <w:r w:rsidRPr="000A668B">
        <w:rPr>
          <w:rFonts w:eastAsia="Calibri"/>
          <w:szCs w:val="24"/>
        </w:rPr>
        <w:fldChar w:fldCharType="separate"/>
      </w:r>
      <w:r w:rsidRPr="00F87EC4">
        <w:rPr>
          <w:rFonts w:eastAsia="Calibri"/>
          <w:noProof/>
          <w:szCs w:val="24"/>
        </w:rPr>
        <w:t>[3]</w:t>
      </w:r>
      <w:r w:rsidRPr="000A668B">
        <w:rPr>
          <w:rFonts w:eastAsia="Calibri"/>
          <w:szCs w:val="24"/>
        </w:rPr>
        <w:fldChar w:fldCharType="end"/>
      </w:r>
      <w:r w:rsidRPr="000A668B">
        <w:rPr>
          <w:rFonts w:eastAsia="Calibri"/>
          <w:szCs w:val="24"/>
        </w:rPr>
        <w:t xml:space="preserve">.  Thus, there may not be experts able to review an entire diagnostic tree.  Finally, most diagnostic trees are complex, and experts often experience fatigue during review, which can compromise review quality </w:t>
      </w:r>
      <w:r w:rsidRPr="000A668B">
        <w:rPr>
          <w:rFonts w:eastAsia="Calibri" w:cs="Arial"/>
          <w:szCs w:val="24"/>
        </w:rPr>
        <w:fldChar w:fldCharType="begin" w:fldLock="1"/>
      </w:r>
      <w:r>
        <w:rPr>
          <w:rFonts w:eastAsia="Calibri" w:cs="Arial"/>
          <w:szCs w:val="24"/>
        </w:rPr>
        <w:instrText>ADDIN CSL_CITATION {"citationItems":[{"id":"ITEM-1","itemData":{"DOI":"10.1109/MEX.1987.5006538","ISSN":"08859000","abstract":"The authors seek to establish validation as an important concern in expert systems research and development. Problems in expert system validation are discussed, and both qualitative and quantitative methods for validating expert systems are presented.","author":[{"dropping-particle":"","family":"O'Keefe","given":"Robert M.","non-dropping-particle":"","parse-names":false,"suffix":""},{"dropping-particle":"","family":"Balci","given":"Osman","non-dropping-particle":"","parse-names":false,"suffix":""},{"dropping-particle":"","family":"Smith","given":"Eric P.","non-dropping-particle":"","parse-names":false,"suffix":""}],"container-title":"IEEE Expert","id":"ITEM-1","issue":"4","issued":{"date-parts":[["1988"]]},"page":"81-90","title":"Validating Expert System Performance.","type":"article","volume":"2"},"uris":["http://www.mendeley.com/documents/?uuid=6397aafc-13a0-4236-b564-7a18bb18a00a"]}],"mendeley":{"formattedCitation":"[7]","plainTextFormattedCitation":"[7]","previouslyFormattedCitation":"[7]"},"properties":{"noteIndex":0},"schema":"https://github.com/citation-style-language/schema/raw/master/csl-citation.json"}</w:instrText>
      </w:r>
      <w:r w:rsidRPr="000A668B">
        <w:rPr>
          <w:rFonts w:eastAsia="Calibri" w:cs="Arial"/>
          <w:szCs w:val="24"/>
        </w:rPr>
        <w:fldChar w:fldCharType="separate"/>
      </w:r>
      <w:r w:rsidRPr="00B84BCF">
        <w:rPr>
          <w:rFonts w:eastAsia="Calibri" w:cs="Arial"/>
          <w:noProof/>
          <w:szCs w:val="24"/>
        </w:rPr>
        <w:t>[7]</w:t>
      </w:r>
      <w:r w:rsidRPr="000A668B">
        <w:rPr>
          <w:rFonts w:eastAsia="Calibri" w:cs="Arial"/>
          <w:szCs w:val="24"/>
        </w:rPr>
        <w:fldChar w:fldCharType="end"/>
      </w:r>
      <w:r w:rsidRPr="000A668B">
        <w:rPr>
          <w:rFonts w:eastAsia="Calibri" w:cs="Arial"/>
          <w:szCs w:val="24"/>
        </w:rPr>
        <w:t>.</w:t>
      </w:r>
      <w:r w:rsidRPr="00392CFF">
        <w:rPr>
          <w:color w:val="222222"/>
          <w:szCs w:val="24"/>
          <w:lang w:eastAsia="en-NZ"/>
        </w:rPr>
        <w:t xml:space="preserve"> </w:t>
      </w:r>
      <w:r>
        <w:rPr>
          <w:color w:val="222222"/>
          <w:szCs w:val="24"/>
          <w:lang w:eastAsia="en-NZ"/>
        </w:rPr>
        <w:t>W</w:t>
      </w:r>
      <w:r w:rsidRPr="00392CFF">
        <w:rPr>
          <w:color w:val="222222"/>
          <w:szCs w:val="24"/>
          <w:lang w:eastAsia="en-NZ"/>
        </w:rPr>
        <w:t xml:space="preserve">e provide procedures that control the cognitive exhaustion of experts. However, our methodology remains exhausting. </w:t>
      </w:r>
    </w:p>
    <w:p w14:paraId="1E164D6B" w14:textId="77777777" w:rsidR="00507A7B" w:rsidRPr="009B3B3A" w:rsidRDefault="00507A7B" w:rsidP="00507A7B">
      <w:pPr>
        <w:spacing w:before="120"/>
        <w:ind w:firstLine="202"/>
        <w:jc w:val="both"/>
        <w:rPr>
          <w:rFonts w:eastAsia="Calibri" w:cs="Arial"/>
          <w:szCs w:val="24"/>
        </w:rPr>
      </w:pPr>
      <w:r w:rsidRPr="00FD547D">
        <w:rPr>
          <w:color w:val="222222"/>
          <w:szCs w:val="24"/>
          <w:lang w:eastAsia="en-NZ"/>
        </w:rPr>
        <w:t xml:space="preserve">Second, our methodology is best suited for diagnostic theories where one is interested in unpacking the reasons of why. Therefore, it is not suitable for establishing relationships among variables, such as in process or variance theories. As an example, in one study, Activity Theory was used to identify contradictions and congruencies between flow techniques and software development practices, and the dialectical interaction between contradictions and congruencies which can lead to a stage of change </w:t>
      </w:r>
      <w:r w:rsidRPr="00FD547D">
        <w:rPr>
          <w:color w:val="222222"/>
          <w:szCs w:val="24"/>
          <w:lang w:eastAsia="en-NZ"/>
        </w:rPr>
        <w:fldChar w:fldCharType="begin" w:fldLock="1"/>
      </w:r>
      <w:r>
        <w:rPr>
          <w:color w:val="222222"/>
          <w:szCs w:val="24"/>
          <w:lang w:eastAsia="en-NZ"/>
        </w:rPr>
        <w:instrText>ADDIN CSL_CITATION {"citationItems":[{"id":"ITEM-1","itemData":{"DOI":"10.1016/j.jss.2016.10.003","ISBN":"0164-1212","ISSN":"01641212","abstract":"Managing flow is fundamental to continuous development, particularly in knowledge intensive work activities such as software development. However, while numerous articles describe flow tools and practice there is little research on their application in context. This is a significant limitation given that software development is a highly complex and socially embedded activity. This research applies activity theory (AT) to examine the adoption of flow techniques by using the multiple-case method in two companies. AT is particularly pertinent in this study as it identifies contradictions, which manifest themselves as problems such as errors or a breakdown of communication in the organisation and congruencies between flow techniques and the development context and indeed contradictions between components of flow techniques themselves. Rather than view contradictions as a threat to flow or as an argument to abandon, a theoretical contribution of this study is that it shows how contradictions and congruencies can be used to reflect, learn, and identify new ways of structuring and enacting the flow activity. It also provides an immediate practical contribution by identifying a set of lessons drawn from the cases studied that may be applicable in future implementations of flow techniques.","author":[{"dropping-particle":"","family":"Dennehy","given":"Denis","non-dropping-particle":"","parse-names":false,"suffix":""},{"dropping-particle":"","family":"Conboy","given":"Kieran","non-dropping-particle":"","parse-names":false,"suffix":""}],"container-title":"Journal of Systems and Software","id":"ITEM-1","issued":{"date-parts":[["2017"]]},"page":"160-173","publisher":"Elsevier Inc.","title":"Going with the flow: An activity theory analysis of flow techniques in software development","type":"article-journal","volume":"133"},"uris":["http://www.mendeley.com/documents/?uuid=89a187dd-38e9-4be7-8877-1801671339ef"]}],"mendeley":{"formattedCitation":"[71]","plainTextFormattedCitation":"[71]","previouslyFormattedCitation":"[71]"},"properties":{"noteIndex":0},"schema":"https://github.com/citation-style-language/schema/raw/master/csl-citation.json"}</w:instrText>
      </w:r>
      <w:r w:rsidRPr="00FD547D">
        <w:rPr>
          <w:color w:val="222222"/>
          <w:szCs w:val="24"/>
          <w:lang w:eastAsia="en-NZ"/>
        </w:rPr>
        <w:fldChar w:fldCharType="separate"/>
      </w:r>
      <w:r w:rsidRPr="00152901">
        <w:rPr>
          <w:noProof/>
          <w:color w:val="222222"/>
          <w:szCs w:val="24"/>
          <w:lang w:eastAsia="en-NZ"/>
        </w:rPr>
        <w:t>[71]</w:t>
      </w:r>
      <w:r w:rsidRPr="00FD547D">
        <w:rPr>
          <w:color w:val="222222"/>
          <w:szCs w:val="24"/>
          <w:lang w:eastAsia="en-NZ"/>
        </w:rPr>
        <w:fldChar w:fldCharType="end"/>
      </w:r>
      <w:r w:rsidRPr="00FD547D">
        <w:rPr>
          <w:color w:val="222222"/>
          <w:szCs w:val="24"/>
          <w:lang w:eastAsia="en-NZ"/>
        </w:rPr>
        <w:t xml:space="preserve">.  Similarly, in many cases, we may be interested in identifying which variable has the biggest impact on another variable. For instance, the aim of one study was to identify factors that increased the use of technology in the workplace </w:t>
      </w:r>
      <w:r w:rsidRPr="00FD547D">
        <w:rPr>
          <w:color w:val="222222"/>
          <w:szCs w:val="24"/>
          <w:lang w:eastAsia="en-NZ"/>
        </w:rPr>
        <w:fldChar w:fldCharType="begin" w:fldLock="1"/>
      </w:r>
      <w:r>
        <w:rPr>
          <w:color w:val="222222"/>
          <w:szCs w:val="24"/>
          <w:lang w:eastAsia="en-NZ"/>
        </w:rPr>
        <w:instrText>ADDIN CSL_CITATION {"citationItems":[{"id":"ITEM-1","itemData":{"DOI":"10.1111/j.1540-5915.2008.00192.x","ISBN":"0011-7315","ISSN":"0011-7315","PMID":"31961073","abstract":"Prior research has provided valuable insights into how and why employees make a decision about the adoption and use of information technologies (ITs) in the workplace. From an organizational point of view, however, the more important issue is how managers make informed decisions about interventions that can lead to greater acceptance and effective utilization of IT. There is limited research in the IT implementation literature that deals with the role of interventions to aid such managerial decision making. Particularly, there is a need to understand how various interventions can influence the known determinants of IT adoption and use. To address this gap in the literature, we draw from the vast body of research on the technology acceptance model (TAM), particularly the work on the determinants of perceived usefulness and perceived ease of use, and: (i) develop a comprehensive nomological network (integrated model) of the determinants of individual level (IT) adoption and use; (ii) empirically test the proposed integrated model; and (iii) present a research agenda focused on potential pre‐ and postimplementation interventions that can enhance employees' adoption and use of IT. Our findings and research agenda have important implications for managerial decision making on IT implementation in organizations.\\n","author":[{"dropping-particle":"","family":"Viswanath","given":"Venkatesh","non-dropping-particle":"","parse-names":false,"suffix":""},{"dropping-particle":"","family":"Hillol","given":"Bala","non-dropping-particle":"","parse-names":false,"suffix":""}],"container-title":"Decision Sciences","id":"ITEM-1","issue":"2","issued":{"date-parts":[["2008"]]},"page":"273-315","title":"Technology Acceptance Model 3 and a Research Agenda on Interventions","type":"article-journal","volume":"39"},"uris":["http://www.mendeley.com/documents/?uuid=4c9991f9-ccc9-4402-8231-64c81296e9a3"]}],"mendeley":{"formattedCitation":"[72]","plainTextFormattedCitation":"[72]","previouslyFormattedCitation":"[72]"},"properties":{"noteIndex":0},"schema":"https://github.com/citation-style-language/schema/raw/master/csl-citation.json"}</w:instrText>
      </w:r>
      <w:r w:rsidRPr="00FD547D">
        <w:rPr>
          <w:color w:val="222222"/>
          <w:szCs w:val="24"/>
          <w:lang w:eastAsia="en-NZ"/>
        </w:rPr>
        <w:fldChar w:fldCharType="separate"/>
      </w:r>
      <w:r w:rsidRPr="00152901">
        <w:rPr>
          <w:noProof/>
          <w:color w:val="222222"/>
          <w:szCs w:val="24"/>
          <w:lang w:eastAsia="en-NZ"/>
        </w:rPr>
        <w:t>[72]</w:t>
      </w:r>
      <w:r w:rsidRPr="00FD547D">
        <w:rPr>
          <w:color w:val="222222"/>
          <w:szCs w:val="24"/>
          <w:lang w:eastAsia="en-NZ"/>
        </w:rPr>
        <w:fldChar w:fldCharType="end"/>
      </w:r>
      <w:r w:rsidRPr="00FD547D">
        <w:rPr>
          <w:color w:val="222222"/>
          <w:szCs w:val="24"/>
          <w:lang w:eastAsia="en-NZ"/>
        </w:rPr>
        <w:t xml:space="preserve"> or another who identified factors that influenced knowledge sharing </w:t>
      </w:r>
      <w:proofErr w:type="spellStart"/>
      <w:r w:rsidRPr="00FD547D">
        <w:rPr>
          <w:color w:val="222222"/>
          <w:szCs w:val="24"/>
          <w:lang w:eastAsia="en-NZ"/>
        </w:rPr>
        <w:t>behaviour</w:t>
      </w:r>
      <w:proofErr w:type="spellEnd"/>
      <w:r w:rsidRPr="00FD547D">
        <w:rPr>
          <w:color w:val="222222"/>
          <w:szCs w:val="24"/>
          <w:lang w:eastAsia="en-NZ"/>
        </w:rPr>
        <w:t xml:space="preserve"> via weblogs </w:t>
      </w:r>
      <w:r w:rsidRPr="00FD547D">
        <w:rPr>
          <w:color w:val="222222"/>
          <w:szCs w:val="24"/>
          <w:lang w:eastAsia="en-NZ"/>
        </w:rPr>
        <w:fldChar w:fldCharType="begin" w:fldLock="1"/>
      </w:r>
      <w:r>
        <w:rPr>
          <w:color w:val="222222"/>
          <w:szCs w:val="24"/>
          <w:lang w:eastAsia="en-NZ"/>
        </w:rPr>
        <w:instrText>ADDIN CSL_CITATION {"citationItems":[{"id":"ITEM-1","itemData":{"DOI":"10.1016/j.chb.2009.08.002","ISSN":"07475632","author":[{"dropping-particle":"","family":"Yu","given":"Tai-Kuei","non-dropping-particle":"","parse-names":false,"suffix":""},{"dropping-particle":"","family":"Lu","given":"Long-Chuan","non-dropping-particle":"","parse-names":false,"suffix":""},{"dropping-particle":"","family":"Liu","given":"Tsai-Feng","non-dropping-particle":"","parse-names":false,"suffix":""}],"container-title":"Computers in Human Behavior","id":"ITEM-1","issue":"1","issued":{"date-parts":[["2010","1"]]},"page":"32-41","publisher":"Elsevier Ltd","title":"Exploring factors that influence knowledge sharing behavior via weblogs","type":"article-journal","volume":"26"},"uris":["http://www.mendeley.com/documents/?uuid=c8cea437-d14d-42c5-a43e-40b4d59a9c99"]}],"mendeley":{"formattedCitation":"[73]","plainTextFormattedCitation":"[73]","previouslyFormattedCitation":"[73]"},"properties":{"noteIndex":0},"schema":"https://github.com/citation-style-language/schema/raw/master/csl-citation.json"}</w:instrText>
      </w:r>
      <w:r w:rsidRPr="00FD547D">
        <w:rPr>
          <w:color w:val="222222"/>
          <w:szCs w:val="24"/>
          <w:lang w:eastAsia="en-NZ"/>
        </w:rPr>
        <w:fldChar w:fldCharType="separate"/>
      </w:r>
      <w:r w:rsidRPr="00152901">
        <w:rPr>
          <w:noProof/>
          <w:color w:val="222222"/>
          <w:szCs w:val="24"/>
          <w:lang w:eastAsia="en-NZ"/>
        </w:rPr>
        <w:t>[73]</w:t>
      </w:r>
      <w:r w:rsidRPr="00FD547D">
        <w:rPr>
          <w:color w:val="222222"/>
          <w:szCs w:val="24"/>
          <w:lang w:eastAsia="en-NZ"/>
        </w:rPr>
        <w:fldChar w:fldCharType="end"/>
      </w:r>
      <w:r w:rsidRPr="00FD547D">
        <w:rPr>
          <w:color w:val="222222"/>
          <w:szCs w:val="24"/>
          <w:lang w:eastAsia="en-NZ"/>
        </w:rPr>
        <w:t>. In such case, our methodology has limited applicability.</w:t>
      </w:r>
    </w:p>
    <w:p w14:paraId="0D4EBC14" w14:textId="5CC43B13" w:rsidR="00E97B99" w:rsidRPr="00970D55" w:rsidRDefault="00507A7B" w:rsidP="00970D55">
      <w:pPr>
        <w:shd w:val="clear" w:color="auto" w:fill="FFFFFF"/>
        <w:ind w:firstLine="202"/>
        <w:jc w:val="both"/>
        <w:rPr>
          <w:color w:val="222222"/>
          <w:szCs w:val="24"/>
          <w:lang w:eastAsia="en-NZ"/>
        </w:rPr>
      </w:pPr>
      <w:r w:rsidRPr="00A82226">
        <w:rPr>
          <w:color w:val="222222"/>
          <w:szCs w:val="24"/>
          <w:lang w:eastAsia="en-NZ"/>
        </w:rPr>
        <w:t>Finally, our methodology does not evaluate nomological properties of the diagnostic tree. Nomological validity</w:t>
      </w:r>
      <w:r w:rsidRPr="00A82226">
        <w:rPr>
          <w:color w:val="222222"/>
          <w:szCs w:val="24"/>
          <w:lang w:val="en-GB" w:eastAsia="en-NZ"/>
        </w:rPr>
        <w:t> refers to the </w:t>
      </w:r>
      <w:r w:rsidRPr="00A82226">
        <w:rPr>
          <w:color w:val="222222"/>
          <w:szCs w:val="24"/>
          <w:lang w:eastAsia="en-NZ"/>
        </w:rPr>
        <w:t xml:space="preserve">degree to which the constructs fit within the logical network of theory </w:t>
      </w:r>
      <w:r w:rsidRPr="00A82226">
        <w:rPr>
          <w:color w:val="222222"/>
          <w:szCs w:val="24"/>
          <w:lang w:eastAsia="en-NZ"/>
        </w:rPr>
        <w:fldChar w:fldCharType="begin" w:fldLock="1"/>
      </w:r>
      <w:r>
        <w:rPr>
          <w:color w:val="222222"/>
          <w:szCs w:val="24"/>
          <w:lang w:eastAsia="en-NZ"/>
        </w:rPr>
        <w:instrText>ADDIN CSL_CITATION {"citationItems":[{"id":"ITEM-1","itemData":{"author":[{"dropping-particle":"","family":"Calder","given":"Bobby J","non-dropping-particle":"","parse-names":false,"suffix":""},{"dropping-particle":"","family":"Phillips","given":"Lynn W","non-dropping-particle":"","parse-names":false,"suffix":""},{"dropping-particle":"","family":"Tybout","given":"Alice M","non-dropping-particle":"","parse-names":false,"suffix":""}],"container-title":"Journal of Consumer Research","id":"ITEM-1","issue":"1","issued":{"date-parts":[["1983"]]},"page":"112-114","title":"Beyond External Validity Beyond External Validity","type":"article-journal","volume":"10"},"uris":["http://www.mendeley.com/documents/?uuid=457378c6-7d4a-401b-b851-44414603a8db"]},{"id":"ITEM-2","itemData":{"ISBN":"02767783","ISSN":"02767783","PMID":"60461934","author":[{"dropping-particle":"","family":"Mackenzie","given":"Scott B","non-dropping-particle":"","parse-names":false,"suffix":""},{"dropping-particle":"","family":"Podsakoff","given":"Philip M","non-dropping-particle":"","parse-names":false,"suffix":""},{"dropping-particle":"","family":"Podsakoff","given":"Nathan P","non-dropping-particle":"","parse-names":false,"suffix":""}],"container-title":"MIS Quarterly","id":"ITEM-2","issue":"2","issued":{"date-parts":[["2011"]]},"page":"293-334","title":"Construct measurement and validation procedures in Mis and Behavioral Research : Integrating new and existing techniques","type":"article-journal","volume":"35"},"uris":["http://www.mendeley.com/documents/?uuid=14c9f515-01cb-4d88-bd25-fe8835354dff"]}],"mendeley":{"formattedCitation":"[74], [75]","plainTextFormattedCitation":"[74], [75]","previouslyFormattedCitation":"[74], [75]"},"properties":{"noteIndex":0},"schema":"https://github.com/citation-style-language/schema/raw/master/csl-citation.json"}</w:instrText>
      </w:r>
      <w:r w:rsidRPr="00A82226">
        <w:rPr>
          <w:color w:val="222222"/>
          <w:szCs w:val="24"/>
          <w:lang w:eastAsia="en-NZ"/>
        </w:rPr>
        <w:fldChar w:fldCharType="separate"/>
      </w:r>
      <w:r w:rsidRPr="00152901">
        <w:rPr>
          <w:noProof/>
          <w:color w:val="222222"/>
          <w:szCs w:val="24"/>
          <w:lang w:eastAsia="en-NZ"/>
        </w:rPr>
        <w:t>[74], [75]</w:t>
      </w:r>
      <w:r w:rsidRPr="00A82226">
        <w:rPr>
          <w:color w:val="222222"/>
          <w:szCs w:val="24"/>
          <w:lang w:eastAsia="en-NZ"/>
        </w:rPr>
        <w:fldChar w:fldCharType="end"/>
      </w:r>
      <w:r w:rsidRPr="00A82226">
        <w:rPr>
          <w:color w:val="222222"/>
          <w:szCs w:val="24"/>
          <w:lang w:eastAsia="en-NZ"/>
        </w:rPr>
        <w:t xml:space="preserve">. In other words, it is a measure of the theoretical correspondence between theory and the measures used in the diagnostic tree. However, most methodologies do not have statistical tests of nomological validity </w:t>
      </w:r>
      <w:r w:rsidRPr="00A82226">
        <w:rPr>
          <w:color w:val="222222"/>
          <w:szCs w:val="24"/>
          <w:lang w:eastAsia="en-NZ"/>
        </w:rPr>
        <w:fldChar w:fldCharType="begin" w:fldLock="1"/>
      </w:r>
      <w:r>
        <w:rPr>
          <w:color w:val="222222"/>
          <w:szCs w:val="24"/>
          <w:lang w:eastAsia="en-NZ"/>
        </w:rPr>
        <w:instrText>ADDIN CSL_CITATION {"citationItems":[{"id":"ITEM-1","itemData":{"ISBN":"02767783","ISSN":"02767783","PMID":"60461934","author":[{"dropping-particle":"","family":"Mackenzie","given":"Scott B","non-dropping-particle":"","parse-names":false,"suffix":""},{"dropping-particle":"","family":"Podsakoff","given":"Philip M","non-dropping-particle":"","parse-names":false,"suffix":""},{"dropping-particle":"","family":"Podsakoff","given":"Nathan P","non-dropping-particle":"","parse-names":false,"suffix":""}],"container-title":"MIS Quarterly","id":"ITEM-1","issue":"2","issued":{"date-parts":[["2011"]]},"page":"293-334","title":"Construct measurement and validation procedures in Mis and Behavioral Research : Integrating new and existing techniques","type":"article-journal","volume":"35"},"uris":["http://www.mendeley.com/documents/?uuid=14c9f515-01cb-4d88-bd25-fe8835354dff"]},{"id":"ITEM-2","itemData":{"DOI":"10.1016/j.jbusres.2008.01.009","ISBN":"01482963","ISSN":"01482963","abstract":"Formative measurement models were first introduced in the literature more than forty years ago and the discussion about their methodological contribution has been increasing since the 1990s. However, the use of formative indicators for construct measurement in empirical studies is still scarce. This paper seeks to encourage the thoughtful application of formative models by (a) highlighting the potential consequences of measurement model misspecification, and (b) providing a state-of-the art review of key issues in the formative measurement literature. For the former purpose, this paper summarizes findings of empirical studies investigating the effects of measurement misspecification. For the latter purpose, the article merges contributions in the psychology, management, and marketing literatures to examine a variety of issues concerning the conceptualization, estimation, and validation of formative measurement models. Finally, the article offers some suggestions for future research on formative measurement. ?? 2008 Elsevier Inc. All rights reserved.","author":[{"dropping-particle":"","family":"Diamantopoulos","given":"Adamantios","non-dropping-particle":"","parse-names":false,"suffix":""},{"dropping-particle":"","family":"Riefler","given":"Petra","non-dropping-particle":"","parse-names":false,"suffix":""},{"dropping-particle":"","family":"Roth","given":"Katharina P.","non-dropping-particle":"","parse-names":false,"suffix":""}],"container-title":"Journal of Business Research","id":"ITEM-2","issue":"12","issued":{"date-parts":[["2008"]]},"page":"1203-1218","publisher":"Elsevier Inc.","title":"Advancing formative measurement models","type":"article-journal","volume":"61"},"uris":["http://www.mendeley.com/documents/?uuid=0479b2d7-61ce-4d9d-b537-46954f7bb2c6"]}],"mendeley":{"formattedCitation":"[75], [76]","plainTextFormattedCitation":"[75], [76]","previouslyFormattedCitation":"[75]"},"properties":{"noteIndex":0},"schema":"https://github.com/citation-style-language/schema/raw/master/csl-citation.json"}</w:instrText>
      </w:r>
      <w:r w:rsidRPr="00A82226">
        <w:rPr>
          <w:color w:val="222222"/>
          <w:szCs w:val="24"/>
          <w:lang w:eastAsia="en-NZ"/>
        </w:rPr>
        <w:fldChar w:fldCharType="separate"/>
      </w:r>
      <w:r w:rsidRPr="00E65D3B">
        <w:rPr>
          <w:noProof/>
          <w:color w:val="222222"/>
          <w:szCs w:val="24"/>
          <w:lang w:eastAsia="en-NZ"/>
        </w:rPr>
        <w:t>[75], [76]</w:t>
      </w:r>
      <w:r w:rsidRPr="00A82226">
        <w:rPr>
          <w:color w:val="222222"/>
          <w:szCs w:val="24"/>
          <w:lang w:eastAsia="en-NZ"/>
        </w:rPr>
        <w:fldChar w:fldCharType="end"/>
      </w:r>
      <w:r w:rsidRPr="00A82226">
        <w:rPr>
          <w:color w:val="222222"/>
          <w:szCs w:val="24"/>
          <w:lang w:eastAsia="en-NZ"/>
        </w:rPr>
        <w:t xml:space="preserve">. </w:t>
      </w:r>
      <w:bookmarkEnd w:id="83"/>
      <w:bookmarkEnd w:id="84"/>
    </w:p>
    <w:p w14:paraId="2477AD48" w14:textId="77777777" w:rsidR="00E97402" w:rsidRDefault="00E97402">
      <w:pPr>
        <w:pStyle w:val="ReferenceHead"/>
      </w:pPr>
      <w:r>
        <w:t>References</w:t>
      </w:r>
    </w:p>
    <w:p w14:paraId="1E3F59C8" w14:textId="77777777" w:rsidR="0076355A" w:rsidRPr="0076355A" w:rsidRDefault="0076355A" w:rsidP="0076355A">
      <w:pPr>
        <w:shd w:val="clear" w:color="auto" w:fill="FFFFFF"/>
        <w:spacing w:line="276" w:lineRule="auto"/>
        <w:rPr>
          <w:color w:val="222222"/>
          <w:sz w:val="16"/>
          <w:szCs w:val="16"/>
        </w:rPr>
      </w:pPr>
    </w:p>
    <w:p w14:paraId="24393D6B" w14:textId="77777777" w:rsidR="00507A7B" w:rsidRPr="00E65D3B" w:rsidRDefault="00507A7B" w:rsidP="00507A7B">
      <w:pPr>
        <w:widowControl w:val="0"/>
        <w:autoSpaceDE w:val="0"/>
        <w:autoSpaceDN w:val="0"/>
        <w:adjustRightInd w:val="0"/>
        <w:ind w:left="640" w:hanging="640"/>
        <w:rPr>
          <w:noProof/>
          <w:szCs w:val="24"/>
        </w:rPr>
      </w:pPr>
      <w:r w:rsidRPr="00DC0856">
        <w:rPr>
          <w:szCs w:val="24"/>
        </w:rPr>
        <w:fldChar w:fldCharType="begin" w:fldLock="1"/>
      </w:r>
      <w:r w:rsidRPr="00DC0856">
        <w:rPr>
          <w:szCs w:val="24"/>
        </w:rPr>
        <w:instrText xml:space="preserve">ADDIN Mendeley Bibliography CSL_BIBLIOGRAPHY </w:instrText>
      </w:r>
      <w:r w:rsidRPr="00DC0856">
        <w:rPr>
          <w:szCs w:val="24"/>
        </w:rPr>
        <w:fldChar w:fldCharType="separate"/>
      </w:r>
      <w:r w:rsidRPr="00E65D3B">
        <w:rPr>
          <w:noProof/>
          <w:szCs w:val="24"/>
        </w:rPr>
        <w:t>[1]</w:t>
      </w:r>
      <w:r w:rsidRPr="00E65D3B">
        <w:rPr>
          <w:noProof/>
          <w:szCs w:val="24"/>
        </w:rPr>
        <w:tab/>
        <w:t xml:space="preserve">E. Shortliffe, </w:t>
      </w:r>
      <w:r w:rsidRPr="00E65D3B">
        <w:rPr>
          <w:i/>
          <w:iCs/>
          <w:noProof/>
          <w:szCs w:val="24"/>
        </w:rPr>
        <w:t>Computer-based medical consultations: MYCIN</w:t>
      </w:r>
      <w:r w:rsidRPr="00E65D3B">
        <w:rPr>
          <w:noProof/>
          <w:szCs w:val="24"/>
        </w:rPr>
        <w:t>, (Vol. 2). Elsevier., 2012.</w:t>
      </w:r>
    </w:p>
    <w:p w14:paraId="42F60843"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w:t>
      </w:r>
      <w:r w:rsidRPr="00E65D3B">
        <w:rPr>
          <w:noProof/>
          <w:szCs w:val="24"/>
        </w:rPr>
        <w:tab/>
        <w:t xml:space="preserve">C. Angeli, “Online expert systems for fault diagnosis in technical processes,” </w:t>
      </w:r>
      <w:r w:rsidRPr="00E65D3B">
        <w:rPr>
          <w:i/>
          <w:iCs/>
          <w:noProof/>
          <w:szCs w:val="24"/>
        </w:rPr>
        <w:t>Expert Syst.</w:t>
      </w:r>
      <w:r w:rsidRPr="00E65D3B">
        <w:rPr>
          <w:noProof/>
          <w:szCs w:val="24"/>
        </w:rPr>
        <w:t>, vol. 25, no. 2, pp. 115–132, 2008.</w:t>
      </w:r>
    </w:p>
    <w:p w14:paraId="73A7DCBC"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w:t>
      </w:r>
      <w:r w:rsidRPr="00E65D3B">
        <w:rPr>
          <w:noProof/>
          <w:szCs w:val="24"/>
        </w:rPr>
        <w:tab/>
        <w:t xml:space="preserve">S. C. Liu and S. Y. Liu, “An efficient expert system for machine fault diagnosis,” </w:t>
      </w:r>
      <w:r w:rsidRPr="00E65D3B">
        <w:rPr>
          <w:i/>
          <w:iCs/>
          <w:noProof/>
          <w:szCs w:val="24"/>
        </w:rPr>
        <w:t>Int. J. Adv. Manuf. Technol.</w:t>
      </w:r>
      <w:r w:rsidRPr="00E65D3B">
        <w:rPr>
          <w:noProof/>
          <w:szCs w:val="24"/>
        </w:rPr>
        <w:t>, vol. 21, no. 9, pp. 691–698, 2003.</w:t>
      </w:r>
    </w:p>
    <w:p w14:paraId="09CC15CE"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w:t>
      </w:r>
      <w:r w:rsidRPr="00E65D3B">
        <w:rPr>
          <w:noProof/>
          <w:szCs w:val="24"/>
        </w:rPr>
        <w:tab/>
        <w:t xml:space="preserve">W. J. Hopp, S. M. R. Iravani, and B. Shou, “A diagnostic tree for improving production line performance,” </w:t>
      </w:r>
      <w:r w:rsidRPr="00E65D3B">
        <w:rPr>
          <w:i/>
          <w:iCs/>
          <w:noProof/>
          <w:szCs w:val="24"/>
        </w:rPr>
        <w:t>Prod. Oper. Manag.</w:t>
      </w:r>
      <w:r w:rsidRPr="00E65D3B">
        <w:rPr>
          <w:noProof/>
          <w:szCs w:val="24"/>
        </w:rPr>
        <w:t>, vol. 16, no. 1, pp. 77–92, 2007.</w:t>
      </w:r>
    </w:p>
    <w:p w14:paraId="756D3CE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w:t>
      </w:r>
      <w:r w:rsidRPr="00E65D3B">
        <w:rPr>
          <w:noProof/>
          <w:szCs w:val="24"/>
        </w:rPr>
        <w:tab/>
        <w:t xml:space="preserve">J. Luo, S. Ba, and H. Zhang, “The effectiveness of online shopping characteristics and well-designed websites on satisfaction,” </w:t>
      </w:r>
      <w:r w:rsidRPr="00E65D3B">
        <w:rPr>
          <w:i/>
          <w:iCs/>
          <w:noProof/>
          <w:szCs w:val="24"/>
        </w:rPr>
        <w:t>MIS Q.</w:t>
      </w:r>
      <w:r w:rsidRPr="00E65D3B">
        <w:rPr>
          <w:noProof/>
          <w:szCs w:val="24"/>
        </w:rPr>
        <w:t>, vol. 36, no. 4, pp. 1131–1144, 2012.</w:t>
      </w:r>
    </w:p>
    <w:p w14:paraId="7AC6452D"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w:t>
      </w:r>
      <w:r w:rsidRPr="00E65D3B">
        <w:rPr>
          <w:noProof/>
          <w:szCs w:val="24"/>
        </w:rPr>
        <w:tab/>
        <w:t xml:space="preserve">C. L. Sia, K. H. Lim, K. Leung, M. K. O. Lee, W. W. Huang, and I. Benbasat, “Web strategies to promote internet shopping: Is cultural-customization needed?,” </w:t>
      </w:r>
      <w:r w:rsidRPr="00E65D3B">
        <w:rPr>
          <w:i/>
          <w:iCs/>
          <w:noProof/>
          <w:szCs w:val="24"/>
        </w:rPr>
        <w:t>MIS Q. Manag. Inf. Syst.</w:t>
      </w:r>
      <w:r w:rsidRPr="00E65D3B">
        <w:rPr>
          <w:noProof/>
          <w:szCs w:val="24"/>
        </w:rPr>
        <w:t>, vol. 33, no. 3, pp. 491–512, 2009.</w:t>
      </w:r>
    </w:p>
    <w:p w14:paraId="2358D8D8"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w:t>
      </w:r>
      <w:r w:rsidRPr="00E65D3B">
        <w:rPr>
          <w:noProof/>
          <w:szCs w:val="24"/>
        </w:rPr>
        <w:tab/>
        <w:t xml:space="preserve">R. M. O’Keefe, O. Balci, and E. P. Smith, “Validating expert system performance.,” </w:t>
      </w:r>
      <w:r w:rsidRPr="00E65D3B">
        <w:rPr>
          <w:i/>
          <w:iCs/>
          <w:noProof/>
          <w:szCs w:val="24"/>
        </w:rPr>
        <w:t>IEEE Expert</w:t>
      </w:r>
      <w:r w:rsidRPr="00E65D3B">
        <w:rPr>
          <w:noProof/>
          <w:szCs w:val="24"/>
        </w:rPr>
        <w:t>, vol. 2, no. 4. pp. 81–90, 1988.</w:t>
      </w:r>
    </w:p>
    <w:p w14:paraId="228395E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[8]</w:t>
      </w:r>
      <w:r w:rsidRPr="00E65D3B">
        <w:rPr>
          <w:noProof/>
          <w:szCs w:val="24"/>
        </w:rPr>
        <w:tab/>
        <w:t xml:space="preserve">K.-C. Tai, “The tree-to-tree correction problem,” </w:t>
      </w:r>
      <w:r w:rsidRPr="00E65D3B">
        <w:rPr>
          <w:i/>
          <w:iCs/>
          <w:noProof/>
          <w:szCs w:val="24"/>
        </w:rPr>
        <w:t>J. Assoc. Comput. Mach.</w:t>
      </w:r>
      <w:r w:rsidRPr="00E65D3B">
        <w:rPr>
          <w:noProof/>
          <w:szCs w:val="24"/>
        </w:rPr>
        <w:t>, vol. 26, no. 3, pp. 422–433, 1979.</w:t>
      </w:r>
    </w:p>
    <w:p w14:paraId="2D1BC5E5"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[9]</w:t>
      </w:r>
      <w:r w:rsidRPr="00E65D3B">
        <w:rPr>
          <w:noProof/>
          <w:szCs w:val="24"/>
        </w:rPr>
        <w:tab/>
        <w:t xml:space="preserve">G. Torkzadeh and T. P. Van Dyke, “Effects of training on Internet self-efficacy and computer user attitudes,” </w:t>
      </w:r>
      <w:r w:rsidRPr="00E65D3B">
        <w:rPr>
          <w:i/>
          <w:iCs/>
          <w:noProof/>
          <w:szCs w:val="24"/>
        </w:rPr>
        <w:t>Comput. Human Behav.</w:t>
      </w:r>
      <w:r w:rsidRPr="00E65D3B">
        <w:rPr>
          <w:noProof/>
          <w:szCs w:val="24"/>
        </w:rPr>
        <w:t>, vol. 18, no. 5, pp. 479–494, 2002.</w:t>
      </w:r>
    </w:p>
    <w:p w14:paraId="1D83B464"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[10]</w:t>
      </w:r>
      <w:r w:rsidRPr="00E65D3B">
        <w:rPr>
          <w:noProof/>
          <w:szCs w:val="24"/>
        </w:rPr>
        <w:tab/>
        <w:t xml:space="preserve">D. R. Compeau and C. A. Higgins, “Computer self-efficacy: Development of a measure and initial test,” </w:t>
      </w:r>
      <w:r w:rsidRPr="00E65D3B">
        <w:rPr>
          <w:i/>
          <w:iCs/>
          <w:noProof/>
          <w:szCs w:val="24"/>
        </w:rPr>
        <w:t>MIS Q.</w:t>
      </w:r>
      <w:r w:rsidRPr="00E65D3B">
        <w:rPr>
          <w:noProof/>
          <w:szCs w:val="24"/>
        </w:rPr>
        <w:t>, vol. 19, no. 2, pp. 189–211, 1995.</w:t>
      </w:r>
    </w:p>
    <w:p w14:paraId="60AC1DC5"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[11]</w:t>
      </w:r>
      <w:r w:rsidRPr="00E65D3B">
        <w:rPr>
          <w:noProof/>
          <w:szCs w:val="24"/>
        </w:rPr>
        <w:tab/>
        <w:t xml:space="preserve">Y. Zheng, J. Wang, W. Doll, X. Deng, and M. Williams, “The impact of organisational support, technical support, and self-efficacy on faculty perceived benefits of using learning management system,” </w:t>
      </w:r>
      <w:r w:rsidRPr="00E65D3B">
        <w:rPr>
          <w:i/>
          <w:iCs/>
          <w:noProof/>
          <w:szCs w:val="24"/>
        </w:rPr>
        <w:t>Behav. Inf. Technol.</w:t>
      </w:r>
      <w:r w:rsidRPr="00E65D3B">
        <w:rPr>
          <w:noProof/>
          <w:szCs w:val="24"/>
        </w:rPr>
        <w:t>, vol. 37, no. 4, pp. 311–319, 2018.</w:t>
      </w:r>
    </w:p>
    <w:p w14:paraId="45FEE64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[12]</w:t>
      </w:r>
      <w:r w:rsidRPr="00E65D3B">
        <w:rPr>
          <w:noProof/>
          <w:szCs w:val="24"/>
        </w:rPr>
        <w:tab/>
        <w:t xml:space="preserve">A. Bandura and Albert, “Self-efficacy: Toward a unifying theory of behavioral change.,” </w:t>
      </w:r>
      <w:r w:rsidRPr="00E65D3B">
        <w:rPr>
          <w:i/>
          <w:iCs/>
          <w:noProof/>
          <w:szCs w:val="24"/>
        </w:rPr>
        <w:t>Psychol. Rev.</w:t>
      </w:r>
      <w:r w:rsidRPr="00E65D3B">
        <w:rPr>
          <w:noProof/>
          <w:szCs w:val="24"/>
        </w:rPr>
        <w:t>, vol. 84, no. 2, pp. 191–215, 1977.</w:t>
      </w:r>
    </w:p>
    <w:p w14:paraId="5ED63313"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[13]</w:t>
      </w:r>
      <w:r w:rsidRPr="00E65D3B">
        <w:rPr>
          <w:noProof/>
          <w:szCs w:val="24"/>
        </w:rPr>
        <w:tab/>
        <w:t xml:space="preserve">M. J. Keith, J. S. Babb, P. B. Lowry, C. P. Furner, and A. Abdullat, “The role of mobile-computing self-efficacy in consumer information disclosure,” </w:t>
      </w:r>
      <w:r w:rsidRPr="00E65D3B">
        <w:rPr>
          <w:i/>
          <w:iCs/>
          <w:noProof/>
          <w:szCs w:val="24"/>
        </w:rPr>
        <w:t>Inf. Syst. J.</w:t>
      </w:r>
      <w:r w:rsidRPr="00E65D3B">
        <w:rPr>
          <w:noProof/>
          <w:szCs w:val="24"/>
        </w:rPr>
        <w:t>, vol. 25, no. 6, pp. 637–667, 2015.</w:t>
      </w:r>
    </w:p>
    <w:p w14:paraId="5A723997"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[14]</w:t>
      </w:r>
      <w:r w:rsidRPr="00E65D3B">
        <w:rPr>
          <w:noProof/>
          <w:szCs w:val="24"/>
        </w:rPr>
        <w:tab/>
        <w:t xml:space="preserve">J. Caverlee, L. Liu, and S. Webb, “The SocialTrust framework for trusted social information management: Architecture and algorithms,” </w:t>
      </w:r>
      <w:r w:rsidRPr="00E65D3B">
        <w:rPr>
          <w:i/>
          <w:iCs/>
          <w:noProof/>
          <w:szCs w:val="24"/>
        </w:rPr>
        <w:t>Inf. Sci. (Ny).</w:t>
      </w:r>
      <w:r w:rsidRPr="00E65D3B">
        <w:rPr>
          <w:noProof/>
          <w:szCs w:val="24"/>
        </w:rPr>
        <w:t>, vol. 180, no. 1, pp. 95–112, 2010.</w:t>
      </w:r>
    </w:p>
    <w:p w14:paraId="6B183FF4"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[15]</w:t>
      </w:r>
      <w:r w:rsidRPr="00E65D3B">
        <w:rPr>
          <w:noProof/>
          <w:szCs w:val="24"/>
        </w:rPr>
        <w:tab/>
        <w:t xml:space="preserve">V. Mirzaee, M. N. Razavi, and L. Iverson, “Improving personal and social information management with advanced tagging,” in </w:t>
      </w:r>
      <w:r w:rsidRPr="00E65D3B">
        <w:rPr>
          <w:i/>
          <w:iCs/>
          <w:noProof/>
          <w:szCs w:val="24"/>
        </w:rPr>
        <w:t>Proceedings of the 36th annual conference of the Canadian Association for Information Science (CAIS), University of British Columbia, Vancouver, June 5-7</w:t>
      </w:r>
      <w:r w:rsidRPr="00E65D3B">
        <w:rPr>
          <w:noProof/>
          <w:szCs w:val="24"/>
        </w:rPr>
        <w:t>, 2008.</w:t>
      </w:r>
    </w:p>
    <w:p w14:paraId="1C5A554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[16]</w:t>
      </w:r>
      <w:r w:rsidRPr="00E65D3B">
        <w:rPr>
          <w:noProof/>
          <w:szCs w:val="24"/>
        </w:rPr>
        <w:tab/>
        <w:t xml:space="preserve">T. R. Chang, E. Kaasinen, and K. Kaipainen, “Persuasive design in mobile applications for mental well-being: Multidisciplinary expert review,” </w:t>
      </w:r>
      <w:r w:rsidRPr="00E65D3B">
        <w:rPr>
          <w:i/>
          <w:iCs/>
          <w:noProof/>
          <w:szCs w:val="24"/>
        </w:rPr>
        <w:t>Lect. Notes Inst. Comput. Sci. Soc. Telecommun. Eng. LNICST</w:t>
      </w:r>
      <w:r w:rsidRPr="00E65D3B">
        <w:rPr>
          <w:noProof/>
          <w:szCs w:val="24"/>
        </w:rPr>
        <w:t>, vol. 61, pp. 154–162, 2013.</w:t>
      </w:r>
    </w:p>
    <w:p w14:paraId="50862BFB"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[17]</w:t>
      </w:r>
      <w:r w:rsidRPr="00E65D3B">
        <w:rPr>
          <w:noProof/>
          <w:szCs w:val="24"/>
        </w:rPr>
        <w:tab/>
        <w:t xml:space="preserve">M. Tory and T. Möller, “Evaluating visualizations: Do expert reviews work?,” </w:t>
      </w:r>
      <w:r w:rsidRPr="00E65D3B">
        <w:rPr>
          <w:i/>
          <w:iCs/>
          <w:noProof/>
          <w:szCs w:val="24"/>
        </w:rPr>
        <w:t>IEEE Comput. Graph. Appl.</w:t>
      </w:r>
      <w:r w:rsidRPr="00E65D3B">
        <w:rPr>
          <w:noProof/>
          <w:szCs w:val="24"/>
        </w:rPr>
        <w:t>, vol. 25, no. 5, pp. 8–11, 2005.</w:t>
      </w:r>
    </w:p>
    <w:p w14:paraId="465215F3"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[18]</w:t>
      </w:r>
      <w:r w:rsidRPr="00E65D3B">
        <w:rPr>
          <w:noProof/>
          <w:szCs w:val="24"/>
        </w:rPr>
        <w:tab/>
        <w:t xml:space="preserve">H. Blockeel and J. Struyf, “Efficient algorithms for decision tree cross-validation,” </w:t>
      </w:r>
      <w:r w:rsidRPr="00E65D3B">
        <w:rPr>
          <w:i/>
          <w:iCs/>
          <w:noProof/>
          <w:szCs w:val="24"/>
        </w:rPr>
        <w:t>J. Mach. Learn. Res.</w:t>
      </w:r>
      <w:r w:rsidRPr="00E65D3B">
        <w:rPr>
          <w:noProof/>
          <w:szCs w:val="24"/>
        </w:rPr>
        <w:t>, vol. 3, no. 4–5, p. 9, 2001.</w:t>
      </w:r>
    </w:p>
    <w:p w14:paraId="5620D5FB"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[19]</w:t>
      </w:r>
      <w:r w:rsidRPr="00E65D3B">
        <w:rPr>
          <w:noProof/>
          <w:szCs w:val="24"/>
        </w:rPr>
        <w:tab/>
        <w:t xml:space="preserve">G. Lamperti and M. Zanella, “Flexible diagnosis of discrete-event systems by similarity-based reasoning techniques,” </w:t>
      </w:r>
      <w:r w:rsidRPr="00E65D3B">
        <w:rPr>
          <w:i/>
          <w:iCs/>
          <w:noProof/>
          <w:szCs w:val="24"/>
        </w:rPr>
        <w:t>Artif. Intell.</w:t>
      </w:r>
      <w:r w:rsidRPr="00E65D3B">
        <w:rPr>
          <w:noProof/>
          <w:szCs w:val="24"/>
        </w:rPr>
        <w:t>, vol. 170, no. 3, pp. 232–297, 2006.</w:t>
      </w:r>
    </w:p>
    <w:p w14:paraId="44BDDBB2"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[20]</w:t>
      </w:r>
      <w:r w:rsidRPr="00E65D3B">
        <w:rPr>
          <w:noProof/>
          <w:szCs w:val="24"/>
        </w:rPr>
        <w:tab/>
        <w:t xml:space="preserve">R. Yan, Z. Ma, Y. Zhao, and G. Kokogiannakis, “A decision tree based data-driven diagnostic strategy for air handling units,” </w:t>
      </w:r>
      <w:r w:rsidRPr="00E65D3B">
        <w:rPr>
          <w:i/>
          <w:iCs/>
          <w:noProof/>
          <w:szCs w:val="24"/>
        </w:rPr>
        <w:t>Energy Build.</w:t>
      </w:r>
      <w:r w:rsidRPr="00E65D3B">
        <w:rPr>
          <w:noProof/>
          <w:szCs w:val="24"/>
        </w:rPr>
        <w:t>, vol. 133, pp. 37–45, 2016.</w:t>
      </w:r>
    </w:p>
    <w:p w14:paraId="42A20984"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[21]</w:t>
      </w:r>
      <w:r w:rsidRPr="00E65D3B">
        <w:rPr>
          <w:noProof/>
          <w:szCs w:val="24"/>
        </w:rPr>
        <w:tab/>
        <w:t xml:space="preserve">K. H. Green and B. P. Ricca, “Graph theoretic methods for the analysis of data in developing systems,” </w:t>
      </w:r>
      <w:r w:rsidRPr="00E65D3B">
        <w:rPr>
          <w:i/>
          <w:iCs/>
          <w:noProof/>
          <w:szCs w:val="24"/>
        </w:rPr>
        <w:t>Qual. Quant.</w:t>
      </w:r>
      <w:r w:rsidRPr="00E65D3B">
        <w:rPr>
          <w:noProof/>
          <w:szCs w:val="24"/>
        </w:rPr>
        <w:t>, vol. 49, no. 5, pp. 2037–2060, 2014.</w:t>
      </w:r>
    </w:p>
    <w:p w14:paraId="5D53DC3A"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[22]</w:t>
      </w:r>
      <w:r w:rsidRPr="00E65D3B">
        <w:rPr>
          <w:noProof/>
          <w:szCs w:val="24"/>
        </w:rPr>
        <w:tab/>
        <w:t xml:space="preserve">C. Klinkmüller and I. Weber, “Analyzing control flow information to improve the effectiveness of process model matching techniques,” </w:t>
      </w:r>
      <w:r w:rsidRPr="00E65D3B">
        <w:rPr>
          <w:i/>
          <w:iCs/>
          <w:noProof/>
          <w:szCs w:val="24"/>
        </w:rPr>
        <w:t>Decis. Support Syst.</w:t>
      </w:r>
      <w:r w:rsidRPr="00E65D3B">
        <w:rPr>
          <w:noProof/>
          <w:szCs w:val="24"/>
        </w:rPr>
        <w:t>, vol. 100, pp. 6–14, 2017.</w:t>
      </w:r>
    </w:p>
    <w:p w14:paraId="75347DA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[23]</w:t>
      </w:r>
      <w:r w:rsidRPr="00E65D3B">
        <w:rPr>
          <w:noProof/>
          <w:szCs w:val="24"/>
        </w:rPr>
        <w:tab/>
        <w:t xml:space="preserve">L. R. Novick and S. M. Hurley, “To matrix, network, or hierarchy: That is the question.,” </w:t>
      </w:r>
      <w:r w:rsidRPr="00E65D3B">
        <w:rPr>
          <w:i/>
          <w:iCs/>
          <w:noProof/>
          <w:szCs w:val="24"/>
        </w:rPr>
        <w:t>Cogn. Psychol.</w:t>
      </w:r>
      <w:r w:rsidRPr="00E65D3B">
        <w:rPr>
          <w:noProof/>
          <w:szCs w:val="24"/>
        </w:rPr>
        <w:t>, vol. 42, pp. 158–216, 2001.</w:t>
      </w:r>
    </w:p>
    <w:p w14:paraId="79C54EAD"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[24]</w:t>
      </w:r>
      <w:r w:rsidRPr="00E65D3B">
        <w:rPr>
          <w:noProof/>
          <w:szCs w:val="24"/>
        </w:rPr>
        <w:tab/>
        <w:t xml:space="preserve">J. F. Hair, R. E. Anderson, R. L. Tatham, and W. C. Black, </w:t>
      </w:r>
      <w:r w:rsidRPr="00E65D3B">
        <w:rPr>
          <w:i/>
          <w:iCs/>
          <w:noProof/>
          <w:szCs w:val="24"/>
        </w:rPr>
        <w:t>Multivariate Data Analysis</w:t>
      </w:r>
      <w:r w:rsidRPr="00E65D3B">
        <w:rPr>
          <w:noProof/>
          <w:szCs w:val="24"/>
        </w:rPr>
        <w:t>, vol. 1, no. 6. Prentice Hall, 1998.</w:t>
      </w:r>
    </w:p>
    <w:p w14:paraId="216828FA"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[25]</w:t>
      </w:r>
      <w:r w:rsidRPr="00E65D3B">
        <w:rPr>
          <w:noProof/>
          <w:szCs w:val="24"/>
        </w:rPr>
        <w:tab/>
        <w:t xml:space="preserve">M. G. Capra, “Factor analysis of card sort data: An alternative to hierarchical cluster analysis,” </w:t>
      </w:r>
      <w:r w:rsidRPr="00E65D3B">
        <w:rPr>
          <w:i/>
          <w:iCs/>
          <w:noProof/>
          <w:szCs w:val="24"/>
        </w:rPr>
        <w:t>Proc. Hum. Factors Ergon. Soc.</w:t>
      </w:r>
      <w:r w:rsidRPr="00E65D3B">
        <w:rPr>
          <w:noProof/>
          <w:szCs w:val="24"/>
        </w:rPr>
        <w:t>, pp. 691–695, 2005.</w:t>
      </w:r>
    </w:p>
    <w:p w14:paraId="33F8C87A"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[26]</w:t>
      </w:r>
      <w:r w:rsidRPr="00E65D3B">
        <w:rPr>
          <w:noProof/>
          <w:szCs w:val="24"/>
        </w:rPr>
        <w:tab/>
        <w:t xml:space="preserve">A. Lake and C. Cook, “Use of factor analysis to develop OOP software complexity metrics,” </w:t>
      </w:r>
      <w:r w:rsidRPr="00E65D3B">
        <w:rPr>
          <w:i/>
          <w:iCs/>
          <w:noProof/>
          <w:szCs w:val="24"/>
        </w:rPr>
        <w:t>Proc. Sixth Annu. Oregon Work. Softw. Metrics</w:t>
      </w:r>
      <w:r w:rsidRPr="00E65D3B">
        <w:rPr>
          <w:noProof/>
          <w:szCs w:val="24"/>
        </w:rPr>
        <w:t>, pp. 1–15, 1994.</w:t>
      </w:r>
    </w:p>
    <w:p w14:paraId="6A2FB90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[27]</w:t>
      </w:r>
      <w:r w:rsidRPr="00E65D3B">
        <w:rPr>
          <w:noProof/>
          <w:szCs w:val="24"/>
        </w:rPr>
        <w:tab/>
        <w:t xml:space="preserve">J. Sun, “Assessing goodness of fit in confirmatory factor analysis,” </w:t>
      </w:r>
      <w:r w:rsidRPr="00E65D3B">
        <w:rPr>
          <w:i/>
          <w:iCs/>
          <w:noProof/>
          <w:szCs w:val="24"/>
        </w:rPr>
        <w:t>Meas. Eval. Couns. Dev.</w:t>
      </w:r>
      <w:r w:rsidRPr="00E65D3B">
        <w:rPr>
          <w:noProof/>
          <w:szCs w:val="24"/>
        </w:rPr>
        <w:t>, vol. 37, no. 4, pp. 240–256, 2005.</w:t>
      </w:r>
    </w:p>
    <w:p w14:paraId="43D9162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[28]</w:t>
      </w:r>
      <w:r w:rsidRPr="00E65D3B">
        <w:rPr>
          <w:noProof/>
          <w:szCs w:val="24"/>
        </w:rPr>
        <w:tab/>
        <w:t xml:space="preserve">J. Anderson and D. Gerbing, “Structural equation modeling in practice: A review and recommended two-step approach,” </w:t>
      </w:r>
      <w:r w:rsidRPr="00E65D3B">
        <w:rPr>
          <w:i/>
          <w:iCs/>
          <w:noProof/>
          <w:szCs w:val="24"/>
        </w:rPr>
        <w:t>Psychol. Bull.</w:t>
      </w:r>
      <w:r w:rsidRPr="00E65D3B">
        <w:rPr>
          <w:noProof/>
          <w:szCs w:val="24"/>
        </w:rPr>
        <w:t>, vol. 103, no. 3, pp. 411–423, 1988.</w:t>
      </w:r>
    </w:p>
    <w:p w14:paraId="7A34D31A"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[29]</w:t>
      </w:r>
      <w:r w:rsidRPr="00E65D3B">
        <w:rPr>
          <w:noProof/>
          <w:szCs w:val="24"/>
        </w:rPr>
        <w:tab/>
        <w:t xml:space="preserve">R. B. Kline, </w:t>
      </w:r>
      <w:r w:rsidRPr="00E65D3B">
        <w:rPr>
          <w:i/>
          <w:iCs/>
          <w:noProof/>
          <w:szCs w:val="24"/>
        </w:rPr>
        <w:t>Principles and Practice of Structural Equation Modeling</w:t>
      </w:r>
      <w:r w:rsidRPr="00E65D3B">
        <w:rPr>
          <w:noProof/>
          <w:szCs w:val="24"/>
        </w:rPr>
        <w:t>, Third. New York: The Guilford Press, 1998.</w:t>
      </w:r>
    </w:p>
    <w:p w14:paraId="579377F7"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[30]</w:t>
      </w:r>
      <w:r w:rsidRPr="00E65D3B">
        <w:rPr>
          <w:noProof/>
          <w:szCs w:val="24"/>
        </w:rPr>
        <w:tab/>
        <w:t xml:space="preserve">D. Jiang, C. Tang, and  a Zhang, “Cluster analysis for gene expression data: A survey,” </w:t>
      </w:r>
      <w:r w:rsidRPr="00E65D3B">
        <w:rPr>
          <w:i/>
          <w:iCs/>
          <w:noProof/>
          <w:szCs w:val="24"/>
        </w:rPr>
        <w:t>IEEE Trans. Knowl. Data</w:t>
      </w:r>
      <w:r w:rsidRPr="00E65D3B">
        <w:rPr>
          <w:noProof/>
          <w:szCs w:val="24"/>
        </w:rPr>
        <w:t>, vol. 16, no. 11, pp. 1370–1386, 2004.</w:t>
      </w:r>
    </w:p>
    <w:p w14:paraId="4F6E31B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[31]</w:t>
      </w:r>
      <w:r w:rsidRPr="00E65D3B">
        <w:rPr>
          <w:noProof/>
          <w:szCs w:val="24"/>
        </w:rPr>
        <w:tab/>
        <w:t xml:space="preserve">J. Zhan, H. T. Loh, and Y. Liu, “Gather customer concerns from online product reviews - A text summarization approach,” </w:t>
      </w:r>
      <w:r w:rsidRPr="00E65D3B">
        <w:rPr>
          <w:i/>
          <w:iCs/>
          <w:noProof/>
          <w:szCs w:val="24"/>
        </w:rPr>
        <w:t>Expert Syst. Appl.</w:t>
      </w:r>
      <w:r w:rsidRPr="00E65D3B">
        <w:rPr>
          <w:noProof/>
          <w:szCs w:val="24"/>
        </w:rPr>
        <w:t>, vol. 36, pp. 2107–2115, 2009.</w:t>
      </w:r>
    </w:p>
    <w:p w14:paraId="51773F42"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[32]</w:t>
      </w:r>
      <w:r w:rsidRPr="00E65D3B">
        <w:rPr>
          <w:noProof/>
          <w:szCs w:val="24"/>
        </w:rPr>
        <w:tab/>
        <w:t xml:space="preserve">C. Serrano-Cinca and B. Gutiérrez-Nieto, “Partial least square discriminant analysis for bankruptcy prediction,” </w:t>
      </w:r>
      <w:r w:rsidRPr="00E65D3B">
        <w:rPr>
          <w:i/>
          <w:iCs/>
          <w:noProof/>
          <w:szCs w:val="24"/>
        </w:rPr>
        <w:t>Decis. Support Syst.</w:t>
      </w:r>
      <w:r w:rsidRPr="00E65D3B">
        <w:rPr>
          <w:noProof/>
          <w:szCs w:val="24"/>
        </w:rPr>
        <w:t>, vol. 54, no. 3, pp. 1245–1255, 2013.</w:t>
      </w:r>
    </w:p>
    <w:p w14:paraId="66C29CC4"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[33]</w:t>
      </w:r>
      <w:r w:rsidRPr="00E65D3B">
        <w:rPr>
          <w:noProof/>
          <w:szCs w:val="24"/>
        </w:rPr>
        <w:tab/>
        <w:t xml:space="preserve">J. C. Gower and G. J. S. Ross, “Minimum Spanning Trees and Single Linkage Cluster Analysis,” </w:t>
      </w:r>
      <w:r w:rsidRPr="00E65D3B">
        <w:rPr>
          <w:i/>
          <w:iCs/>
          <w:noProof/>
          <w:szCs w:val="24"/>
        </w:rPr>
        <w:t>Appl. Stat.</w:t>
      </w:r>
      <w:r w:rsidRPr="00E65D3B">
        <w:rPr>
          <w:noProof/>
          <w:szCs w:val="24"/>
        </w:rPr>
        <w:t>, vol. 18, no. 1, p. 54, 1969.</w:t>
      </w:r>
    </w:p>
    <w:p w14:paraId="53050A95"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[34]</w:t>
      </w:r>
      <w:r w:rsidRPr="00E65D3B">
        <w:rPr>
          <w:noProof/>
          <w:szCs w:val="24"/>
        </w:rPr>
        <w:tab/>
        <w:t xml:space="preserve">R. R. Sokal, “A statistical method for evaluating systematic relationships,” </w:t>
      </w:r>
      <w:r w:rsidRPr="00E65D3B">
        <w:rPr>
          <w:i/>
          <w:iCs/>
          <w:noProof/>
          <w:szCs w:val="24"/>
        </w:rPr>
        <w:t>Univ. Kansas Sci. Bull.</w:t>
      </w:r>
      <w:r w:rsidRPr="00E65D3B">
        <w:rPr>
          <w:noProof/>
          <w:szCs w:val="24"/>
        </w:rPr>
        <w:t>, vol. 38, no. February, pp. 1409–1438, 1958.</w:t>
      </w:r>
    </w:p>
    <w:p w14:paraId="0373C7E1"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[35]</w:t>
      </w:r>
      <w:r w:rsidRPr="00E65D3B">
        <w:rPr>
          <w:noProof/>
          <w:szCs w:val="24"/>
        </w:rPr>
        <w:tab/>
        <w:t xml:space="preserve">D. J. Ketchen Jr. and C. L. Shook, “The application of cluster analysis in strategic management research: An analysis and critique,” </w:t>
      </w:r>
      <w:r w:rsidRPr="00E65D3B">
        <w:rPr>
          <w:i/>
          <w:iCs/>
          <w:noProof/>
          <w:szCs w:val="24"/>
        </w:rPr>
        <w:t>Strateg. Manag. J.</w:t>
      </w:r>
      <w:r w:rsidRPr="00E65D3B">
        <w:rPr>
          <w:noProof/>
          <w:szCs w:val="24"/>
        </w:rPr>
        <w:t>, vol. 17, no. November 1994, pp. 441–458, 1996.</w:t>
      </w:r>
    </w:p>
    <w:p w14:paraId="0BC7BCBC"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[36]</w:t>
      </w:r>
      <w:r w:rsidRPr="00E65D3B">
        <w:rPr>
          <w:noProof/>
          <w:szCs w:val="24"/>
        </w:rPr>
        <w:tab/>
        <w:t xml:space="preserve">B. S. Everitt, S. Landau, M. Leese, and D. Stahl, </w:t>
      </w:r>
      <w:r w:rsidRPr="00E65D3B">
        <w:rPr>
          <w:i/>
          <w:iCs/>
          <w:noProof/>
          <w:szCs w:val="24"/>
        </w:rPr>
        <w:t>Cluster analysis</w:t>
      </w:r>
      <w:r w:rsidRPr="00E65D3B">
        <w:rPr>
          <w:noProof/>
          <w:szCs w:val="24"/>
        </w:rPr>
        <w:t>, 5th ed., vol. 14, no. 1. Wiley, 2011.</w:t>
      </w:r>
    </w:p>
    <w:p w14:paraId="08A04268"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[37]</w:t>
      </w:r>
      <w:r w:rsidRPr="00E65D3B">
        <w:rPr>
          <w:noProof/>
          <w:szCs w:val="24"/>
        </w:rPr>
        <w:tab/>
        <w:t xml:space="preserve">S. Sabbaghan, C. E. H. Chua, and L. A. Gardner, “Statistical measurement of trees’ similarity,” </w:t>
      </w:r>
      <w:r w:rsidRPr="00E65D3B">
        <w:rPr>
          <w:i/>
          <w:iCs/>
          <w:noProof/>
          <w:szCs w:val="24"/>
        </w:rPr>
        <w:t>Qual. Quant.</w:t>
      </w:r>
      <w:r w:rsidRPr="00E65D3B">
        <w:rPr>
          <w:noProof/>
          <w:szCs w:val="24"/>
        </w:rPr>
        <w:t>, no. 0123456789, 2020.</w:t>
      </w:r>
    </w:p>
    <w:p w14:paraId="0720358D"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[38]</w:t>
      </w:r>
      <w:r w:rsidRPr="00E65D3B">
        <w:rPr>
          <w:noProof/>
          <w:szCs w:val="24"/>
        </w:rPr>
        <w:tab/>
        <w:t xml:space="preserve">J. Block, “An introduction to the Q-sort method of personality description,” </w:t>
      </w:r>
      <w:r w:rsidRPr="00E65D3B">
        <w:rPr>
          <w:i/>
          <w:iCs/>
          <w:noProof/>
          <w:szCs w:val="24"/>
        </w:rPr>
        <w:t>Q-sort method Personal. Assess. Psychiatr. Res.</w:t>
      </w:r>
      <w:r w:rsidRPr="00E65D3B">
        <w:rPr>
          <w:noProof/>
          <w:szCs w:val="24"/>
        </w:rPr>
        <w:t>, pp. 3–26, 1961.</w:t>
      </w:r>
    </w:p>
    <w:p w14:paraId="79B3045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[39]</w:t>
      </w:r>
      <w:r w:rsidRPr="00E65D3B">
        <w:rPr>
          <w:noProof/>
          <w:szCs w:val="24"/>
        </w:rPr>
        <w:tab/>
        <w:t xml:space="preserve">B. G. Glaser and A. L. Strauss, </w:t>
      </w:r>
      <w:r w:rsidRPr="00E65D3B">
        <w:rPr>
          <w:i/>
          <w:iCs/>
          <w:noProof/>
          <w:szCs w:val="24"/>
        </w:rPr>
        <w:t>The Discovery of Grounded Theory: Strategies for Qualitative Research</w:t>
      </w:r>
      <w:r w:rsidRPr="00E65D3B">
        <w:rPr>
          <w:noProof/>
          <w:szCs w:val="24"/>
        </w:rPr>
        <w:t>. London: Aldine Publishing Company, 1967.</w:t>
      </w:r>
    </w:p>
    <w:p w14:paraId="63B963B3"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[40]</w:t>
      </w:r>
      <w:r w:rsidRPr="00E65D3B">
        <w:rPr>
          <w:noProof/>
          <w:szCs w:val="24"/>
        </w:rPr>
        <w:tab/>
        <w:t xml:space="preserve">J. Fleiss, B. Levin, and M. Cho Paik, </w:t>
      </w:r>
      <w:r w:rsidRPr="00E65D3B">
        <w:rPr>
          <w:i/>
          <w:iCs/>
          <w:noProof/>
          <w:szCs w:val="24"/>
        </w:rPr>
        <w:t>Statistical Methods for Rates and Proportions</w:t>
      </w:r>
      <w:r w:rsidRPr="00E65D3B">
        <w:rPr>
          <w:noProof/>
          <w:szCs w:val="24"/>
        </w:rPr>
        <w:t>. 2013.</w:t>
      </w:r>
    </w:p>
    <w:p w14:paraId="5A32C6EE"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[41]</w:t>
      </w:r>
      <w:r w:rsidRPr="00E65D3B">
        <w:rPr>
          <w:noProof/>
          <w:szCs w:val="24"/>
        </w:rPr>
        <w:tab/>
        <w:t xml:space="preserve">K. L. Gwet, “Computing inter-rater reliability and its variance in the presence of high agreement,” </w:t>
      </w:r>
      <w:r w:rsidRPr="00E65D3B">
        <w:rPr>
          <w:i/>
          <w:iCs/>
          <w:noProof/>
          <w:szCs w:val="24"/>
        </w:rPr>
        <w:t>Br. J. Math. Stat. Psychol.</w:t>
      </w:r>
      <w:r w:rsidRPr="00E65D3B">
        <w:rPr>
          <w:noProof/>
          <w:szCs w:val="24"/>
        </w:rPr>
        <w:t>, vol. 61, no. 1, pp. 29–48, 2008.</w:t>
      </w:r>
    </w:p>
    <w:p w14:paraId="690690CB"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[42]</w:t>
      </w:r>
      <w:r w:rsidRPr="00E65D3B">
        <w:rPr>
          <w:noProof/>
          <w:szCs w:val="24"/>
        </w:rPr>
        <w:tab/>
        <w:t xml:space="preserve">J. Vargo, J. C. Nesbit, K. Belfer, and A. Archambault, “Learning object evaluation: Computer-mediated collaboration and inter-rater reliability,” </w:t>
      </w:r>
      <w:r w:rsidRPr="00E65D3B">
        <w:rPr>
          <w:i/>
          <w:iCs/>
          <w:noProof/>
          <w:szCs w:val="24"/>
        </w:rPr>
        <w:t>Int. J. Comput. Appl.</w:t>
      </w:r>
      <w:r w:rsidRPr="00E65D3B">
        <w:rPr>
          <w:noProof/>
          <w:szCs w:val="24"/>
        </w:rPr>
        <w:t>, vol. 25, no. 3, pp. 198–205, 2003.</w:t>
      </w:r>
    </w:p>
    <w:p w14:paraId="3BEDB102"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[43]</w:t>
      </w:r>
      <w:r w:rsidRPr="00E65D3B">
        <w:rPr>
          <w:noProof/>
          <w:szCs w:val="24"/>
        </w:rPr>
        <w:tab/>
        <w:t xml:space="preserve">W. H. Goodman, L. A., &amp; Kruskal, “Measures of association for cross classifications.,” </w:t>
      </w:r>
      <w:r w:rsidRPr="00E65D3B">
        <w:rPr>
          <w:i/>
          <w:iCs/>
          <w:noProof/>
          <w:szCs w:val="24"/>
        </w:rPr>
        <w:t>J. Am. Stat. Assoc.</w:t>
      </w:r>
      <w:r w:rsidRPr="00E65D3B">
        <w:rPr>
          <w:noProof/>
          <w:szCs w:val="24"/>
        </w:rPr>
        <w:t>, vol. 49, pp. 732–764, 1954.</w:t>
      </w:r>
    </w:p>
    <w:p w14:paraId="28AC7DD5"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[44]</w:t>
      </w:r>
      <w:r w:rsidRPr="00E65D3B">
        <w:rPr>
          <w:noProof/>
          <w:szCs w:val="24"/>
        </w:rPr>
        <w:tab/>
        <w:t xml:space="preserve">P. Sheldon and K. Bryant, “Instagram: Motives for its use and relationship to narcissism and contextual age,” </w:t>
      </w:r>
      <w:r w:rsidRPr="00E65D3B">
        <w:rPr>
          <w:i/>
          <w:iCs/>
          <w:noProof/>
          <w:szCs w:val="24"/>
        </w:rPr>
        <w:t>Comput. Human Behav.</w:t>
      </w:r>
      <w:r w:rsidRPr="00E65D3B">
        <w:rPr>
          <w:noProof/>
          <w:szCs w:val="24"/>
        </w:rPr>
        <w:t>, vol. 58, pp. 89–97, 2016.</w:t>
      </w:r>
    </w:p>
    <w:p w14:paraId="7C6421A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[45]</w:t>
      </w:r>
      <w:r w:rsidRPr="00E65D3B">
        <w:rPr>
          <w:noProof/>
          <w:szCs w:val="24"/>
        </w:rPr>
        <w:tab/>
        <w:t xml:space="preserve">K. P. Hocevar, A. J. Flanagin, and M. J. Metzger, “Social media self-efficacy and information evaluation online,” </w:t>
      </w:r>
      <w:r w:rsidRPr="00E65D3B">
        <w:rPr>
          <w:i/>
          <w:iCs/>
          <w:noProof/>
          <w:szCs w:val="24"/>
        </w:rPr>
        <w:t>Comput. Human Behav.</w:t>
      </w:r>
      <w:r w:rsidRPr="00E65D3B">
        <w:rPr>
          <w:noProof/>
          <w:szCs w:val="24"/>
        </w:rPr>
        <w:t>, vol. 39, pp. 254–262, 2014.</w:t>
      </w:r>
    </w:p>
    <w:p w14:paraId="286B01BE"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[46]</w:t>
      </w:r>
      <w:r w:rsidRPr="00E65D3B">
        <w:rPr>
          <w:noProof/>
          <w:szCs w:val="24"/>
        </w:rPr>
        <w:tab/>
        <w:t xml:space="preserve">G. Walsh, M. Schaarschmidt, and H. von Kortzfleisch, “Employees’ Company Reputation-related Social Media Competence: Scale Development and Validation,” </w:t>
      </w:r>
      <w:r w:rsidRPr="00E65D3B">
        <w:rPr>
          <w:i/>
          <w:iCs/>
          <w:noProof/>
          <w:szCs w:val="24"/>
        </w:rPr>
        <w:t>J. Interact. Mark.</w:t>
      </w:r>
      <w:r w:rsidRPr="00E65D3B">
        <w:rPr>
          <w:noProof/>
          <w:szCs w:val="24"/>
        </w:rPr>
        <w:t>, vol. 36, pp. 46–59, 2016.</w:t>
      </w:r>
    </w:p>
    <w:p w14:paraId="2C2EB15D"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[47]</w:t>
      </w:r>
      <w:r w:rsidRPr="00E65D3B">
        <w:rPr>
          <w:noProof/>
          <w:szCs w:val="24"/>
        </w:rPr>
        <w:tab/>
        <w:t xml:space="preserve">S. M. Mudambi and D. Schuff, “What makes a helpful online review? A study of customer reviews on Amazon.com,” </w:t>
      </w:r>
      <w:r w:rsidRPr="00E65D3B">
        <w:rPr>
          <w:i/>
          <w:iCs/>
          <w:noProof/>
          <w:szCs w:val="24"/>
        </w:rPr>
        <w:t>MIS Q.</w:t>
      </w:r>
      <w:r w:rsidRPr="00E65D3B">
        <w:rPr>
          <w:noProof/>
          <w:szCs w:val="24"/>
        </w:rPr>
        <w:t>, vol. 34, no. 1, pp. 185–200, 2010.</w:t>
      </w:r>
    </w:p>
    <w:p w14:paraId="1657006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[48]</w:t>
      </w:r>
      <w:r w:rsidRPr="00E65D3B">
        <w:rPr>
          <w:noProof/>
          <w:szCs w:val="24"/>
        </w:rPr>
        <w:tab/>
        <w:t xml:space="preserve">D. Yin, S. D. Bond, and H. Zhang, “Anger in consumer reviews: unhelpful but persuasive?,” </w:t>
      </w:r>
      <w:r w:rsidRPr="00E65D3B">
        <w:rPr>
          <w:i/>
          <w:iCs/>
          <w:noProof/>
          <w:szCs w:val="24"/>
        </w:rPr>
        <w:t>Forthcom. MIS Q.</w:t>
      </w:r>
      <w:r w:rsidRPr="00E65D3B">
        <w:rPr>
          <w:noProof/>
          <w:szCs w:val="24"/>
        </w:rPr>
        <w:t>, pp. 1–74, 2020.</w:t>
      </w:r>
    </w:p>
    <w:p w14:paraId="22B61035"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[49]</w:t>
      </w:r>
      <w:r w:rsidRPr="00E65D3B">
        <w:rPr>
          <w:noProof/>
          <w:szCs w:val="24"/>
        </w:rPr>
        <w:tab/>
        <w:t xml:space="preserve">J. R. Edwards and R. P. Bagozzi, “On the nature and direction of relationships between constructs and measures,” </w:t>
      </w:r>
      <w:r w:rsidRPr="00E65D3B">
        <w:rPr>
          <w:i/>
          <w:iCs/>
          <w:noProof/>
          <w:szCs w:val="24"/>
        </w:rPr>
        <w:t>Psychol. Methods</w:t>
      </w:r>
      <w:r w:rsidRPr="00E65D3B">
        <w:rPr>
          <w:noProof/>
          <w:szCs w:val="24"/>
        </w:rPr>
        <w:t>, vol. 5, no. 2, pp. 155–174, 2000.</w:t>
      </w:r>
    </w:p>
    <w:p w14:paraId="3D9896F9"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[50]</w:t>
      </w:r>
      <w:r w:rsidRPr="00E65D3B">
        <w:rPr>
          <w:noProof/>
          <w:szCs w:val="24"/>
        </w:rPr>
        <w:tab/>
        <w:t xml:space="preserve">A. Lauffer, </w:t>
      </w:r>
      <w:r w:rsidRPr="00E65D3B">
        <w:rPr>
          <w:i/>
          <w:iCs/>
          <w:noProof/>
          <w:szCs w:val="24"/>
        </w:rPr>
        <w:t>Understanding your social agency</w:t>
      </w:r>
      <w:r w:rsidRPr="00E65D3B">
        <w:rPr>
          <w:noProof/>
          <w:szCs w:val="24"/>
        </w:rPr>
        <w:t>, 3rd ed. London: SAGE Publications Ltd, 2010.</w:t>
      </w:r>
    </w:p>
    <w:p w14:paraId="21E4A081"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[51]</w:t>
      </w:r>
      <w:r w:rsidRPr="00E65D3B">
        <w:rPr>
          <w:noProof/>
          <w:szCs w:val="24"/>
        </w:rPr>
        <w:tab/>
        <w:t xml:space="preserve">G. A. Bowen, “Naturalistic inquiry and the saturation concept: A research note,” </w:t>
      </w:r>
      <w:r w:rsidRPr="00E65D3B">
        <w:rPr>
          <w:i/>
          <w:iCs/>
          <w:noProof/>
          <w:szCs w:val="24"/>
        </w:rPr>
        <w:t>Qual. Res.</w:t>
      </w:r>
      <w:r w:rsidRPr="00E65D3B">
        <w:rPr>
          <w:noProof/>
          <w:szCs w:val="24"/>
        </w:rPr>
        <w:t>, vol. 8, no. 1, pp. 137–152, 2008.</w:t>
      </w:r>
    </w:p>
    <w:p w14:paraId="5AEE4ABB"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[52]</w:t>
      </w:r>
      <w:r w:rsidRPr="00E65D3B">
        <w:rPr>
          <w:noProof/>
          <w:szCs w:val="24"/>
        </w:rPr>
        <w:tab/>
        <w:t xml:space="preserve">R. J. Landis and G. G. Koch, “The Measurement of Observer Agreement for Categorical Data,” </w:t>
      </w:r>
      <w:r w:rsidRPr="00E65D3B">
        <w:rPr>
          <w:i/>
          <w:iCs/>
          <w:noProof/>
          <w:szCs w:val="24"/>
        </w:rPr>
        <w:t>Biometrics</w:t>
      </w:r>
      <w:r w:rsidRPr="00E65D3B">
        <w:rPr>
          <w:noProof/>
          <w:szCs w:val="24"/>
        </w:rPr>
        <w:t>, vol. 33, no. 1, pp. 159–174, 1977.</w:t>
      </w:r>
    </w:p>
    <w:p w14:paraId="02B5C7EC"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[53]</w:t>
      </w:r>
      <w:r w:rsidRPr="00E65D3B">
        <w:rPr>
          <w:noProof/>
          <w:szCs w:val="24"/>
        </w:rPr>
        <w:tab/>
        <w:t xml:space="preserve">J. E. Scott and S. Walczak, “Cognitive engagement with a multimedia ERP training tool: Assessing computer self-efficacy and technology acceptance,” </w:t>
      </w:r>
      <w:r w:rsidRPr="00E65D3B">
        <w:rPr>
          <w:i/>
          <w:iCs/>
          <w:noProof/>
          <w:szCs w:val="24"/>
        </w:rPr>
        <w:t>Inf. Manag.</w:t>
      </w:r>
      <w:r w:rsidRPr="00E65D3B">
        <w:rPr>
          <w:noProof/>
          <w:szCs w:val="24"/>
        </w:rPr>
        <w:t>, vol. 46, no. 4, pp. 221–232, 2009.</w:t>
      </w:r>
    </w:p>
    <w:p w14:paraId="12C3500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[54]</w:t>
      </w:r>
      <w:r w:rsidRPr="00E65D3B">
        <w:rPr>
          <w:noProof/>
          <w:szCs w:val="24"/>
        </w:rPr>
        <w:tab/>
        <w:t xml:space="preserve">K. A. Ericsson, N. Charness, P. J. Feltovich, and R. R. Hoffman, </w:t>
      </w:r>
      <w:r w:rsidRPr="00E65D3B">
        <w:rPr>
          <w:i/>
          <w:iCs/>
          <w:noProof/>
          <w:szCs w:val="24"/>
        </w:rPr>
        <w:t>The Cambridge Handbook of Expertise and Expert Performance</w:t>
      </w:r>
      <w:r w:rsidRPr="00E65D3B">
        <w:rPr>
          <w:noProof/>
          <w:szCs w:val="24"/>
        </w:rPr>
        <w:t>, no. 1. 2003.</w:t>
      </w:r>
    </w:p>
    <w:p w14:paraId="69E0CA5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[55]</w:t>
      </w:r>
      <w:r w:rsidRPr="00E65D3B">
        <w:rPr>
          <w:noProof/>
          <w:szCs w:val="24"/>
        </w:rPr>
        <w:tab/>
        <w:t xml:space="preserve">G. Miller, “The magical number seven, plus or minus two: Some limits on our capacity for processing information,” </w:t>
      </w:r>
      <w:r w:rsidRPr="00E65D3B">
        <w:rPr>
          <w:i/>
          <w:iCs/>
          <w:noProof/>
          <w:szCs w:val="24"/>
        </w:rPr>
        <w:t>Psychol. Rev.</w:t>
      </w:r>
      <w:r w:rsidRPr="00E65D3B">
        <w:rPr>
          <w:noProof/>
          <w:szCs w:val="24"/>
        </w:rPr>
        <w:t>, vol. 63, no. 2, pp. 81–97, 1956.</w:t>
      </w:r>
    </w:p>
    <w:p w14:paraId="6FC07C18"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[56]</w:t>
      </w:r>
      <w:r w:rsidRPr="00E65D3B">
        <w:rPr>
          <w:noProof/>
          <w:szCs w:val="24"/>
        </w:rPr>
        <w:tab/>
        <w:t xml:space="preserve">B. Weijters, E. Cabooter, and N. Schillewaert, “The effect of rating scale format on response styles: The number of response categories and response category labels,” </w:t>
      </w:r>
      <w:r w:rsidRPr="00E65D3B">
        <w:rPr>
          <w:i/>
          <w:iCs/>
          <w:noProof/>
          <w:szCs w:val="24"/>
        </w:rPr>
        <w:t>Int. J. Res. Mark.</w:t>
      </w:r>
      <w:r w:rsidRPr="00E65D3B">
        <w:rPr>
          <w:noProof/>
          <w:szCs w:val="24"/>
        </w:rPr>
        <w:t>, vol. 27, no. 3, pp. 236–247, 2010.</w:t>
      </w:r>
    </w:p>
    <w:p w14:paraId="46659FE7"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[57]</w:t>
      </w:r>
      <w:r w:rsidRPr="00E65D3B">
        <w:rPr>
          <w:noProof/>
          <w:szCs w:val="24"/>
        </w:rPr>
        <w:tab/>
        <w:t xml:space="preserve">L. J. Simms, K. Zelazny, T. F. Williams, and L. Bernstein, “Does the number of response options matter? Psychometric perspectives using personality questionnaire data,” </w:t>
      </w:r>
      <w:r w:rsidRPr="00E65D3B">
        <w:rPr>
          <w:i/>
          <w:iCs/>
          <w:noProof/>
          <w:szCs w:val="24"/>
        </w:rPr>
        <w:t>Psychol. Assess.</w:t>
      </w:r>
      <w:r w:rsidRPr="00E65D3B">
        <w:rPr>
          <w:noProof/>
          <w:szCs w:val="24"/>
        </w:rPr>
        <w:t>, vol. 31, no. 4, pp. 557–566, 2019.</w:t>
      </w:r>
    </w:p>
    <w:p w14:paraId="43B42C12"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[58]</w:t>
      </w:r>
      <w:r w:rsidRPr="00E65D3B">
        <w:rPr>
          <w:noProof/>
          <w:szCs w:val="24"/>
        </w:rPr>
        <w:tab/>
        <w:t xml:space="preserve">C. C. Preston and A. M. Colman, “Optimal number of response categories in rating scales: reliability, validity, discriminating power, and respondent preferences,” </w:t>
      </w:r>
      <w:r w:rsidRPr="00E65D3B">
        <w:rPr>
          <w:i/>
          <w:iCs/>
          <w:noProof/>
          <w:szCs w:val="24"/>
        </w:rPr>
        <w:t>Acta Psychol. (Amst).</w:t>
      </w:r>
      <w:r w:rsidRPr="00E65D3B">
        <w:rPr>
          <w:noProof/>
          <w:szCs w:val="24"/>
        </w:rPr>
        <w:t>, vol. 104, no. 1, pp. 1–15, 2000.</w:t>
      </w:r>
    </w:p>
    <w:p w14:paraId="720B8F7E"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[59]</w:t>
      </w:r>
      <w:r w:rsidRPr="00E65D3B">
        <w:rPr>
          <w:noProof/>
          <w:szCs w:val="24"/>
        </w:rPr>
        <w:tab/>
        <w:t xml:space="preserve">N. Borgers, J. Hox, and D. Sikkel, “Response effects in surveys on children and adolescents: The effect of number of response options, negative wording, and neutral mid-point,” </w:t>
      </w:r>
      <w:r w:rsidRPr="00E65D3B">
        <w:rPr>
          <w:i/>
          <w:iCs/>
          <w:noProof/>
          <w:szCs w:val="24"/>
        </w:rPr>
        <w:t>Qual. Quant.</w:t>
      </w:r>
      <w:r w:rsidRPr="00E65D3B">
        <w:rPr>
          <w:noProof/>
          <w:szCs w:val="24"/>
        </w:rPr>
        <w:t>, vol. 38, no. 1, pp. 17–33, 2004.</w:t>
      </w:r>
    </w:p>
    <w:p w14:paraId="408CD6A0"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[60]</w:t>
      </w:r>
      <w:r w:rsidRPr="00E65D3B">
        <w:rPr>
          <w:noProof/>
          <w:szCs w:val="24"/>
        </w:rPr>
        <w:tab/>
        <w:t xml:space="preserve">G. A. Churchill, “A paradigm for developing better measures of marketing constructs,” </w:t>
      </w:r>
      <w:r w:rsidRPr="00E65D3B">
        <w:rPr>
          <w:i/>
          <w:iCs/>
          <w:noProof/>
          <w:szCs w:val="24"/>
        </w:rPr>
        <w:t>J. Mark. Res.</w:t>
      </w:r>
      <w:r w:rsidRPr="00E65D3B">
        <w:rPr>
          <w:noProof/>
          <w:szCs w:val="24"/>
        </w:rPr>
        <w:t>, vol. 16, no. 1, p. 64, 1979.</w:t>
      </w:r>
    </w:p>
    <w:p w14:paraId="761289B8"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[61]</w:t>
      </w:r>
      <w:r w:rsidRPr="00E65D3B">
        <w:rPr>
          <w:noProof/>
          <w:szCs w:val="24"/>
        </w:rPr>
        <w:tab/>
        <w:t xml:space="preserve">A. De Raadt, M. J. Warrens, R. J. Bosker, and H. A. L. Kiers, “Kappa coefficients for missing data,” </w:t>
      </w:r>
      <w:r w:rsidRPr="00E65D3B">
        <w:rPr>
          <w:i/>
          <w:iCs/>
          <w:noProof/>
          <w:szCs w:val="24"/>
        </w:rPr>
        <w:t>Educ. Psychol. Meas.</w:t>
      </w:r>
      <w:r w:rsidRPr="00E65D3B">
        <w:rPr>
          <w:noProof/>
          <w:szCs w:val="24"/>
        </w:rPr>
        <w:t>, vol. 79, no. 3, pp. 558–576, 2019.</w:t>
      </w:r>
    </w:p>
    <w:p w14:paraId="403A50A1"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[62]</w:t>
      </w:r>
      <w:r w:rsidRPr="00E65D3B">
        <w:rPr>
          <w:noProof/>
          <w:szCs w:val="24"/>
        </w:rPr>
        <w:tab/>
        <w:t xml:space="preserve">M. Galesic and M. Bosnjak, “Effects of questionnaire length on participation and indicators of response quality in a Web Survey,” </w:t>
      </w:r>
      <w:r w:rsidRPr="00E65D3B">
        <w:rPr>
          <w:i/>
          <w:iCs/>
          <w:noProof/>
          <w:szCs w:val="24"/>
        </w:rPr>
        <w:t>Public Opin. Q.</w:t>
      </w:r>
      <w:r w:rsidRPr="00E65D3B">
        <w:rPr>
          <w:noProof/>
          <w:szCs w:val="24"/>
        </w:rPr>
        <w:t>, vol. 73, no. 2, pp. 349–360, May 2009.</w:t>
      </w:r>
    </w:p>
    <w:p w14:paraId="183402D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[63]</w:t>
      </w:r>
      <w:r w:rsidRPr="00E65D3B">
        <w:rPr>
          <w:noProof/>
          <w:szCs w:val="24"/>
        </w:rPr>
        <w:tab/>
        <w:t xml:space="preserve">M. Galesic, “Dropouts on the Web: Influence of changes in respondents’ interest and perceived burden during the Web survey,” </w:t>
      </w:r>
      <w:r w:rsidRPr="00E65D3B">
        <w:rPr>
          <w:i/>
          <w:iCs/>
          <w:noProof/>
          <w:szCs w:val="24"/>
        </w:rPr>
        <w:t>J. Off. Stat.</w:t>
      </w:r>
      <w:r w:rsidRPr="00E65D3B">
        <w:rPr>
          <w:noProof/>
          <w:szCs w:val="24"/>
        </w:rPr>
        <w:t>, vol. 22, no. 2, pp. 313–328, 2006.</w:t>
      </w:r>
    </w:p>
    <w:p w14:paraId="1E5D971F"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[64]</w:t>
      </w:r>
      <w:r w:rsidRPr="00E65D3B">
        <w:rPr>
          <w:noProof/>
          <w:szCs w:val="24"/>
        </w:rPr>
        <w:tab/>
        <w:t xml:space="preserve">W. R. Shadish, T. D. Cook, and D. T. Campbell, </w:t>
      </w:r>
      <w:r w:rsidRPr="00E65D3B">
        <w:rPr>
          <w:i/>
          <w:iCs/>
          <w:noProof/>
          <w:szCs w:val="24"/>
        </w:rPr>
        <w:t>Experimental and Quasi-Experimental for Generalized Designs Causal Inference</w:t>
      </w:r>
      <w:r w:rsidRPr="00E65D3B">
        <w:rPr>
          <w:noProof/>
          <w:szCs w:val="24"/>
        </w:rPr>
        <w:t>. Houghton Mifflin Company, 2002.</w:t>
      </w:r>
    </w:p>
    <w:p w14:paraId="077B4FC4"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[65]</w:t>
      </w:r>
      <w:r w:rsidRPr="00E65D3B">
        <w:rPr>
          <w:noProof/>
          <w:szCs w:val="24"/>
        </w:rPr>
        <w:tab/>
        <w:t xml:space="preserve">R. H. Hoyle, </w:t>
      </w:r>
      <w:r w:rsidRPr="00E65D3B">
        <w:rPr>
          <w:i/>
          <w:iCs/>
          <w:noProof/>
          <w:szCs w:val="24"/>
        </w:rPr>
        <w:t>Structural equation modeling: Concepts, issues, and applications</w:t>
      </w:r>
      <w:r w:rsidRPr="00E65D3B">
        <w:rPr>
          <w:noProof/>
          <w:szCs w:val="24"/>
        </w:rPr>
        <w:t>. Thousand Oaks, CA,: SAGE Publications, 1995.</w:t>
      </w:r>
    </w:p>
    <w:p w14:paraId="20AFBAF7"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[66]</w:t>
      </w:r>
      <w:r w:rsidRPr="00E65D3B">
        <w:rPr>
          <w:noProof/>
          <w:szCs w:val="24"/>
        </w:rPr>
        <w:tab/>
        <w:t xml:space="preserve">R. P. Bagozzi, “The legacy of the technology acceptance model and a proposal for a paradigm shift,” </w:t>
      </w:r>
      <w:r w:rsidRPr="00E65D3B">
        <w:rPr>
          <w:i/>
          <w:iCs/>
          <w:noProof/>
          <w:szCs w:val="24"/>
        </w:rPr>
        <w:t>J. Assoc. Inf. Syst.</w:t>
      </w:r>
      <w:r w:rsidRPr="00E65D3B">
        <w:rPr>
          <w:noProof/>
          <w:szCs w:val="24"/>
        </w:rPr>
        <w:t>, vol. 8, no. 4, pp. 244–254, 2007.</w:t>
      </w:r>
    </w:p>
    <w:p w14:paraId="10A46861"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[67]</w:t>
      </w:r>
      <w:r w:rsidRPr="00E65D3B">
        <w:rPr>
          <w:noProof/>
          <w:szCs w:val="24"/>
        </w:rPr>
        <w:tab/>
        <w:t xml:space="preserve">A. L. Lederer, D. J. Maupin, M. P. Sena, and Y. Zhuang, “Technology acceptance model and the World Wide Web,” </w:t>
      </w:r>
      <w:r w:rsidRPr="00E65D3B">
        <w:rPr>
          <w:i/>
          <w:iCs/>
          <w:noProof/>
          <w:szCs w:val="24"/>
        </w:rPr>
        <w:t>Decis. Support Syst.</w:t>
      </w:r>
      <w:r w:rsidRPr="00E65D3B">
        <w:rPr>
          <w:noProof/>
          <w:szCs w:val="24"/>
        </w:rPr>
        <w:t>, vol. 29, no. 3, pp. 269–282, 2000.</w:t>
      </w:r>
    </w:p>
    <w:p w14:paraId="0E451221"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[68]</w:t>
      </w:r>
      <w:r w:rsidRPr="00E65D3B">
        <w:rPr>
          <w:noProof/>
          <w:szCs w:val="24"/>
        </w:rPr>
        <w:tab/>
        <w:t xml:space="preserve">S. Sabbaghan, L. A. Gardner, and C. Chua, “Computer-Adaptive Surveys ( CAS ) as a means of answering questions of why,” </w:t>
      </w:r>
      <w:r w:rsidRPr="00E65D3B">
        <w:rPr>
          <w:i/>
          <w:iCs/>
          <w:noProof/>
          <w:szCs w:val="24"/>
        </w:rPr>
        <w:t>Pacific Asia Conf. Inf. Syst.</w:t>
      </w:r>
      <w:r w:rsidRPr="00E65D3B">
        <w:rPr>
          <w:noProof/>
          <w:szCs w:val="24"/>
        </w:rPr>
        <w:t>, pp. 1–15, 2017.</w:t>
      </w:r>
    </w:p>
    <w:p w14:paraId="0AD53B02"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[69]</w:t>
      </w:r>
      <w:r w:rsidRPr="00E65D3B">
        <w:rPr>
          <w:noProof/>
          <w:szCs w:val="24"/>
        </w:rPr>
        <w:tab/>
        <w:t xml:space="preserve">Y. Yoon, T. Guimaraes, and Q. O’Neal, “Exploring the factors associated with expert systems success,” </w:t>
      </w:r>
      <w:r w:rsidRPr="00E65D3B">
        <w:rPr>
          <w:i/>
          <w:iCs/>
          <w:noProof/>
          <w:szCs w:val="24"/>
        </w:rPr>
        <w:t>MIS Q.</w:t>
      </w:r>
      <w:r w:rsidRPr="00E65D3B">
        <w:rPr>
          <w:noProof/>
          <w:szCs w:val="24"/>
        </w:rPr>
        <w:t>, vol. 19, no. 1, pp. 83–106, 1995.</w:t>
      </w:r>
    </w:p>
    <w:p w14:paraId="314565FD"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[70]</w:t>
      </w:r>
      <w:r w:rsidRPr="00E65D3B">
        <w:rPr>
          <w:noProof/>
          <w:szCs w:val="24"/>
        </w:rPr>
        <w:tab/>
        <w:t xml:space="preserve">S. Dalal and R. S. Chhillar, “Empirical study of root cause analysis of software failure,” </w:t>
      </w:r>
      <w:r w:rsidRPr="00E65D3B">
        <w:rPr>
          <w:i/>
          <w:iCs/>
          <w:noProof/>
          <w:szCs w:val="24"/>
        </w:rPr>
        <w:t>ACM SIGSOFT Softw. Eng. Notes</w:t>
      </w:r>
      <w:r w:rsidRPr="00E65D3B">
        <w:rPr>
          <w:noProof/>
          <w:szCs w:val="24"/>
        </w:rPr>
        <w:t>, vol. 38, no. 4, p. 1, 2013.</w:t>
      </w:r>
    </w:p>
    <w:p w14:paraId="4E665F78"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[71]</w:t>
      </w:r>
      <w:r w:rsidRPr="00E65D3B">
        <w:rPr>
          <w:noProof/>
          <w:szCs w:val="24"/>
        </w:rPr>
        <w:tab/>
        <w:t xml:space="preserve">D. Dennehy and K. Conboy, “Going with the flow: An activity theory analysis of flow techniques in software development,” </w:t>
      </w:r>
      <w:r w:rsidRPr="00E65D3B">
        <w:rPr>
          <w:i/>
          <w:iCs/>
          <w:noProof/>
          <w:szCs w:val="24"/>
        </w:rPr>
        <w:t>J. Syst. Softw.</w:t>
      </w:r>
      <w:r w:rsidRPr="00E65D3B">
        <w:rPr>
          <w:noProof/>
          <w:szCs w:val="24"/>
        </w:rPr>
        <w:t>, vol. 133, pp. 160–173, 2017.</w:t>
      </w:r>
    </w:p>
    <w:p w14:paraId="4869602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[72]</w:t>
      </w:r>
      <w:r w:rsidRPr="00E65D3B">
        <w:rPr>
          <w:noProof/>
          <w:szCs w:val="24"/>
        </w:rPr>
        <w:tab/>
        <w:t xml:space="preserve">V. Viswanath and B. Hillol, “Technology acceptance model 3 and a research agenda on interventions,” </w:t>
      </w:r>
      <w:r w:rsidRPr="00E65D3B">
        <w:rPr>
          <w:i/>
          <w:iCs/>
          <w:noProof/>
          <w:szCs w:val="24"/>
        </w:rPr>
        <w:t>Decis. Sci.</w:t>
      </w:r>
      <w:r w:rsidRPr="00E65D3B">
        <w:rPr>
          <w:noProof/>
          <w:szCs w:val="24"/>
        </w:rPr>
        <w:t>, vol. 39, no. 2, pp. 273–315, 2008.</w:t>
      </w:r>
    </w:p>
    <w:p w14:paraId="0D9A7EAE" w14:textId="5E036DC3" w:rsidR="00507A7B" w:rsidRPr="00E65D3B" w:rsidRDefault="00507A7B" w:rsidP="00507A7B">
      <w:pPr>
        <w:widowControl w:val="0"/>
        <w:autoSpaceDE w:val="0"/>
        <w:autoSpaceDN w:val="0"/>
        <w:adjustRightInd w:val="0"/>
        <w:ind w:left="640" w:hanging="640"/>
        <w:rPr>
          <w:noProof/>
          <w:szCs w:val="24"/>
        </w:rPr>
      </w:pPr>
      <w:r w:rsidRPr="00E65D3B">
        <w:rPr>
          <w:noProof/>
          <w:szCs w:val="24"/>
        </w:rPr>
        <w:t>[73]</w:t>
      </w:r>
      <w:r w:rsidRPr="00E65D3B">
        <w:rPr>
          <w:noProof/>
          <w:szCs w:val="24"/>
        </w:rPr>
        <w:tab/>
        <w:t>T.-K. Yu, L.-C. Lu, and T.-F. Liu, “Exploring factors</w:t>
      </w:r>
      <w:r w:rsidR="00ED56D8">
        <w:rPr>
          <w:noProof/>
          <w:szCs w:val="24"/>
        </w:rPr>
        <w:t xml:space="preserve"> </w:t>
      </w:r>
      <w:r w:rsidRPr="00E65D3B">
        <w:rPr>
          <w:noProof/>
          <w:szCs w:val="24"/>
        </w:rPr>
        <w:t xml:space="preserve">that influence knowledge sharing behavior via weblogs,” </w:t>
      </w:r>
      <w:r w:rsidRPr="00E65D3B">
        <w:rPr>
          <w:i/>
          <w:iCs/>
          <w:noProof/>
          <w:szCs w:val="24"/>
        </w:rPr>
        <w:t>Comput. Human Behav.</w:t>
      </w:r>
      <w:r w:rsidRPr="00E65D3B">
        <w:rPr>
          <w:noProof/>
          <w:szCs w:val="24"/>
        </w:rPr>
        <w:t>, vol. 26, no. 1, pp. 32–41, Jan. 2010.</w:t>
      </w:r>
    </w:p>
    <w:p w14:paraId="7AFA89C3"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[74]</w:t>
      </w:r>
      <w:r w:rsidRPr="00E65D3B">
        <w:rPr>
          <w:noProof/>
          <w:szCs w:val="24"/>
        </w:rPr>
        <w:tab/>
        <w:t xml:space="preserve">B. J. Calder, L. W. Phillips, and A. M. Tybout, “Beyond external validity beyond external validity,” </w:t>
      </w:r>
      <w:r w:rsidRPr="00E65D3B">
        <w:rPr>
          <w:i/>
          <w:iCs/>
          <w:noProof/>
          <w:szCs w:val="24"/>
        </w:rPr>
        <w:t>J. Consum. Res.</w:t>
      </w:r>
      <w:r w:rsidRPr="00E65D3B">
        <w:rPr>
          <w:noProof/>
          <w:szCs w:val="24"/>
        </w:rPr>
        <w:t>, vol. 10, no. 1, pp. 112–114, 1983.</w:t>
      </w:r>
    </w:p>
    <w:p w14:paraId="7883F2A6" w14:textId="77777777" w:rsidR="00507A7B" w:rsidRPr="00E65D3B" w:rsidRDefault="00507A7B" w:rsidP="00507A7B">
      <w:pPr>
        <w:widowControl w:val="0"/>
        <w:autoSpaceDE w:val="0"/>
        <w:autoSpaceDN w:val="0"/>
        <w:adjustRightInd w:val="0"/>
        <w:ind w:left="640" w:hanging="640"/>
        <w:rPr>
          <w:noProof/>
          <w:szCs w:val="24"/>
        </w:rPr>
      </w:pPr>
      <w:r w:rsidRPr="00E65D3B">
        <w:rPr>
          <w:noProof/>
          <w:szCs w:val="24"/>
        </w:rPr>
        <w:t>[75]</w:t>
      </w:r>
      <w:r w:rsidRPr="00E65D3B">
        <w:rPr>
          <w:noProof/>
          <w:szCs w:val="24"/>
        </w:rPr>
        <w:tab/>
        <w:t xml:space="preserve">S. B. Mackenzie, P. M. Podsakoff, and N. P. Podsakoff, “Construct measurement and validation procedures in Mis and Behavioral Research : Integrating new and existing techniques,” </w:t>
      </w:r>
      <w:r w:rsidRPr="00E65D3B">
        <w:rPr>
          <w:i/>
          <w:iCs/>
          <w:noProof/>
          <w:szCs w:val="24"/>
        </w:rPr>
        <w:t>MIS Q.</w:t>
      </w:r>
      <w:r w:rsidRPr="00E65D3B">
        <w:rPr>
          <w:noProof/>
          <w:szCs w:val="24"/>
        </w:rPr>
        <w:t>, vol. 35, no. 2, pp. 293–334, 2011.</w:t>
      </w:r>
    </w:p>
    <w:p w14:paraId="0BA0F8A6" w14:textId="77777777" w:rsidR="008C6420" w:rsidRPr="00E65D3B" w:rsidRDefault="00507A7B" w:rsidP="008C6420">
      <w:pPr>
        <w:widowControl w:val="0"/>
        <w:autoSpaceDE w:val="0"/>
        <w:autoSpaceDN w:val="0"/>
        <w:adjustRightInd w:val="0"/>
        <w:ind w:left="640" w:hanging="640"/>
        <w:rPr>
          <w:noProof/>
          <w:szCs w:val="24"/>
        </w:rPr>
      </w:pPr>
      <w:r w:rsidRPr="00E65D3B">
        <w:rPr>
          <w:noProof/>
          <w:szCs w:val="24"/>
        </w:rPr>
        <w:t>[76]</w:t>
      </w:r>
      <w:r w:rsidRPr="00E65D3B">
        <w:rPr>
          <w:noProof/>
          <w:szCs w:val="24"/>
        </w:rPr>
        <w:tab/>
        <w:t xml:space="preserve">A. Diamantopoulos, P. Riefler, and K. P. </w:t>
      </w:r>
      <w:bookmarkStart w:id="85" w:name="_Hlk70589570"/>
      <w:r w:rsidR="008C6420" w:rsidRPr="00DC0856">
        <w:rPr>
          <w:szCs w:val="24"/>
        </w:rPr>
        <w:fldChar w:fldCharType="begin" w:fldLock="1"/>
      </w:r>
      <w:r w:rsidR="008C6420" w:rsidRPr="00DC0856">
        <w:rPr>
          <w:szCs w:val="24"/>
        </w:rPr>
        <w:instrText xml:space="preserve">ADDIN Mendeley Bibliography CSL_BIBLIOGRAPHY </w:instrText>
      </w:r>
      <w:r w:rsidR="008C6420" w:rsidRPr="00DC0856">
        <w:rPr>
          <w:szCs w:val="24"/>
        </w:rPr>
        <w:fldChar w:fldCharType="separate"/>
      </w:r>
      <w:r w:rsidR="008C6420" w:rsidRPr="00E65D3B">
        <w:rPr>
          <w:noProof/>
          <w:szCs w:val="24"/>
        </w:rPr>
        <w:t>[1]</w:t>
      </w:r>
      <w:r w:rsidR="008C6420" w:rsidRPr="00E65D3B">
        <w:rPr>
          <w:noProof/>
          <w:szCs w:val="24"/>
        </w:rPr>
        <w:tab/>
        <w:t xml:space="preserve">E. Shortliffe, </w:t>
      </w:r>
      <w:r w:rsidR="008C6420" w:rsidRPr="00E65D3B">
        <w:rPr>
          <w:i/>
          <w:iCs/>
          <w:noProof/>
          <w:szCs w:val="24"/>
        </w:rPr>
        <w:t>Computer-based medical consultations: MYCIN</w:t>
      </w:r>
      <w:r w:rsidR="008C6420" w:rsidRPr="00E65D3B">
        <w:rPr>
          <w:noProof/>
          <w:szCs w:val="24"/>
        </w:rPr>
        <w:t>, (Vol. 2). Elsevier., 2012.</w:t>
      </w:r>
    </w:p>
    <w:p w14:paraId="12BDE633" w14:textId="7ED473B2" w:rsidR="008C6420" w:rsidRDefault="008C6420" w:rsidP="008C6420">
      <w:pPr>
        <w:autoSpaceDE w:val="0"/>
        <w:autoSpaceDN w:val="0"/>
        <w:adjustRightInd w:val="0"/>
        <w:contextualSpacing/>
        <w:rPr>
          <w:szCs w:val="24"/>
        </w:rPr>
      </w:pPr>
      <w:r w:rsidRPr="00DC0856">
        <w:rPr>
          <w:szCs w:val="24"/>
        </w:rPr>
        <w:fldChar w:fldCharType="end"/>
      </w:r>
      <w:bookmarkStart w:id="86" w:name="_Hlk70589680"/>
      <w:bookmarkEnd w:id="85"/>
    </w:p>
    <w:p w14:paraId="37677F08" w14:textId="0C8973D8" w:rsidR="00ED56D8" w:rsidRDefault="00ED56D8" w:rsidP="008C6420">
      <w:pPr>
        <w:autoSpaceDE w:val="0"/>
        <w:autoSpaceDN w:val="0"/>
        <w:adjustRightInd w:val="0"/>
        <w:contextualSpacing/>
        <w:rPr>
          <w:szCs w:val="24"/>
        </w:rPr>
      </w:pPr>
    </w:p>
    <w:p w14:paraId="2F10689D" w14:textId="77777777" w:rsidR="00ED56D8" w:rsidRDefault="00ED56D8" w:rsidP="00ED56D8">
      <w:pPr>
        <w:autoSpaceDE w:val="0"/>
        <w:autoSpaceDN w:val="0"/>
        <w:adjustRightInd w:val="0"/>
        <w:contextualSpacing/>
        <w:jc w:val="both"/>
        <w:rPr>
          <w:rFonts w:eastAsia="Calibri"/>
          <w:iCs/>
          <w:szCs w:val="24"/>
          <w:lang w:val="en-GB"/>
        </w:rPr>
      </w:pPr>
      <w:r w:rsidRPr="00530EA2">
        <w:rPr>
          <w:rFonts w:eastAsia="Calibri"/>
          <w:b/>
          <w:bCs/>
          <w:iCs/>
          <w:szCs w:val="24"/>
          <w:lang w:val="en-GB"/>
        </w:rPr>
        <w:t>Sahar Sabbaghan</w:t>
      </w:r>
      <w:r w:rsidRPr="00530EA2">
        <w:rPr>
          <w:rFonts w:eastAsia="Calibri"/>
          <w:iCs/>
          <w:szCs w:val="24"/>
          <w:lang w:val="en-GB"/>
        </w:rPr>
        <w:t xml:space="preserve"> is a Lecturer at London South Bank University, UK. She received a PhD in Information Systems from University of Auckland. Her main research interest is in creating new research methodologies for Information Systems. She has several publications in top conference proceedings and </w:t>
      </w:r>
      <w:r>
        <w:rPr>
          <w:rFonts w:eastAsia="Calibri"/>
          <w:iCs/>
          <w:szCs w:val="24"/>
          <w:lang w:val="en-GB"/>
        </w:rPr>
        <w:t>j</w:t>
      </w:r>
      <w:r w:rsidRPr="00530EA2">
        <w:rPr>
          <w:rFonts w:eastAsia="Calibri"/>
          <w:iCs/>
          <w:szCs w:val="24"/>
          <w:lang w:val="en-GB"/>
        </w:rPr>
        <w:t>ournals.</w:t>
      </w:r>
    </w:p>
    <w:p w14:paraId="238A226F" w14:textId="77777777" w:rsidR="00ED56D8" w:rsidRPr="00530EA2" w:rsidRDefault="00ED56D8" w:rsidP="00ED56D8">
      <w:pPr>
        <w:autoSpaceDE w:val="0"/>
        <w:autoSpaceDN w:val="0"/>
        <w:adjustRightInd w:val="0"/>
        <w:contextualSpacing/>
        <w:jc w:val="both"/>
        <w:rPr>
          <w:rFonts w:eastAsia="Calibri"/>
          <w:iCs/>
          <w:szCs w:val="24"/>
          <w:lang w:val="en-GB"/>
        </w:rPr>
      </w:pPr>
    </w:p>
    <w:p w14:paraId="0557B62C" w14:textId="77777777" w:rsidR="00ED56D8" w:rsidRPr="00530EA2" w:rsidRDefault="00ED56D8" w:rsidP="00ED56D8">
      <w:pPr>
        <w:contextualSpacing/>
        <w:jc w:val="both"/>
        <w:rPr>
          <w:rFonts w:eastAsia="Calibri"/>
          <w:iCs/>
          <w:szCs w:val="24"/>
          <w:lang w:val="en-GB"/>
        </w:rPr>
      </w:pPr>
      <w:r w:rsidRPr="00530EA2">
        <w:rPr>
          <w:rFonts w:eastAsia="Calibri"/>
          <w:b/>
          <w:bCs/>
          <w:iCs/>
          <w:szCs w:val="24"/>
          <w:lang w:val="en-GB"/>
        </w:rPr>
        <w:t>Cecil Eng Huang Chua</w:t>
      </w:r>
      <w:r w:rsidRPr="00530EA2">
        <w:rPr>
          <w:rFonts w:eastAsia="Calibri"/>
          <w:iCs/>
          <w:szCs w:val="24"/>
          <w:lang w:val="en-GB"/>
        </w:rPr>
        <w:t xml:space="preserve"> is an Associate Professor at </w:t>
      </w:r>
      <w:r>
        <w:rPr>
          <w:rFonts w:eastAsia="Calibri"/>
          <w:iCs/>
          <w:szCs w:val="24"/>
          <w:lang w:val="en-GB"/>
        </w:rPr>
        <w:t xml:space="preserve">the </w:t>
      </w:r>
      <w:r w:rsidRPr="00530EA2">
        <w:rPr>
          <w:rFonts w:eastAsia="Calibri"/>
          <w:iCs/>
          <w:szCs w:val="24"/>
          <w:lang w:val="en-GB"/>
        </w:rPr>
        <w:t>Missouri University of Science and Technology, USA. Cecil has several publications in such journals as Information Systems Research, Journal of the AIS, MIS Quarterly and the VLDB Journal.  He is a</w:t>
      </w:r>
      <w:r>
        <w:rPr>
          <w:rFonts w:eastAsia="Calibri"/>
          <w:iCs/>
          <w:szCs w:val="24"/>
          <w:lang w:val="en-GB"/>
        </w:rPr>
        <w:t xml:space="preserve">n </w:t>
      </w:r>
      <w:r w:rsidRPr="00530EA2">
        <w:rPr>
          <w:rFonts w:eastAsia="Calibri"/>
          <w:iCs/>
          <w:szCs w:val="24"/>
          <w:lang w:val="en-GB"/>
        </w:rPr>
        <w:t xml:space="preserve">editor for </w:t>
      </w:r>
      <w:r>
        <w:rPr>
          <w:rFonts w:eastAsia="Calibri"/>
          <w:iCs/>
          <w:szCs w:val="24"/>
          <w:lang w:val="en-GB"/>
        </w:rPr>
        <w:t xml:space="preserve">multiple journals including the Information Systems Journal and </w:t>
      </w:r>
      <w:r w:rsidRPr="00530EA2">
        <w:rPr>
          <w:rFonts w:eastAsia="Calibri"/>
          <w:iCs/>
          <w:szCs w:val="24"/>
          <w:lang w:val="en-GB"/>
        </w:rPr>
        <w:t xml:space="preserve">Information &amp; Management. </w:t>
      </w:r>
    </w:p>
    <w:p w14:paraId="10F47228" w14:textId="77777777" w:rsidR="00ED56D8" w:rsidRDefault="00ED56D8" w:rsidP="00ED56D8">
      <w:pPr>
        <w:jc w:val="both"/>
        <w:rPr>
          <w:b/>
          <w:bCs/>
          <w:color w:val="000000"/>
          <w:szCs w:val="24"/>
          <w:shd w:val="clear" w:color="auto" w:fill="FFFFFF"/>
          <w:lang w:val="en-GB"/>
        </w:rPr>
      </w:pPr>
    </w:p>
    <w:p w14:paraId="0CCC168A" w14:textId="77777777" w:rsidR="00ED56D8" w:rsidRPr="00ED56D8" w:rsidRDefault="00ED56D8" w:rsidP="00ED56D8">
      <w:pPr>
        <w:jc w:val="both"/>
        <w:rPr>
          <w:szCs w:val="24"/>
          <w:lang w:val="en-GB"/>
        </w:rPr>
      </w:pPr>
      <w:r w:rsidRPr="00530EA2">
        <w:rPr>
          <w:b/>
          <w:bCs/>
          <w:color w:val="000000"/>
          <w:szCs w:val="24"/>
          <w:shd w:val="clear" w:color="auto" w:fill="FFFFFF"/>
          <w:lang w:val="en-GB"/>
        </w:rPr>
        <w:t>Lesley Gardner</w:t>
      </w:r>
      <w:r w:rsidRPr="00530EA2">
        <w:rPr>
          <w:color w:val="000000"/>
          <w:szCs w:val="24"/>
          <w:shd w:val="clear" w:color="auto" w:fill="FFFFFF"/>
          <w:lang w:val="en-GB"/>
        </w:rPr>
        <w:t xml:space="preserve"> is an Associate Professor and Deputy Head of Information Systems and Operations Management, </w:t>
      </w:r>
      <w:r>
        <w:rPr>
          <w:color w:val="000000"/>
          <w:szCs w:val="24"/>
          <w:shd w:val="clear" w:color="auto" w:fill="FFFFFF"/>
          <w:lang w:val="en-GB"/>
        </w:rPr>
        <w:t xml:space="preserve">at the </w:t>
      </w:r>
      <w:r w:rsidRPr="00530EA2">
        <w:rPr>
          <w:color w:val="000000"/>
          <w:szCs w:val="24"/>
          <w:shd w:val="clear" w:color="auto" w:fill="FFFFFF"/>
          <w:lang w:val="en-GB"/>
        </w:rPr>
        <w:t>University of Auckland, NZ. She has over 120 publications in top conference proceedings and Journals. Her research areas focus on hypermedia, digital documents, and digital influences on society.</w:t>
      </w:r>
    </w:p>
    <w:p w14:paraId="63A23296" w14:textId="681DB2EA" w:rsidR="00ED56D8" w:rsidRDefault="00ED56D8" w:rsidP="008C6420">
      <w:pPr>
        <w:autoSpaceDE w:val="0"/>
        <w:autoSpaceDN w:val="0"/>
        <w:adjustRightInd w:val="0"/>
        <w:contextualSpacing/>
        <w:rPr>
          <w:szCs w:val="24"/>
        </w:rPr>
      </w:pPr>
    </w:p>
    <w:p w14:paraId="5665BAE9" w14:textId="48BCD2D8" w:rsidR="00ED56D8" w:rsidRDefault="00ED56D8" w:rsidP="008C6420">
      <w:pPr>
        <w:autoSpaceDE w:val="0"/>
        <w:autoSpaceDN w:val="0"/>
        <w:adjustRightInd w:val="0"/>
        <w:contextualSpacing/>
        <w:rPr>
          <w:szCs w:val="24"/>
        </w:rPr>
      </w:pPr>
    </w:p>
    <w:p w14:paraId="0EF18250" w14:textId="69CF7F24" w:rsidR="00ED56D8" w:rsidRDefault="00ED56D8" w:rsidP="008C6420">
      <w:pPr>
        <w:autoSpaceDE w:val="0"/>
        <w:autoSpaceDN w:val="0"/>
        <w:adjustRightInd w:val="0"/>
        <w:contextualSpacing/>
        <w:rPr>
          <w:szCs w:val="24"/>
        </w:rPr>
      </w:pPr>
    </w:p>
    <w:p w14:paraId="584D7A31" w14:textId="69763EE2" w:rsidR="00ED56D8" w:rsidRDefault="00ED56D8" w:rsidP="008C6420">
      <w:pPr>
        <w:autoSpaceDE w:val="0"/>
        <w:autoSpaceDN w:val="0"/>
        <w:adjustRightInd w:val="0"/>
        <w:contextualSpacing/>
        <w:rPr>
          <w:szCs w:val="24"/>
        </w:rPr>
      </w:pPr>
    </w:p>
    <w:p w14:paraId="7857601B" w14:textId="504B7212" w:rsidR="00ED56D8" w:rsidRDefault="00ED56D8" w:rsidP="008C6420">
      <w:pPr>
        <w:autoSpaceDE w:val="0"/>
        <w:autoSpaceDN w:val="0"/>
        <w:adjustRightInd w:val="0"/>
        <w:contextualSpacing/>
        <w:rPr>
          <w:szCs w:val="24"/>
        </w:rPr>
      </w:pPr>
    </w:p>
    <w:p w14:paraId="79640FDA" w14:textId="4CF0182D" w:rsidR="00ED56D8" w:rsidRDefault="00ED56D8" w:rsidP="008C6420">
      <w:pPr>
        <w:autoSpaceDE w:val="0"/>
        <w:autoSpaceDN w:val="0"/>
        <w:adjustRightInd w:val="0"/>
        <w:contextualSpacing/>
        <w:rPr>
          <w:szCs w:val="24"/>
        </w:rPr>
      </w:pPr>
    </w:p>
    <w:p w14:paraId="31DC5821" w14:textId="2349821C" w:rsidR="00ED56D8" w:rsidRDefault="00ED56D8" w:rsidP="008C6420">
      <w:pPr>
        <w:autoSpaceDE w:val="0"/>
        <w:autoSpaceDN w:val="0"/>
        <w:adjustRightInd w:val="0"/>
        <w:contextualSpacing/>
        <w:rPr>
          <w:szCs w:val="24"/>
        </w:rPr>
      </w:pPr>
    </w:p>
    <w:p w14:paraId="561122DE" w14:textId="50E00290" w:rsidR="00ED56D8" w:rsidRDefault="00ED56D8" w:rsidP="008C6420">
      <w:pPr>
        <w:autoSpaceDE w:val="0"/>
        <w:autoSpaceDN w:val="0"/>
        <w:adjustRightInd w:val="0"/>
        <w:contextualSpacing/>
        <w:rPr>
          <w:szCs w:val="24"/>
        </w:rPr>
      </w:pPr>
    </w:p>
    <w:p w14:paraId="3CCF1C2A" w14:textId="3A0A5BFF" w:rsidR="00ED56D8" w:rsidRDefault="00ED56D8" w:rsidP="008C6420">
      <w:pPr>
        <w:autoSpaceDE w:val="0"/>
        <w:autoSpaceDN w:val="0"/>
        <w:adjustRightInd w:val="0"/>
        <w:contextualSpacing/>
        <w:rPr>
          <w:szCs w:val="24"/>
        </w:rPr>
      </w:pPr>
    </w:p>
    <w:p w14:paraId="3A780C5F" w14:textId="33A74547" w:rsidR="00ED56D8" w:rsidRDefault="00ED56D8" w:rsidP="008C6420">
      <w:pPr>
        <w:autoSpaceDE w:val="0"/>
        <w:autoSpaceDN w:val="0"/>
        <w:adjustRightInd w:val="0"/>
        <w:contextualSpacing/>
        <w:rPr>
          <w:szCs w:val="24"/>
        </w:rPr>
      </w:pPr>
    </w:p>
    <w:p w14:paraId="33199048" w14:textId="3D30794D" w:rsidR="00ED56D8" w:rsidRDefault="00ED56D8" w:rsidP="008C6420">
      <w:pPr>
        <w:autoSpaceDE w:val="0"/>
        <w:autoSpaceDN w:val="0"/>
        <w:adjustRightInd w:val="0"/>
        <w:contextualSpacing/>
        <w:rPr>
          <w:szCs w:val="24"/>
        </w:rPr>
      </w:pPr>
    </w:p>
    <w:p w14:paraId="07AA50F3" w14:textId="2B069260" w:rsidR="00ED56D8" w:rsidRDefault="00ED56D8" w:rsidP="008C6420">
      <w:pPr>
        <w:autoSpaceDE w:val="0"/>
        <w:autoSpaceDN w:val="0"/>
        <w:adjustRightInd w:val="0"/>
        <w:contextualSpacing/>
        <w:rPr>
          <w:szCs w:val="24"/>
        </w:rPr>
      </w:pPr>
    </w:p>
    <w:p w14:paraId="362A2AC4" w14:textId="7AE3B98A" w:rsidR="00ED56D8" w:rsidRDefault="00ED56D8" w:rsidP="008C6420">
      <w:pPr>
        <w:autoSpaceDE w:val="0"/>
        <w:autoSpaceDN w:val="0"/>
        <w:adjustRightInd w:val="0"/>
        <w:contextualSpacing/>
        <w:rPr>
          <w:szCs w:val="24"/>
        </w:rPr>
      </w:pPr>
    </w:p>
    <w:p w14:paraId="0D51DE78" w14:textId="007052E3" w:rsidR="00ED56D8" w:rsidRDefault="00ED56D8" w:rsidP="008C6420">
      <w:pPr>
        <w:autoSpaceDE w:val="0"/>
        <w:autoSpaceDN w:val="0"/>
        <w:adjustRightInd w:val="0"/>
        <w:contextualSpacing/>
        <w:rPr>
          <w:szCs w:val="24"/>
        </w:rPr>
      </w:pPr>
    </w:p>
    <w:p w14:paraId="70287354" w14:textId="10BB81BA" w:rsidR="00ED56D8" w:rsidRDefault="00ED56D8" w:rsidP="008C6420">
      <w:pPr>
        <w:autoSpaceDE w:val="0"/>
        <w:autoSpaceDN w:val="0"/>
        <w:adjustRightInd w:val="0"/>
        <w:contextualSpacing/>
        <w:rPr>
          <w:szCs w:val="24"/>
        </w:rPr>
      </w:pPr>
    </w:p>
    <w:p w14:paraId="046C6B8E" w14:textId="47D5FFAB" w:rsidR="00ED56D8" w:rsidRDefault="00ED56D8" w:rsidP="008C6420">
      <w:pPr>
        <w:autoSpaceDE w:val="0"/>
        <w:autoSpaceDN w:val="0"/>
        <w:adjustRightInd w:val="0"/>
        <w:contextualSpacing/>
        <w:rPr>
          <w:szCs w:val="24"/>
        </w:rPr>
      </w:pPr>
    </w:p>
    <w:p w14:paraId="77BE225A" w14:textId="07C24AC0" w:rsidR="00ED56D8" w:rsidRDefault="00ED56D8" w:rsidP="008C6420">
      <w:pPr>
        <w:autoSpaceDE w:val="0"/>
        <w:autoSpaceDN w:val="0"/>
        <w:adjustRightInd w:val="0"/>
        <w:contextualSpacing/>
        <w:rPr>
          <w:szCs w:val="24"/>
        </w:rPr>
      </w:pPr>
    </w:p>
    <w:p w14:paraId="43BA53E2" w14:textId="65AD9FDC" w:rsidR="00ED56D8" w:rsidRDefault="00ED56D8" w:rsidP="008C6420">
      <w:pPr>
        <w:autoSpaceDE w:val="0"/>
        <w:autoSpaceDN w:val="0"/>
        <w:adjustRightInd w:val="0"/>
        <w:contextualSpacing/>
        <w:rPr>
          <w:szCs w:val="24"/>
        </w:rPr>
      </w:pPr>
    </w:p>
    <w:p w14:paraId="50DAACE3" w14:textId="15605CC7" w:rsidR="00ED56D8" w:rsidRDefault="00ED56D8" w:rsidP="008C6420">
      <w:pPr>
        <w:autoSpaceDE w:val="0"/>
        <w:autoSpaceDN w:val="0"/>
        <w:adjustRightInd w:val="0"/>
        <w:contextualSpacing/>
        <w:rPr>
          <w:szCs w:val="24"/>
        </w:rPr>
      </w:pPr>
    </w:p>
    <w:p w14:paraId="2CD3FB96" w14:textId="7C9EE702" w:rsidR="00ED56D8" w:rsidRDefault="00ED56D8" w:rsidP="008C6420">
      <w:pPr>
        <w:autoSpaceDE w:val="0"/>
        <w:autoSpaceDN w:val="0"/>
        <w:adjustRightInd w:val="0"/>
        <w:contextualSpacing/>
        <w:rPr>
          <w:szCs w:val="24"/>
        </w:rPr>
      </w:pPr>
    </w:p>
    <w:p w14:paraId="771128DE" w14:textId="2403FE26" w:rsidR="00ED56D8" w:rsidRDefault="00ED56D8" w:rsidP="008C6420">
      <w:pPr>
        <w:autoSpaceDE w:val="0"/>
        <w:autoSpaceDN w:val="0"/>
        <w:adjustRightInd w:val="0"/>
        <w:contextualSpacing/>
        <w:rPr>
          <w:szCs w:val="24"/>
        </w:rPr>
      </w:pPr>
    </w:p>
    <w:p w14:paraId="4839AB21" w14:textId="52DD339A" w:rsidR="00ED56D8" w:rsidRDefault="00ED56D8" w:rsidP="008C6420">
      <w:pPr>
        <w:autoSpaceDE w:val="0"/>
        <w:autoSpaceDN w:val="0"/>
        <w:adjustRightInd w:val="0"/>
        <w:contextualSpacing/>
        <w:rPr>
          <w:szCs w:val="24"/>
        </w:rPr>
      </w:pPr>
    </w:p>
    <w:p w14:paraId="0B116DE5" w14:textId="2EFFB8DF" w:rsidR="00ED56D8" w:rsidRDefault="00ED56D8" w:rsidP="008C6420">
      <w:pPr>
        <w:autoSpaceDE w:val="0"/>
        <w:autoSpaceDN w:val="0"/>
        <w:adjustRightInd w:val="0"/>
        <w:contextualSpacing/>
        <w:rPr>
          <w:szCs w:val="24"/>
        </w:rPr>
      </w:pPr>
    </w:p>
    <w:p w14:paraId="23641FDA" w14:textId="4146A3F8" w:rsidR="00ED56D8" w:rsidRDefault="00ED56D8" w:rsidP="008C6420">
      <w:pPr>
        <w:autoSpaceDE w:val="0"/>
        <w:autoSpaceDN w:val="0"/>
        <w:adjustRightInd w:val="0"/>
        <w:contextualSpacing/>
        <w:rPr>
          <w:szCs w:val="24"/>
        </w:rPr>
      </w:pPr>
    </w:p>
    <w:p w14:paraId="4E0D396F" w14:textId="3780D64A" w:rsidR="00ED56D8" w:rsidRDefault="00ED56D8" w:rsidP="008C6420">
      <w:pPr>
        <w:autoSpaceDE w:val="0"/>
        <w:autoSpaceDN w:val="0"/>
        <w:adjustRightInd w:val="0"/>
        <w:contextualSpacing/>
        <w:rPr>
          <w:szCs w:val="24"/>
        </w:rPr>
      </w:pPr>
    </w:p>
    <w:p w14:paraId="64A9A14F" w14:textId="3E1D18EB" w:rsidR="00ED56D8" w:rsidRDefault="00ED56D8" w:rsidP="008C6420">
      <w:pPr>
        <w:autoSpaceDE w:val="0"/>
        <w:autoSpaceDN w:val="0"/>
        <w:adjustRightInd w:val="0"/>
        <w:contextualSpacing/>
        <w:rPr>
          <w:szCs w:val="24"/>
        </w:rPr>
      </w:pPr>
    </w:p>
    <w:p w14:paraId="7D51CBAF" w14:textId="38C76C86" w:rsidR="00ED56D8" w:rsidRDefault="00ED56D8" w:rsidP="008C6420">
      <w:pPr>
        <w:autoSpaceDE w:val="0"/>
        <w:autoSpaceDN w:val="0"/>
        <w:adjustRightInd w:val="0"/>
        <w:contextualSpacing/>
        <w:rPr>
          <w:szCs w:val="24"/>
        </w:rPr>
      </w:pPr>
    </w:p>
    <w:p w14:paraId="559B12FE" w14:textId="77719887" w:rsidR="00ED56D8" w:rsidRDefault="00ED56D8" w:rsidP="008C6420">
      <w:pPr>
        <w:autoSpaceDE w:val="0"/>
        <w:autoSpaceDN w:val="0"/>
        <w:adjustRightInd w:val="0"/>
        <w:contextualSpacing/>
        <w:rPr>
          <w:szCs w:val="24"/>
        </w:rPr>
      </w:pPr>
    </w:p>
    <w:p w14:paraId="5BF55E6A" w14:textId="2E56055B" w:rsidR="00ED56D8" w:rsidRDefault="00ED56D8" w:rsidP="008C6420">
      <w:pPr>
        <w:autoSpaceDE w:val="0"/>
        <w:autoSpaceDN w:val="0"/>
        <w:adjustRightInd w:val="0"/>
        <w:contextualSpacing/>
        <w:rPr>
          <w:szCs w:val="24"/>
        </w:rPr>
      </w:pPr>
    </w:p>
    <w:p w14:paraId="35182DC1" w14:textId="77777777" w:rsidR="00ED56D8" w:rsidRPr="00ED56D8" w:rsidRDefault="00ED56D8" w:rsidP="008C6420">
      <w:pPr>
        <w:autoSpaceDE w:val="0"/>
        <w:autoSpaceDN w:val="0"/>
        <w:adjustRightInd w:val="0"/>
        <w:contextualSpacing/>
        <w:rPr>
          <w:szCs w:val="24"/>
        </w:rPr>
      </w:pPr>
    </w:p>
    <w:bookmarkEnd w:id="86"/>
    <w:p w14:paraId="621A93B9" w14:textId="4EDDA80E" w:rsidR="00B65BD3" w:rsidRPr="008E0645" w:rsidRDefault="00507A7B" w:rsidP="00ED56D8">
      <w:pPr>
        <w:autoSpaceDE w:val="0"/>
        <w:autoSpaceDN w:val="0"/>
        <w:adjustRightInd w:val="0"/>
        <w:contextualSpacing/>
        <w:jc w:val="both"/>
        <w:rPr>
          <w:rFonts w:ascii="Times-Roman" w:hAnsi="Times-Roman" w:cs="Times-Roman"/>
        </w:rPr>
      </w:pPr>
      <w:r w:rsidRPr="00DC0856">
        <w:rPr>
          <w:szCs w:val="24"/>
        </w:rPr>
        <w:fldChar w:fldCharType="end"/>
      </w:r>
      <w:bookmarkStart w:id="87" w:name="_Hlk71635114"/>
      <w:r w:rsidR="00ED56D8" w:rsidRPr="00ED56D8">
        <w:rPr>
          <w:rFonts w:eastAsia="Calibri"/>
          <w:b/>
          <w:bCs/>
          <w:iCs/>
          <w:szCs w:val="24"/>
          <w:lang w:val="en-GB"/>
        </w:rPr>
        <w:t xml:space="preserve"> </w:t>
      </w:r>
      <w:bookmarkEnd w:id="87"/>
    </w:p>
    <w:p w14:paraId="7165DEB6" w14:textId="6209D4AD" w:rsidR="008F594A" w:rsidRPr="00837E47" w:rsidRDefault="008F594A" w:rsidP="00ED56D8">
      <w:pPr>
        <w:adjustRightInd w:val="0"/>
        <w:jc w:val="both"/>
        <w:rPr>
          <w:rFonts w:ascii="Times-Roman" w:hAnsi="Times-Roman" w:cs="Times-Roman"/>
        </w:rPr>
        <w:sectPr w:rsidR="008F594A" w:rsidRPr="00837E47" w:rsidSect="00837E47">
          <w:headerReference w:type="default" r:id="rId18"/>
          <w:type w:val="continuous"/>
          <w:pgSz w:w="12240" w:h="15840" w:code="1"/>
          <w:pgMar w:top="1008" w:right="936" w:bottom="1008" w:left="936" w:header="432" w:footer="432" w:gutter="0"/>
          <w:cols w:num="2" w:space="288"/>
        </w:sectPr>
      </w:pPr>
    </w:p>
    <w:p w14:paraId="1412D7AC" w14:textId="77777777" w:rsidR="0037551B" w:rsidRPr="00CD684F" w:rsidRDefault="0037551B" w:rsidP="001B2686">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F6E1B" w14:textId="77777777" w:rsidR="00137DC3" w:rsidRDefault="00137DC3">
      <w:r>
        <w:separator/>
      </w:r>
    </w:p>
  </w:endnote>
  <w:endnote w:type="continuationSeparator" w:id="0">
    <w:p w14:paraId="07D08967" w14:textId="77777777" w:rsidR="00137DC3" w:rsidRDefault="0013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DEB2" w14:textId="77777777" w:rsidR="00137DC3" w:rsidRDefault="00137DC3"/>
  </w:footnote>
  <w:footnote w:type="continuationSeparator" w:id="0">
    <w:p w14:paraId="15AEF1E9" w14:textId="77777777" w:rsidR="00137DC3" w:rsidRDefault="00137DC3">
      <w:r>
        <w:continuationSeparator/>
      </w:r>
    </w:p>
  </w:footnote>
  <w:footnote w:id="1">
    <w:p w14:paraId="24A8C798" w14:textId="2B7577BB" w:rsidR="00450616" w:rsidRDefault="00450616" w:rsidP="00B12D23">
      <w:pPr>
        <w:pStyle w:val="FootnoteText"/>
        <w:ind w:firstLine="0"/>
      </w:pPr>
      <w:r>
        <w:t>Manuscript received</w:t>
      </w:r>
      <w:r w:rsidR="00B12D23">
        <w:t xml:space="preserve"> April</w:t>
      </w:r>
      <w:r>
        <w:t xml:space="preserve"> </w:t>
      </w:r>
      <w:r w:rsidR="00B12D23">
        <w:t>09</w:t>
      </w:r>
      <w:r>
        <w:t>, 20</w:t>
      </w:r>
      <w:r w:rsidR="00B12D23">
        <w:t>20</w:t>
      </w:r>
      <w:r>
        <w:t xml:space="preserve">; revised </w:t>
      </w:r>
      <w:r w:rsidR="00B12D23">
        <w:t>July</w:t>
      </w:r>
      <w:r>
        <w:t xml:space="preserve"> 1</w:t>
      </w:r>
      <w:r w:rsidR="00B12D23">
        <w:t>1</w:t>
      </w:r>
      <w:r>
        <w:t>, 20</w:t>
      </w:r>
      <w:r w:rsidR="00B12D23">
        <w:t xml:space="preserve">20 and November 23, 2020; </w:t>
      </w:r>
      <w:r>
        <w:t>accepted</w:t>
      </w:r>
      <w:r w:rsidR="00B12D23">
        <w:t xml:space="preserve"> April 26</w:t>
      </w:r>
      <w:r>
        <w:t>, 20</w:t>
      </w:r>
      <w:r w:rsidR="00B12D23">
        <w:t>21</w:t>
      </w:r>
      <w:r>
        <w:t>.</w:t>
      </w:r>
    </w:p>
    <w:p w14:paraId="79FDC6BE" w14:textId="285E9032" w:rsidR="00657E01" w:rsidRDefault="00450616">
      <w:pPr>
        <w:pStyle w:val="FootnoteText"/>
      </w:pPr>
      <w:r>
        <w:t xml:space="preserve">Sahar </w:t>
      </w:r>
      <w:proofErr w:type="spellStart"/>
      <w:r>
        <w:t>Sabbaghan</w:t>
      </w:r>
      <w:proofErr w:type="spellEnd"/>
      <w:r>
        <w:t xml:space="preserve"> </w:t>
      </w:r>
      <w:r w:rsidR="00657E01">
        <w:t xml:space="preserve">is </w:t>
      </w:r>
      <w:r>
        <w:t>with</w:t>
      </w:r>
      <w:r w:rsidRPr="00450616">
        <w:t xml:space="preserve"> London South Bank University, UK</w:t>
      </w:r>
      <w:r w:rsidR="00657E01">
        <w:t xml:space="preserve"> (e-mail: </w:t>
      </w:r>
      <w:r>
        <w:t>sabbaghs@lsbu</w:t>
      </w:r>
      <w:r w:rsidR="00C93DB9">
        <w:t>.</w:t>
      </w:r>
      <w:r>
        <w:t>ac.uk</w:t>
      </w:r>
      <w:r w:rsidR="00657E01">
        <w:t xml:space="preserve">). </w:t>
      </w:r>
    </w:p>
    <w:p w14:paraId="17BE4D87" w14:textId="0B4BFEEA" w:rsidR="00657E01" w:rsidRDefault="00450616">
      <w:pPr>
        <w:pStyle w:val="FootnoteText"/>
      </w:pPr>
      <w:r w:rsidRPr="00450616">
        <w:t xml:space="preserve">Cecil </w:t>
      </w:r>
      <w:proofErr w:type="spellStart"/>
      <w:r w:rsidRPr="00450616">
        <w:t>Eng</w:t>
      </w:r>
      <w:proofErr w:type="spellEnd"/>
      <w:r w:rsidRPr="00450616">
        <w:t xml:space="preserve"> Huang Chua is </w:t>
      </w:r>
      <w:r>
        <w:t>with</w:t>
      </w:r>
      <w:r w:rsidRPr="00450616">
        <w:t xml:space="preserve"> Missouri University of Science and Technology, USA</w:t>
      </w:r>
      <w:r>
        <w:t xml:space="preserve"> (e-mail: </w:t>
      </w:r>
      <w:r w:rsidRPr="00450616">
        <w:t>cchua@mst.edu</w:t>
      </w:r>
      <w:r>
        <w:t xml:space="preserve">). </w:t>
      </w:r>
    </w:p>
    <w:p w14:paraId="7AB0FA19" w14:textId="3BCBD3E4" w:rsidR="00657E01" w:rsidRDefault="00450616">
      <w:pPr>
        <w:pStyle w:val="FootnoteText"/>
      </w:pPr>
      <w:r w:rsidRPr="00450616">
        <w:t xml:space="preserve">Lesley Gardner is </w:t>
      </w:r>
      <w:r w:rsidR="00B12D23">
        <w:t xml:space="preserve">with the </w:t>
      </w:r>
      <w:r w:rsidRPr="00450616">
        <w:t>University of Auckland, NZ</w:t>
      </w:r>
      <w:r w:rsidR="00B12D23">
        <w:t xml:space="preserve"> (</w:t>
      </w:r>
      <w:r>
        <w:t xml:space="preserve">e-mail: </w:t>
      </w:r>
      <w:r w:rsidRPr="00450616">
        <w:t>l.gardner@auckland.ac.nz</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78D3" w14:textId="77777777" w:rsidR="00657E01" w:rsidRDefault="00657E01">
    <w:pPr>
      <w:framePr w:wrap="auto" w:vAnchor="text" w:hAnchor="margin" w:xAlign="right" w:y="1"/>
    </w:pPr>
    <w:r>
      <w:fldChar w:fldCharType="begin"/>
    </w:r>
    <w:r>
      <w:instrText xml:space="preserve">PAGE  </w:instrText>
    </w:r>
    <w:r>
      <w:fldChar w:fldCharType="separate"/>
    </w:r>
    <w:r>
      <w:rPr>
        <w:noProof/>
      </w:rPr>
      <w:t>1</w:t>
    </w:r>
    <w:r>
      <w:fldChar w:fldCharType="end"/>
    </w:r>
  </w:p>
  <w:p w14:paraId="447CD645" w14:textId="16A8A328" w:rsidR="00657E01" w:rsidRDefault="00657E01">
    <w:pPr>
      <w:ind w:right="360"/>
    </w:pPr>
    <w:r w:rsidRPr="00AA6443">
      <w:t>TEM-20-0251.R2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52F7FDA"/>
    <w:multiLevelType w:val="hybridMultilevel"/>
    <w:tmpl w:val="5BAA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1F3E3381"/>
    <w:multiLevelType w:val="multilevel"/>
    <w:tmpl w:val="433E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A5276"/>
    <w:multiLevelType w:val="hybridMultilevel"/>
    <w:tmpl w:val="74820CE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432E7"/>
    <w:multiLevelType w:val="hybridMultilevel"/>
    <w:tmpl w:val="51BE5FC0"/>
    <w:lvl w:ilvl="0" w:tplc="38AA3A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3EEB019E"/>
    <w:multiLevelType w:val="hybridMultilevel"/>
    <w:tmpl w:val="63227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57D12B4A"/>
    <w:multiLevelType w:val="hybridMultilevel"/>
    <w:tmpl w:val="DD9434C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2"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410422"/>
    <w:multiLevelType w:val="hybridMultilevel"/>
    <w:tmpl w:val="D1204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6"/>
  </w:num>
  <w:num w:numId="7">
    <w:abstractNumId w:val="26"/>
    <w:lvlOverride w:ilvl="0">
      <w:lvl w:ilvl="0">
        <w:start w:val="1"/>
        <w:numFmt w:val="decimal"/>
        <w:lvlText w:val="%1."/>
        <w:legacy w:legacy="1" w:legacySpace="0" w:legacyIndent="360"/>
        <w:lvlJc w:val="left"/>
        <w:pPr>
          <w:ind w:left="360" w:hanging="360"/>
        </w:pPr>
      </w:lvl>
    </w:lvlOverride>
  </w:num>
  <w:num w:numId="8">
    <w:abstractNumId w:val="26"/>
    <w:lvlOverride w:ilvl="0">
      <w:lvl w:ilvl="0">
        <w:start w:val="1"/>
        <w:numFmt w:val="decimal"/>
        <w:lvlText w:val="%1."/>
        <w:legacy w:legacy="1" w:legacySpace="0" w:legacyIndent="360"/>
        <w:lvlJc w:val="left"/>
        <w:pPr>
          <w:ind w:left="360" w:hanging="360"/>
        </w:pPr>
      </w:lvl>
    </w:lvlOverride>
  </w:num>
  <w:num w:numId="9">
    <w:abstractNumId w:val="26"/>
    <w:lvlOverride w:ilvl="0">
      <w:lvl w:ilvl="0">
        <w:start w:val="1"/>
        <w:numFmt w:val="decimal"/>
        <w:lvlText w:val="%1."/>
        <w:legacy w:legacy="1" w:legacySpace="0" w:legacyIndent="360"/>
        <w:lvlJc w:val="left"/>
        <w:pPr>
          <w:ind w:left="360" w:hanging="360"/>
        </w:pPr>
      </w:lvl>
    </w:lvlOverride>
  </w:num>
  <w:num w:numId="10">
    <w:abstractNumId w:val="26"/>
    <w:lvlOverride w:ilvl="0">
      <w:lvl w:ilvl="0">
        <w:start w:val="1"/>
        <w:numFmt w:val="decimal"/>
        <w:lvlText w:val="%1."/>
        <w:legacy w:legacy="1" w:legacySpace="0" w:legacyIndent="360"/>
        <w:lvlJc w:val="left"/>
        <w:pPr>
          <w:ind w:left="360" w:hanging="360"/>
        </w:pPr>
      </w:lvl>
    </w:lvlOverride>
  </w:num>
  <w:num w:numId="11">
    <w:abstractNumId w:val="26"/>
    <w:lvlOverride w:ilvl="0">
      <w:lvl w:ilvl="0">
        <w:start w:val="1"/>
        <w:numFmt w:val="decimal"/>
        <w:lvlText w:val="%1."/>
        <w:legacy w:legacy="1" w:legacySpace="0" w:legacyIndent="360"/>
        <w:lvlJc w:val="left"/>
        <w:pPr>
          <w:ind w:left="360" w:hanging="360"/>
        </w:pPr>
      </w:lvl>
    </w:lvlOverride>
  </w:num>
  <w:num w:numId="12">
    <w:abstractNumId w:val="22"/>
  </w:num>
  <w:num w:numId="13">
    <w:abstractNumId w:val="14"/>
  </w:num>
  <w:num w:numId="14">
    <w:abstractNumId w:val="29"/>
  </w:num>
  <w:num w:numId="15">
    <w:abstractNumId w:val="28"/>
  </w:num>
  <w:num w:numId="16">
    <w:abstractNumId w:val="37"/>
  </w:num>
  <w:num w:numId="17">
    <w:abstractNumId w:val="18"/>
  </w:num>
  <w:num w:numId="18">
    <w:abstractNumId w:val="17"/>
  </w:num>
  <w:num w:numId="19">
    <w:abstractNumId w:val="31"/>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5"/>
  </w:num>
  <w:num w:numId="24">
    <w:abstractNumId w:val="27"/>
  </w:num>
  <w:num w:numId="25">
    <w:abstractNumId w:val="33"/>
  </w:num>
  <w:num w:numId="26">
    <w:abstractNumId w:val="13"/>
  </w:num>
  <w:num w:numId="27">
    <w:abstractNumId w:val="32"/>
  </w:num>
  <w:num w:numId="28">
    <w:abstractNumId w:val="20"/>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15"/>
  </w:num>
  <w:num w:numId="43">
    <w:abstractNumId w:val="24"/>
  </w:num>
  <w:num w:numId="44">
    <w:abstractNumId w:val="12"/>
  </w:num>
  <w:num w:numId="45">
    <w:abstractNumId w:val="16"/>
  </w:num>
  <w:num w:numId="46">
    <w:abstractNumId w:val="34"/>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42E13"/>
    <w:rsid w:val="00092ECE"/>
    <w:rsid w:val="00095F3A"/>
    <w:rsid w:val="000A0C2F"/>
    <w:rsid w:val="000A168B"/>
    <w:rsid w:val="000D2BDE"/>
    <w:rsid w:val="00104BB0"/>
    <w:rsid w:val="0010794E"/>
    <w:rsid w:val="00113F26"/>
    <w:rsid w:val="00130155"/>
    <w:rsid w:val="0013354F"/>
    <w:rsid w:val="00137DC3"/>
    <w:rsid w:val="00143F2E"/>
    <w:rsid w:val="00144E72"/>
    <w:rsid w:val="001768FF"/>
    <w:rsid w:val="001A4972"/>
    <w:rsid w:val="001A60B1"/>
    <w:rsid w:val="001B2686"/>
    <w:rsid w:val="001B36B1"/>
    <w:rsid w:val="001E7B7A"/>
    <w:rsid w:val="001F4C5C"/>
    <w:rsid w:val="00204478"/>
    <w:rsid w:val="00214E2E"/>
    <w:rsid w:val="00216141"/>
    <w:rsid w:val="00217186"/>
    <w:rsid w:val="002434A1"/>
    <w:rsid w:val="00263943"/>
    <w:rsid w:val="00267B35"/>
    <w:rsid w:val="002A5728"/>
    <w:rsid w:val="002D71D6"/>
    <w:rsid w:val="002E1F95"/>
    <w:rsid w:val="002F1A23"/>
    <w:rsid w:val="002F7910"/>
    <w:rsid w:val="00314F82"/>
    <w:rsid w:val="003427CE"/>
    <w:rsid w:val="00342BE1"/>
    <w:rsid w:val="003461E8"/>
    <w:rsid w:val="00352403"/>
    <w:rsid w:val="00353DCA"/>
    <w:rsid w:val="00360269"/>
    <w:rsid w:val="0036489C"/>
    <w:rsid w:val="0037551B"/>
    <w:rsid w:val="00392DBA"/>
    <w:rsid w:val="003C3322"/>
    <w:rsid w:val="003C68C2"/>
    <w:rsid w:val="003D1EBF"/>
    <w:rsid w:val="003D4CAE"/>
    <w:rsid w:val="003F26BD"/>
    <w:rsid w:val="003F52AD"/>
    <w:rsid w:val="0043144F"/>
    <w:rsid w:val="00431BFA"/>
    <w:rsid w:val="004353CF"/>
    <w:rsid w:val="00450616"/>
    <w:rsid w:val="004631BC"/>
    <w:rsid w:val="00484761"/>
    <w:rsid w:val="00484DD5"/>
    <w:rsid w:val="00487CFA"/>
    <w:rsid w:val="004B558A"/>
    <w:rsid w:val="004C1E16"/>
    <w:rsid w:val="004C2543"/>
    <w:rsid w:val="004D15CA"/>
    <w:rsid w:val="004E3E4C"/>
    <w:rsid w:val="004F23A0"/>
    <w:rsid w:val="005003E3"/>
    <w:rsid w:val="005052CD"/>
    <w:rsid w:val="00507A7B"/>
    <w:rsid w:val="00535307"/>
    <w:rsid w:val="00550A26"/>
    <w:rsid w:val="00550BF5"/>
    <w:rsid w:val="00567A70"/>
    <w:rsid w:val="00597E9F"/>
    <w:rsid w:val="005A2A15"/>
    <w:rsid w:val="005C6EA6"/>
    <w:rsid w:val="005D1B15"/>
    <w:rsid w:val="005D2824"/>
    <w:rsid w:val="005D4F1A"/>
    <w:rsid w:val="005D72BB"/>
    <w:rsid w:val="005E0D2C"/>
    <w:rsid w:val="005E692F"/>
    <w:rsid w:val="005F6A67"/>
    <w:rsid w:val="0062114B"/>
    <w:rsid w:val="00623698"/>
    <w:rsid w:val="00625E96"/>
    <w:rsid w:val="00647C09"/>
    <w:rsid w:val="00651F2C"/>
    <w:rsid w:val="00657E01"/>
    <w:rsid w:val="00677C22"/>
    <w:rsid w:val="00685D0E"/>
    <w:rsid w:val="00691442"/>
    <w:rsid w:val="00693D5D"/>
    <w:rsid w:val="006A6C04"/>
    <w:rsid w:val="006B24FB"/>
    <w:rsid w:val="006B7F03"/>
    <w:rsid w:val="006C7307"/>
    <w:rsid w:val="00725B45"/>
    <w:rsid w:val="00735879"/>
    <w:rsid w:val="007530A3"/>
    <w:rsid w:val="0076355A"/>
    <w:rsid w:val="007707AB"/>
    <w:rsid w:val="007A7D60"/>
    <w:rsid w:val="007B5BF9"/>
    <w:rsid w:val="007C4336"/>
    <w:rsid w:val="007E1983"/>
    <w:rsid w:val="007F7AA6"/>
    <w:rsid w:val="008002CC"/>
    <w:rsid w:val="00804ADF"/>
    <w:rsid w:val="0081663F"/>
    <w:rsid w:val="00823624"/>
    <w:rsid w:val="00837E47"/>
    <w:rsid w:val="00842F0F"/>
    <w:rsid w:val="008518FE"/>
    <w:rsid w:val="0085659C"/>
    <w:rsid w:val="00862844"/>
    <w:rsid w:val="00864212"/>
    <w:rsid w:val="00872026"/>
    <w:rsid w:val="0087792E"/>
    <w:rsid w:val="00880E8B"/>
    <w:rsid w:val="00883EAF"/>
    <w:rsid w:val="00885258"/>
    <w:rsid w:val="00891975"/>
    <w:rsid w:val="008936F9"/>
    <w:rsid w:val="008A30C3"/>
    <w:rsid w:val="008A3C23"/>
    <w:rsid w:val="008C49CC"/>
    <w:rsid w:val="008C6420"/>
    <w:rsid w:val="008D69E9"/>
    <w:rsid w:val="008D6B2E"/>
    <w:rsid w:val="008E0645"/>
    <w:rsid w:val="008F594A"/>
    <w:rsid w:val="00901707"/>
    <w:rsid w:val="00904C7E"/>
    <w:rsid w:val="0091035B"/>
    <w:rsid w:val="009113A8"/>
    <w:rsid w:val="00914982"/>
    <w:rsid w:val="00970D55"/>
    <w:rsid w:val="009A1F6E"/>
    <w:rsid w:val="009B4E43"/>
    <w:rsid w:val="009C63CB"/>
    <w:rsid w:val="009C7D17"/>
    <w:rsid w:val="009D09E1"/>
    <w:rsid w:val="009E484E"/>
    <w:rsid w:val="009E52D0"/>
    <w:rsid w:val="009F40FB"/>
    <w:rsid w:val="009F4B45"/>
    <w:rsid w:val="009F599A"/>
    <w:rsid w:val="00A22FCB"/>
    <w:rsid w:val="00A25B3B"/>
    <w:rsid w:val="00A40127"/>
    <w:rsid w:val="00A472F1"/>
    <w:rsid w:val="00A5237D"/>
    <w:rsid w:val="00A554A3"/>
    <w:rsid w:val="00A758EA"/>
    <w:rsid w:val="00A91937"/>
    <w:rsid w:val="00A9434E"/>
    <w:rsid w:val="00A95C50"/>
    <w:rsid w:val="00AA238E"/>
    <w:rsid w:val="00AA6443"/>
    <w:rsid w:val="00AB79A6"/>
    <w:rsid w:val="00AC4850"/>
    <w:rsid w:val="00B12D23"/>
    <w:rsid w:val="00B16DB5"/>
    <w:rsid w:val="00B47B59"/>
    <w:rsid w:val="00B53F81"/>
    <w:rsid w:val="00B56C2B"/>
    <w:rsid w:val="00B65BD3"/>
    <w:rsid w:val="00B70469"/>
    <w:rsid w:val="00B72DD8"/>
    <w:rsid w:val="00B72E09"/>
    <w:rsid w:val="00B812EA"/>
    <w:rsid w:val="00BF0C69"/>
    <w:rsid w:val="00BF629B"/>
    <w:rsid w:val="00BF655C"/>
    <w:rsid w:val="00BF6E15"/>
    <w:rsid w:val="00C04A43"/>
    <w:rsid w:val="00C068FE"/>
    <w:rsid w:val="00C075EF"/>
    <w:rsid w:val="00C11E83"/>
    <w:rsid w:val="00C2378A"/>
    <w:rsid w:val="00C378A1"/>
    <w:rsid w:val="00C621D6"/>
    <w:rsid w:val="00C72F74"/>
    <w:rsid w:val="00C75907"/>
    <w:rsid w:val="00C82D86"/>
    <w:rsid w:val="00C907C9"/>
    <w:rsid w:val="00C93DB9"/>
    <w:rsid w:val="00CB4B8D"/>
    <w:rsid w:val="00CC0DDA"/>
    <w:rsid w:val="00CC74A6"/>
    <w:rsid w:val="00CD684F"/>
    <w:rsid w:val="00CF5A53"/>
    <w:rsid w:val="00D06623"/>
    <w:rsid w:val="00D14C6B"/>
    <w:rsid w:val="00D5536F"/>
    <w:rsid w:val="00D56935"/>
    <w:rsid w:val="00D716BA"/>
    <w:rsid w:val="00D758C6"/>
    <w:rsid w:val="00D7612F"/>
    <w:rsid w:val="00D764A8"/>
    <w:rsid w:val="00D821F7"/>
    <w:rsid w:val="00D84FF3"/>
    <w:rsid w:val="00D90C10"/>
    <w:rsid w:val="00D92E96"/>
    <w:rsid w:val="00D966CA"/>
    <w:rsid w:val="00DA258C"/>
    <w:rsid w:val="00DA4345"/>
    <w:rsid w:val="00DA571F"/>
    <w:rsid w:val="00DD5338"/>
    <w:rsid w:val="00DE07FA"/>
    <w:rsid w:val="00DE20DB"/>
    <w:rsid w:val="00DF2DDE"/>
    <w:rsid w:val="00DF77C8"/>
    <w:rsid w:val="00E01667"/>
    <w:rsid w:val="00E269B1"/>
    <w:rsid w:val="00E36209"/>
    <w:rsid w:val="00E37AF9"/>
    <w:rsid w:val="00E420BB"/>
    <w:rsid w:val="00E50DF6"/>
    <w:rsid w:val="00E518B1"/>
    <w:rsid w:val="00E6336D"/>
    <w:rsid w:val="00E6366C"/>
    <w:rsid w:val="00E76749"/>
    <w:rsid w:val="00E76FD3"/>
    <w:rsid w:val="00E7781B"/>
    <w:rsid w:val="00E965C5"/>
    <w:rsid w:val="00E96A3A"/>
    <w:rsid w:val="00E97402"/>
    <w:rsid w:val="00E97B99"/>
    <w:rsid w:val="00EB2E9D"/>
    <w:rsid w:val="00ED1E14"/>
    <w:rsid w:val="00ED56D8"/>
    <w:rsid w:val="00EE6FFC"/>
    <w:rsid w:val="00EF10AC"/>
    <w:rsid w:val="00EF4701"/>
    <w:rsid w:val="00EF564E"/>
    <w:rsid w:val="00F22198"/>
    <w:rsid w:val="00F33D49"/>
    <w:rsid w:val="00F3481E"/>
    <w:rsid w:val="00F372B2"/>
    <w:rsid w:val="00F577F6"/>
    <w:rsid w:val="00F65266"/>
    <w:rsid w:val="00F751E1"/>
    <w:rsid w:val="00F932B6"/>
    <w:rsid w:val="00FC0B7B"/>
    <w:rsid w:val="00FC264B"/>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C7F3AF"/>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34"/>
    <w:qFormat/>
    <w:rsid w:val="00880E8B"/>
    <w:pPr>
      <w:spacing w:after="160" w:line="480" w:lineRule="auto"/>
      <w:ind w:left="720"/>
      <w:contextualSpacing/>
      <w:jc w:val="both"/>
    </w:pPr>
    <w:rPr>
      <w:rFonts w:eastAsiaTheme="minorHAnsi" w:cstheme="minorBidi"/>
      <w:sz w:val="24"/>
      <w:szCs w:val="22"/>
      <w:lang w:val="en-NZ"/>
    </w:rPr>
  </w:style>
  <w:style w:type="paragraph" w:customStyle="1" w:styleId="JnlBody">
    <w:name w:val="Jnl Body"/>
    <w:basedOn w:val="Normal"/>
    <w:link w:val="JnlBodyChar"/>
    <w:qFormat/>
    <w:rsid w:val="00880E8B"/>
    <w:pPr>
      <w:spacing w:before="120"/>
      <w:jc w:val="both"/>
    </w:pPr>
    <w:rPr>
      <w:rFonts w:ascii="Georgia" w:hAnsi="Georgia"/>
      <w:lang w:val="en-AU"/>
    </w:rPr>
  </w:style>
  <w:style w:type="character" w:customStyle="1" w:styleId="JnlBodyChar">
    <w:name w:val="Jnl Body Char"/>
    <w:link w:val="JnlBody"/>
    <w:rsid w:val="00880E8B"/>
    <w:rPr>
      <w:rFonts w:ascii="Georgia" w:hAnsi="Georgia"/>
      <w:lang w:val="en-AU"/>
    </w:rPr>
  </w:style>
  <w:style w:type="character" w:customStyle="1" w:styleId="Heading4Char">
    <w:name w:val="Heading 4 Char"/>
    <w:basedOn w:val="DefaultParagraphFont"/>
    <w:link w:val="Heading4"/>
    <w:uiPriority w:val="9"/>
    <w:rsid w:val="00507A7B"/>
    <w:rPr>
      <w:i/>
      <w:iCs/>
      <w:sz w:val="18"/>
      <w:szCs w:val="18"/>
    </w:rPr>
  </w:style>
  <w:style w:type="table" w:styleId="PlainTable1">
    <w:name w:val="Plain Table 1"/>
    <w:basedOn w:val="TableNormal"/>
    <w:uiPriority w:val="41"/>
    <w:rsid w:val="002A5728"/>
    <w:rPr>
      <w:rFonts w:asciiTheme="minorHAnsi" w:eastAsiaTheme="minorHAnsi" w:hAnsiTheme="minorHAnsi" w:cstheme="minorBidi"/>
      <w:sz w:val="22"/>
      <w:szCs w:val="22"/>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B4E43"/>
    <w:pPr>
      <w:spacing w:after="200"/>
      <w:jc w:val="both"/>
    </w:pPr>
    <w:rPr>
      <w:rFonts w:eastAsiaTheme="minorHAnsi" w:cstheme="minorBidi"/>
      <w:i/>
      <w:iCs/>
      <w:color w:val="000000" w:themeColor="text1"/>
      <w:szCs w:val="18"/>
      <w:lang w:val="en-NZ"/>
    </w:rPr>
  </w:style>
  <w:style w:type="character" w:styleId="UnresolvedMention">
    <w:name w:val="Unresolved Mention"/>
    <w:basedOn w:val="DefaultParagraphFont"/>
    <w:uiPriority w:val="99"/>
    <w:semiHidden/>
    <w:unhideWhenUsed/>
    <w:rsid w:val="00450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D3AE-AF6D-4D99-9533-660D929E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7</Pages>
  <Words>34623</Words>
  <Characters>197353</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231513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sarah s</cp:lastModifiedBy>
  <cp:revision>2</cp:revision>
  <cp:lastPrinted>2021-05-11T13:20:00Z</cp:lastPrinted>
  <dcterms:created xsi:type="dcterms:W3CDTF">2021-05-22T08:25:00Z</dcterms:created>
  <dcterms:modified xsi:type="dcterms:W3CDTF">2021-05-22T08:25:00Z</dcterms:modified>
</cp:coreProperties>
</file>