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17683B" w14:textId="77777777" w:rsidR="00E97402" w:rsidRPr="00975079" w:rsidRDefault="00E97402" w:rsidP="0079732D">
      <w:pPr>
        <w:pStyle w:val="Text"/>
        <w:ind w:firstLine="0"/>
        <w:rPr>
          <w:sz w:val="18"/>
          <w:szCs w:val="18"/>
        </w:rPr>
      </w:pPr>
      <w:bookmarkStart w:id="0" w:name="_GoBack"/>
      <w:r w:rsidRPr="00975079">
        <w:rPr>
          <w:rStyle w:val="Rimandonotaapidipagina"/>
        </w:rPr>
        <w:footnoteReference w:customMarkFollows="1" w:id="1"/>
        <w:sym w:font="Symbol" w:char="F020"/>
      </w:r>
    </w:p>
    <w:p w14:paraId="27C07EE9" w14:textId="77777777" w:rsidR="00A00C16" w:rsidRPr="00975079" w:rsidRDefault="00A00C16" w:rsidP="0079732D">
      <w:pPr>
        <w:pStyle w:val="Authors"/>
        <w:framePr w:wrap="notBeside"/>
        <w:jc w:val="both"/>
        <w:rPr>
          <w:kern w:val="28"/>
          <w:sz w:val="48"/>
          <w:szCs w:val="48"/>
        </w:rPr>
      </w:pPr>
      <w:r w:rsidRPr="00975079">
        <w:rPr>
          <w:kern w:val="28"/>
          <w:sz w:val="48"/>
          <w:szCs w:val="48"/>
        </w:rPr>
        <w:t xml:space="preserve">Bayesian quantification of contrast-enhanced ultrasound images with adaptive inclusion of an irreversible component </w:t>
      </w:r>
    </w:p>
    <w:p w14:paraId="57A655BF" w14:textId="1DCF14CF" w:rsidR="00E97402" w:rsidRPr="00975079" w:rsidRDefault="00A00C16" w:rsidP="0079732D">
      <w:pPr>
        <w:pStyle w:val="Authors"/>
        <w:framePr w:wrap="notBeside"/>
        <w:jc w:val="both"/>
        <w:rPr>
          <w:lang w:val="it-IT"/>
        </w:rPr>
      </w:pPr>
      <w:r w:rsidRPr="00975079">
        <w:rPr>
          <w:lang w:val="it-IT"/>
        </w:rPr>
        <w:t xml:space="preserve">Gaia Rizzo, Matteo Tonietto, Marco Castellaro, Bernd Raffeiner, </w:t>
      </w:r>
      <w:r w:rsidR="00612C6F" w:rsidRPr="00975079">
        <w:rPr>
          <w:lang w:val="it-IT"/>
        </w:rPr>
        <w:t xml:space="preserve">Alessandro Coran, </w:t>
      </w:r>
      <w:r w:rsidR="006611E9" w:rsidRPr="00975079">
        <w:rPr>
          <w:lang w:val="it-IT"/>
        </w:rPr>
        <w:t xml:space="preserve">Ugo Fiocco, </w:t>
      </w:r>
      <w:r w:rsidRPr="00975079">
        <w:rPr>
          <w:lang w:val="it-IT"/>
        </w:rPr>
        <w:t>Roberto Stramare and Enrico Grisan</w:t>
      </w:r>
    </w:p>
    <w:p w14:paraId="273D0D4D" w14:textId="54A5EC0A" w:rsidR="00CC7EE5" w:rsidRPr="00975079" w:rsidRDefault="00E97402" w:rsidP="0079732D">
      <w:pPr>
        <w:pStyle w:val="Abstract"/>
      </w:pPr>
      <w:r w:rsidRPr="00975079">
        <w:rPr>
          <w:i/>
          <w:iCs/>
        </w:rPr>
        <w:t>Abstract</w:t>
      </w:r>
      <w:r w:rsidRPr="00975079">
        <w:t>—</w:t>
      </w:r>
      <w:r w:rsidR="00CC7EE5" w:rsidRPr="00975079">
        <w:t xml:space="preserve"> Contrast Enhanced Ultrasound (CEUS) is a sensitive imaging technique to assess tissue vascularity and it can be particularly useful in early detection and grading of arthritis. In a recent study we have shown that </w:t>
      </w:r>
      <w:r w:rsidR="00342469" w:rsidRPr="00975079">
        <w:t xml:space="preserve">a </w:t>
      </w:r>
      <w:r w:rsidR="00CC7EE5" w:rsidRPr="00975079">
        <w:t xml:space="preserve">Gamma-variate can accurately quantify synovial perfusion and it is flexible enough to describe many heterogeneous patterns. However, in some cases the heterogeneity of the kinetics can be such that even the Gamma model does not properly describe the curve, with a high number of outliers. </w:t>
      </w:r>
    </w:p>
    <w:p w14:paraId="6C3419D0" w14:textId="06FB14C1" w:rsidR="00CC7EE5" w:rsidRPr="00975079" w:rsidRDefault="00CC7EE5" w:rsidP="0079732D">
      <w:pPr>
        <w:pStyle w:val="Abstract"/>
      </w:pPr>
      <w:r w:rsidRPr="00975079">
        <w:t>In this work we apply to CEUS data the single compartment recirculation model (SCR) which takes explicitly into account the trapping of the microbubbles contrast agent by adding t</w:t>
      </w:r>
      <w:r w:rsidR="00835E0E" w:rsidRPr="00975079">
        <w:t>o the single Gamma-variate model its integral</w:t>
      </w:r>
      <w:r w:rsidRPr="00975079">
        <w:t>. The SCR model, originally proposed for dynamic-susceptibility magnetic resonance imaging, is solved here at pixel level within a Bayesian fram</w:t>
      </w:r>
      <w:r w:rsidR="002C6647" w:rsidRPr="00975079">
        <w:t>ework using Variational Bayes</w:t>
      </w:r>
      <w:r w:rsidRPr="00975079">
        <w:t xml:space="preserve"> (VB). We also include the automatic relevant determination (ARD) algorithm to automatically infer the model complexity (SCR vs. Gamma model) from the data. We demonstrated that the inclusion of trapping best describes the CEUS patterns in 50% of the pixels, with the other 50% best fitted by a single Gamma. Such results highlight the necessity of the use ARD, to automatically exclude the irreversible component where not supported by the data.</w:t>
      </w:r>
    </w:p>
    <w:p w14:paraId="23345CB3" w14:textId="5F4D0112" w:rsidR="00E97402" w:rsidRPr="00975079" w:rsidRDefault="00CC7EE5" w:rsidP="0079732D">
      <w:pPr>
        <w:pStyle w:val="Abstract"/>
      </w:pPr>
      <w:r w:rsidRPr="00975079">
        <w:t>VB with ARD returns precise estimates in the majority of the kinetics (88% of total percentage of pixels) in a limited computational time (on average, 3.6 min per subject).</w:t>
      </w:r>
      <w:r w:rsidR="00B107DE" w:rsidRPr="00975079">
        <w:t xml:space="preserve"> </w:t>
      </w:r>
    </w:p>
    <w:p w14:paraId="2AD5107A" w14:textId="77777777" w:rsidR="00E97402" w:rsidRPr="00975079" w:rsidRDefault="00E97402" w:rsidP="0079732D">
      <w:pPr>
        <w:jc w:val="both"/>
      </w:pPr>
    </w:p>
    <w:p w14:paraId="4AE5DCCE" w14:textId="2B2AD810" w:rsidR="00E97402" w:rsidRPr="00975079" w:rsidRDefault="00E97402" w:rsidP="0079732D">
      <w:pPr>
        <w:pStyle w:val="IndexTerms"/>
      </w:pPr>
      <w:bookmarkStart w:id="1" w:name="PointTmp"/>
      <w:r w:rsidRPr="00975079">
        <w:rPr>
          <w:i/>
          <w:iCs/>
        </w:rPr>
        <w:t>Index Terms</w:t>
      </w:r>
      <w:r w:rsidRPr="00975079">
        <w:t>—</w:t>
      </w:r>
      <w:r w:rsidR="00CC7EE5" w:rsidRPr="00975079">
        <w:t>Contrast-enhanced ultrasound, quantification, Variational Bayes, pixel-wise analysis, automatic relevance determination</w:t>
      </w:r>
      <w:r w:rsidR="0024586F" w:rsidRPr="00975079">
        <w:t xml:space="preserve">, SVM </w:t>
      </w:r>
    </w:p>
    <w:p w14:paraId="6F54A56C" w14:textId="77777777" w:rsidR="00E97402" w:rsidRPr="00975079" w:rsidRDefault="00E97402" w:rsidP="0079732D">
      <w:pPr>
        <w:jc w:val="both"/>
      </w:pPr>
    </w:p>
    <w:bookmarkEnd w:id="1"/>
    <w:p w14:paraId="1D5B113B" w14:textId="77777777" w:rsidR="00E97402" w:rsidRPr="00975079" w:rsidRDefault="00E97402" w:rsidP="0079732D">
      <w:pPr>
        <w:pStyle w:val="Titolo1"/>
        <w:jc w:val="both"/>
      </w:pPr>
      <w:r w:rsidRPr="00975079">
        <w:t>I</w:t>
      </w:r>
      <w:r w:rsidRPr="00975079">
        <w:rPr>
          <w:sz w:val="16"/>
          <w:szCs w:val="16"/>
        </w:rPr>
        <w:t>NTRODUCTION</w:t>
      </w:r>
    </w:p>
    <w:p w14:paraId="49B0B49D" w14:textId="3923588E" w:rsidR="00E97402" w:rsidRPr="00975079" w:rsidRDefault="00DD3A36" w:rsidP="0079732D">
      <w:pPr>
        <w:pStyle w:val="Text"/>
        <w:keepNext/>
        <w:framePr w:dropCap="drop" w:lines="2" w:wrap="auto" w:vAnchor="text" w:hAnchor="text"/>
        <w:spacing w:line="480" w:lineRule="exact"/>
        <w:ind w:firstLine="0"/>
        <w:rPr>
          <w:smallCaps/>
          <w:position w:val="-3"/>
          <w:sz w:val="56"/>
          <w:szCs w:val="56"/>
        </w:rPr>
      </w:pPr>
      <w:r w:rsidRPr="00975079">
        <w:rPr>
          <w:position w:val="-3"/>
          <w:sz w:val="56"/>
          <w:szCs w:val="56"/>
        </w:rPr>
        <w:t>C</w:t>
      </w:r>
    </w:p>
    <w:p w14:paraId="1B0DBD02" w14:textId="43D55AE2" w:rsidR="00E97402" w:rsidRPr="00975079" w:rsidRDefault="00DD3A36" w:rsidP="00C1733B">
      <w:pPr>
        <w:pStyle w:val="Text"/>
        <w:ind w:firstLine="0"/>
      </w:pPr>
      <w:r w:rsidRPr="00975079">
        <w:rPr>
          <w:smallCaps/>
        </w:rPr>
        <w:t xml:space="preserve">ONTRAST-enhanced </w:t>
      </w:r>
      <w:r w:rsidRPr="00975079">
        <w:t xml:space="preserve">Ultrasound (CEUS) is an imaging technique </w:t>
      </w:r>
      <w:r w:rsidR="005B6572" w:rsidRPr="00975079">
        <w:t xml:space="preserve">for the visualization and assessment of tissue vascularization and perfusion, using microbubbles as contrast agent. In particular, CEUS has been widely studied for the early detection and grading of arthritis diseases, since it allows a non-invasive assessment of the synovial neo-vascularization and of  the variations in local perfusion </w:t>
      </w:r>
      <w:r w:rsidR="00311386" w:rsidRPr="00975079">
        <w:fldChar w:fldCharType="begin" w:fldLock="1"/>
      </w:r>
      <w:r w:rsidR="00102324" w:rsidRPr="00975079">
        <w:instrText>ADDIN CSL_CITATION { "citationItems" : [ { "id" : "ITEM-1", "itemData" : { "DOI" : "10.1007/s00330-005-2884-9", "ISBN" : "0938-7994", "author" : [ { "dropping-particle" : "", "family" : "Klauser", "given" : "Andrea", "non-dropping-particle" : "", "parse-names" : false, "suffix" : "" }, { "dropping-particle" : "", "family" : "Demharter", "given" : "Johannes", "non-dropping-particle" : "", "parse-names" : false, "suffix" : "" }, { "dropping-particle" : "", "family" : "Marchi", "given" : "Armanda", "non-dropping-particle" : "De", "parse-names" : false, "suffix" : "" }, { "dropping-particle" : "", "family" : "Sureda", "given" : "Delia", "non-dropping-particle" : "", "parse-names" : false, "suffix" : "" }, { "dropping-particle" : "", "family" : "Barile", "given" : "Antonio", "non-dropping-particle" : "", "parse-names" : false, "suffix" : "" }, { "dropping-particle" : "", "family" : "Masciocchi", "given" : "Carlo", "non-dropping-particle" : "", "parse-names" : false, "suffix" : "" }, { "dropping-particle" : "", "family" : "Faletti", "given" : "Carlo", "non-dropping-particle" : "", "parse-names" : false, "suffix" : "" }, { "dropping-particle" : "", "family" : "Schirmer", "given" : "Michael", "non-dropping-particle" : "", "parse-names" : false, "suffix" : "" }, { "dropping-particle" : "", "family" : "Kleffel", "given" : "Timm", "non-dropping-particle" : "", "parse-names" : false, "suffix" : "" }, { "dropping-particle" : "", "family" : "Bohndorf", "given" : "Klaus", "non-dropping-particle" : "", "parse-names" : false, "suffix" : "" } ], "container-title" : "European Radiology", "id" : "ITEM-1", "issue" : "12", "issued" : { "date-parts" : [ [ "2005" ] ] }, "language" : "English", "page" : "2404-2410", "publisher" : "Springer-Verlag", "title" : "Contrast enhanced gray-scale sonography in assessment of joint vascularity in rheumatoid arthritis: results from the IACUS study group", "type" : "article-journal", "volume" : "15" }, "uris" : [ "http://www.mendeley.com/documents/?uuid=a69ecc69-e2d0-4196-80fb-3c5e83a6cdc7" ] }, { "id" : "ITEM-2", "itemData" : { "ISBN" : "0003-4967", "PMID" : "19957383", "abstract" : "OBJECTIVE: To develop a new method of digital synovial vascularisation quantification by using contrast-enhanced musculoskeletal ultrasonography (MUS) in detecting synovitis in patients with knee osteoarthritis (OA) compared with healthy subjects and MRI. METHODS: Evaluation of 41 patients with painful knee OA and 6 healthy subjects. The severity of knee pain was evaluated. All patients and all 6 healthy subjects underwent contrast medium-enhanced (CE)-MUS with SonoVue, and 36 patients additionally underwent CEMRI with Magnevist. Joint effusion, synovial thickening and pain were assessed and compared with B-mode and Power Doppler sonography (PDS) as well as contrast medium enhancement. RESULTS: Pain evaluated by the visual analogue scale(VAS) hardly correlated with other markers of disease activity measured by ultrasound (US) in B-mode or MRI. US of the superior recess revealed an effusion or synovial thickening in 58%. PDS findings were positive in 63%, and CE-MUS in the superior knee recess was positive in 95%. MRI showed effusion in the superior recess in 61% and showed positive findings in 82% when using contrast medium. The kappa value was 0.48 between US and MRI with regard to the effusion in the superior recess, and 0.53 between PD signal in the superior recess and effusion in the superior recess by US. Using MRI as the reference standard, there was a sensitivity of 72% for assessing effusion in the superior recess and 81% for assessing effusion in the lateral recess. CONCLUSION: Assessment of disease activity (synovitis) in knee OA by VAS is not sufficient. US PDS was more sensitive than B-mode, and CE-MUS was more sensitive than PDS and CE-MRI in detecting synovitis in patients with painful knee OA. Also, CE-MRI was more sensitive in detecting inflammatory changes in the superior recess than without contrast medium. Using CE-MUS and performing time/intensity analysis has shown to be a good model for evaluation of an inflammatory process in the setting of knee OA in the superior recess.", "author" : [ { "dropping-particle" : "", "family" : "Song", "given" : "I H", "non-dropping-particle" : "", "parse-names" : false, "suffix" : "" }, { "dropping-particle" : "", "family" : "Althoff", "given" : "C E", "non-dropping-particle" : "", "parse-names" : false, "suffix" : "" }, { "dropping-particle" : "", "family" : "Hermann", "given" : "K G", "non-dropping-particle" : "", "parse-names" : false, "suffix" : "" }, { "dropping-particle" : "", "family" : "Scheel", "given" : "A K", "non-dropping-particle" : "", "parse-names" : false, "suffix" : "" }, { "dropping-particle" : "", "family" : "Knetsch", "given" : "T", "non-dropping-particle" : "", "parse-names" : false, "suffix" : "" }, { "dropping-particle" : "", "family" : "Schoenharting", "given" : "M", "non-dropping-particle" : "", "parse-names" : false, "suffix" : "" }, { "dropping-particle" : "", "family" : "Werner", "given" : "C", "non-dropping-particle" : "", "parse-names" : false, "suffix" : "" }, { "dropping-particle" : "", "family" : "Burmester", "given" : "G R", "non-dropping-particle" : "", "parse-names" : false, "suffix" : "" }, { "dropping-particle" : "", "family" : "Backhaus", "given" : "M", "non-dropping-particle" : "", "parse-names" : false, "suffix" : "" } ], "container-title" : "Ann Rheum Dis", "edition" : "2008/01/01", "id" : "ITEM-2", "issue" : "1", "issued" : { "date-parts" : [ [ "2008" ] ] }, "language" : "eng", "note" : "1468-2060\nSong, I H\nAlthoff, C E\nHermann, K G\nScheel, A K\nKnetsch, T\nSchoenharting, M\nWerner, C\nBurmester, G R\nBackhaus, M\nComparative Study\nControlled Clinical Trial\nJournal Article\nResearch Support, Non-U.S. Gov't\nEngland\nAnn Rheum Dis. 2008 Jan;67(1):19-25.", "page" : "19-25", "title" : "Knee osteoarthritis. Efficacy of a new method of contrast-enhanced musculoskeletal ultrasonography in detection of synovitis in patients with knee osteoarthritis in comparison with magnetic resonance imaging", "type" : "article-journal", "volume" : "67" }, "uris" : [ "http://www.mendeley.com/documents/?uuid=a77db6e1-5895-4786-bb1f-3b2016b2ca91" ] }, { "id" : "ITEM-3", "itemData" : { "DOI" : "http://dx.doi.org/10.1016/j.ejrad.2007.07.011", "ISBN" : "0720-048X", "author" : [ { "dropping-particle" : "", "family" : "Zordo", "given" : "Tobias", "non-dropping-particle" : "De", "parse-names" : false, "suffix" : "" }, { "dropping-particle" : "", "family" : "Mlekusch", "given" : "Sabine P", "non-dropping-particle" : "", "parse-names" : false, "suffix" : "" }, { "dropping-particle" : "", "family" : "Feuchtner", "given" : "Gudrun M", "non-dropping-particle" : "", "parse-names" : false, "suffix" : "" }, { "dropping-particle" : "", "family" : "Mur", "given" : "Erich", "non-dropping-particle" : "", "parse-names" : false, "suffix" : "" }, { "dropping-particle" : "", "family" : "Schirmer", "given" : "Michael", "non-dropping-particle" : "", "parse-names" : false, "suffix" : "" }, { "dropping-particle" : "", "family" : "Klauser", "given" : "Andrea S", "non-dropping-particle" : "", "parse-names" : false, "suffix" : "" } ], "container-title" : "Eur J Radiol", "id" : "ITEM-3", "issue" : "2", "issued" : { "date-parts" : [ [ "2007" ] ] }, "page" : "222-230", "title" : "Value of contrast-enhanced ultrasound in rheumatoid arthritis", "type" : "article-journal", "volume" : "64" }, "uris" : [ "http://www.mendeley.com/documents/?uuid=83edbd69-227c-47a8-a145-cdd951546d9f" ] }, { "id" : "ITEM-4", "itemData" : { "DOI" : "10.1117/2.1201506.006000", "ISSN" : "18182259", "author" : [ { "dropping-particle" : "", "family" : "Grisan", "given" : "Enrico", "non-dropping-particle" : "", "parse-names" : false, "suffix" : "" }, { "dropping-particle" : "", "family" : "Rizzo", "given" : "Gaia", "non-dropping-particle" : "", "parse-names" : false, "suffix" : "" }, { "dropping-particle" : "", "family" : "Coran", "given" : "Alessandro", "non-dropping-particle" : "", "parse-names" : false, "suffix" : "" }, { "dropping-particle" : "", "family" : "Raffeiner", "given" : "Bernd", "non-dropping-particle" : "", "parse-names" : false, "suffix" : "" }, { "dropping-particle" : "", "family" : "Stramare", "given" : "Roberto Stramare", "non-dropping-particle" : "", "parse-names" : false, "suffix" : "" } ], "container-title" : "SPIE Newsroom", "id" : "ITEM-4", "issued" : { "date-parts" : [ [ "2015", "7", "6" ] ] }, "title" : "Quantitative ultrasound for diagnosis and assessment of rheumatoid arthritis", "type" : "article-journal" }, "uris" : [ "http://www.mendeley.com/documents/?uuid=034dd427-7fa3-4046-b1bd-b697cfcdd095" ] }, { "id" : "ITEM-5", "itemData" : { "DOI" : "10.1007/s10067-015-2894-1", "ISSN" : "1434-9949", "PMID" : "25681071", "abstract" : "The purpose of the study was to assess the relationship of the continuous mode contrast-enhanced harmonic ultrasound (CEUS) imaging with the histopathological and immunohistochemical (IHC) quantitative estimation of microvascular proliferation on synovial samples of patients affected by sustained psoriatic arthritis (PsA). A dedicated linear transducer was used in conjunction with a specific continuous mode contrast enhanced harmonic imaging technology with a second-generation sulfur hexafluoride-filled microbubbles C-agent. The examination was carried out within 1 week before arthroscopic biopsies in 32 active joints. Perfusional parameters were analyzed including regional blood flow (RBF); peak (PEAK) of the C-signal intensity, proportional to the regional blood volume (RBV); beta (\u03b2) perfusion frequency; slope (S), representing the inclination of the tangent in the origin; and the refilling time (RT), the reverse of beta. Arthroscopic synovial biopsies were targeted in the hypervascularity areas, as in the same knee recesses assessed by CEUS; the synovial cell infiltrate and vascularity (vessel density) was evaluated by IHC staining of CD45 (mononuclear cell) and CD31, CD105 (endothelial cell) markers, measured by computer-assisted morphometric analysis. In the CEUS area examined, the corresponding time-intensity curves demonstrated a slow rise time. Synovial histology showed slight increased layer lining thickness, perivascular lymphomonocyte cell infiltration, and microvascular remodeling, with marked vessel wall thickening with reduction of the vascular lumen. A significant correlation was found between RT and CD31+ as PEAK and CD105+ vessel density; RT was inversely correlated to RBF, PEAK, S, and \u03b2. The study demonstrated the association of the CEUS perfusion kinetics with the histopathological quantitative and morphologic estimation of synovial microvascular proliferation, suggesting that a CEUS imaging represents a reliable tool for the estimate of the synovial hypervascularity in PsA.", "author" : [ { "dropping-particle" : "", "family" : "Fiocco", "given" : "Ugo", "non-dropping-particle" : "", "parse-names" : false, "suffix" : "" }, { "dropping-particle" : "", "family" : "Stramare", "given" : "Roberto", "non-dropping-particle" : "", "parse-names" : false, "suffix" : "" }, { "dropping-particle" : "", "family" : "Coran", "given" : "Alessandro", "non-dropping-particle" : "", "parse-names" : false, "suffix" : "" }, { "dropping-particle" : "", "family" : "Grisan", "given" : "Enrico", "non-dropping-particle" : "", "parse-names" : false, "suffix" : "" }, { "dropping-particle" : "", "family" : "Scagliori", "given" : "Elena", "non-dropping-particle" : "", "parse-names" : false, "suffix" : "" }, { "dropping-particle" : "", "family" : "Caso", "given" : "Francesco", "non-dropping-particle" : "", "parse-names" : false, "suffix" : "" }, { "dropping-particle" : "", "family" : "Costa", "given" : "Luisa", "non-dropping-particle" : "", "parse-names" : false, "suffix" : "" }, { "dropping-particle" : "", "family" : "Lunardi", "given" : "Francesca", "non-dropping-particle" : "", "parse-names" : false, "suffix" : "" }, { "dropping-particle" : "", "family" : "Oliviero", "given" : "Francesca", "non-dropping-particle" : "", "parse-names" : false, "suffix" : "" }, { "dropping-particle" : "", "family" : "Bianchi", "given" : "Fulvia Chieco", "non-dropping-particle" : "", "parse-names" : false, "suffix" : "" }, { "dropping-particle" : "", "family" : "Scanu", "given" : "Anna", "non-dropping-particle" : "", "parse-names" : false, "suffix" : "" }, { "dropping-particle" : "", "family" : "Martini", "given" : "Veronica", "non-dropping-particle" : "", "parse-names" : false, "suffix" : "" }, { "dropping-particle" : "", "family" : "Boso", "given" : "Daniele", "non-dropping-particle" : "", "parse-names" : false, "suffix" : "" }, { "dropping-particle" : "", "family" : "Beltrame", "given" : "Valeria", "non-dropping-particle" : "", "parse-names" : false, "suffix" : "" }, { "dropping-particle" : "", "family" : "Vezz\u00f9", "given" : "Maristella", "non-dropping-particle" : "", "parse-names" : false, "suffix" : "" }, { "dropping-particle" : "", "family" : "Cozzi", "given" : "Luisella", "non-dropping-particle" : "", "parse-names" : false, "suffix" : "" }, { "dropping-particle" : "", "family" : "Scarpa", "given" : "Raffaele", "non-dropping-particle" : "", "parse-names" : false, "suffix" : "" }, { "dropping-particle" : "", "family" : "Sacerdoti", "given" : "David", "non-dropping-particle" : "", "parse-names" : false, "suffix" : "" }, { "dropping-particle" : "", "family" : "Punzi", "given" : "Leonardo", "non-dropping-particle" : "", "parse-names" : false, "suffix" : "" }, { "dropping-particle" : "", "family" : "Doria", "given" : "Andrea", "non-dropping-particle" : "", "parse-names" : false, "suffix" : "" }, { "dropping-particle" : "", "family" : "Calabrese", "given" : "Fiorella", "non-dropping-particle" : "", "parse-names" : false, "suffix" : "" }, { "dropping-particle" : "", "family" : "Rubaltelli", "given" : "Leopoldo", "non-dropping-particle" : "", "parse-names" : false, "suffix" : "" } ], "container-title" : "Clinical rheumatology", "id" : "ITEM-5", "issue" : "11", "issued" : { "date-parts" : [ [ "2015" ] ] }, "page" : "1903-12", "title" : "Vascular perfusion kinetics by contrast-enhanced ultrasound are related to synovial microvascularity in the joints of psoriatic arthritis.", "type" : "article-journal", "volume" : "34" }, "uris" : [ "http://www.mendeley.com/documents/?uuid=d4e4f219-acc6-4372-b647-5218bc89f768" ] }, { "id" : "ITEM-6", "itemData" : { "ISBN" : "1545-7885", "author" : [ { "dropping-particle" : "", "family" : "Diez-Roux", "given" : "Graciana", "non-dropping-particle" : "", "parse-names" : false, "suffix" : "" }, { "dropping-particle" : "", "family" : "Banfi", "given" : "Sandro", "non-dropping-particle" : "", "parse-names" : false, "suffix" : "" }, { "dropping-particle" : "", "family" : "Sultan", "given" : "Marc", "non-dropping-particle" : "", "parse-names" : false, "suffix" : "" }, { "dropping-particle" : "", "family" : "Geffers", "given" : "Lars", "non-dropping-particle" : "", "parse-names" : false, "suffix" : "" }, { "dropping-particle" : "", "family" : "Anand", "given" : "Santosh", "non-dropping-particle" : "", "parse-names" : false, "suffix" : "" }, { "dropping-particle" : "", "family" : "Rozado", "given" : "David", "non-dropping-particle" : "", "parse-names" : false, "suffix" : "" }, { "dropping-particle" : "", "family" : "Magen", "given" : "Alon", "non-dropping-particle" : "", "parse-names" : false, "suffix" : "" }, { "dropping-particle" : "", "family" : "Canidio", "given" : "Elena", "non-dropping-particle" : "", "parse-names" : false, "suffix" : "" }, { "dropping-particle" : "", "family" : "Pagani", "given" : "Massimiliano", "non-dropping-particle" : "", "parse-names" : false, "suffix" : "" }, { "dropping-particle" : "", "family" : "Peluso", "given" : "Ivana", "non-dropping-particle" : "", "parse-names" : false, "suffix" : "" } ], "container-title" : "PLoS biology", "id" : "ITEM-6", "issue" : "1", "issued" : { "date-parts" : [ [ "2011" ] ] }, "page" : "e1000582", "title" : "A high-resolution anatomical atlas of the transcriptome in the mouse embryo", "type" : "article-journal", "volume" : "9" }, "uris" : [ "http://www.mendeley.com/documents/?uuid=7cb46469-d652-49d7-804d-aae133c3f726" ] }, { "id" : "ITEM-7", "itemData" : { "DOI" : "10.1002/acr.22195", "ISSN" : "2151-4658", "PMID" : "24124089", "abstract" : "OBJECTIVE: To evaluate if contrast-enhanced ultrasound (CEUS) can improve the detection and quantification of the vascularization of mild enthesitis in spondyloarthritis (SpA) and to evaluate the influence of nonsteroidal antiinflammatory drugs (NSAIDs) on such detection. METHODS: Fourteen patients with mildly active SpA were evaluated at 3 consecutive visits: at baseline while undergoing NSAID treatment (V1), after 1 week of stopping NSAIDs (V2), and after 1 week of resuming NSAIDs (V3). At each visit, enthesitis was evaluated clinically and by power Doppler US (PDUS). A selected enthesis with a doubtful PDUS vascularization signal was studied by CEUS in 2 steps: (1) using a dedicated technology that preserves microbubbles (Contrast Tuned Imaging technology [CEUS-CnTI]) and (2) using high PD (CEUS-PD) to destroy microbubbles. A linear mixed model statistical analysis, taking visits and contrast agent as fixed factors and the patient as a random factor, was used. RESULTS: Disease activity and PDUS findings increased between V1 and V2 and then decreased between V2 and V3. As compared with PDUS alone, CEUS-PD and CEUS-CnTI each detected 1 supplementary vascularized enthesis at V1, CEUS-PD detected 1 vascularized enthesis and CEUS-CnTI detected 3 vascularized entheses at V2, and CEUS-PD and CEUS-CnTI each detected 2 vascularized entheses at V3. The mean inflammation score was increased by the use of CEUS (P = 0.04). This score increased between V1 and V2 (P = 0.03 by CEUS-PD and P = 0.01 by CEUS-CnTI) and decreased between V2 and V3. CONCLUSION: CEUS improved the detection of enthesitis in SpA patients by confirming all doubtful enthesitis signals and confirming the absence of enthesis vascularization. The use of NSAIDs influenced the detection of vascularization.", "author" : [ { "dropping-particle" : "", "family" : "Mouterde", "given" : "Ga\u00ebl", "non-dropping-particle" : "", "parse-names" : false, "suffix" : "" }, { "dropping-particle" : "", "family" : "Aegerter", "given" : "Philippe", "non-dropping-particle" : "", "parse-names" : false, "suffix" : "" }, { "dropping-particle" : "", "family" : "Correas", "given" : "Jean-Michel", "non-dropping-particle" : "", "parse-names" : false, "suffix" : "" }, { "dropping-particle" : "", "family" : "Breban", "given" : "Maxime", "non-dropping-particle" : "", "parse-names" : false, "suffix" : "" }, { "dropping-particle" : "", "family" : "D'Agostino", "given" : "Maria-Antonietta", "non-dropping-particle" : "", "parse-names" : false, "suffix" : "" } ], "container-title" : "Arthritis care &amp; research", "id" : "ITEM-7", "issue" : "1", "issued" : { "date-parts" : [ [ "2014" ] ] }, "page" : "131-8", "title" : "Value of contrast-enhanced ultrasonography for the detection and quantification of enthesitis vascularization in patients with spondyloarthritis.", "type" : "article-journal", "volume" : "66" }, "uris" : [ "http://www.mendeley.com/documents/?uuid=f5bec06c-7979-4d1a-a242-dc102b83eae2" ] } ], "mendeley" : { "formattedCitation" : "[1\u20137]", "plainTextFormattedCitation" : "[1\u20137]", "previouslyFormattedCitation" : "[1\u20137]" }, "properties" : { "noteIndex" : 0 }, "schema" : "https://github.com/citation-style-language/schema/raw/master/csl-citation.json" }</w:instrText>
      </w:r>
      <w:r w:rsidR="00311386" w:rsidRPr="00975079">
        <w:fldChar w:fldCharType="separate"/>
      </w:r>
      <w:r w:rsidR="00311386" w:rsidRPr="00975079">
        <w:rPr>
          <w:noProof/>
        </w:rPr>
        <w:t>[1–7]</w:t>
      </w:r>
      <w:r w:rsidR="00311386" w:rsidRPr="00975079">
        <w:fldChar w:fldCharType="end"/>
      </w:r>
      <w:r w:rsidRPr="00975079">
        <w:t xml:space="preserve">. CEUS data are generally quantified at the region of interest (ROI) level, i.e. analyzing the time </w:t>
      </w:r>
      <w:r w:rsidR="005C0F9F" w:rsidRPr="00975079">
        <w:t>intensity</w:t>
      </w:r>
      <w:r w:rsidRPr="00975079">
        <w:t xml:space="preserve"> curve (</w:t>
      </w:r>
      <w:r w:rsidR="005C0F9F" w:rsidRPr="00975079">
        <w:t>TIC</w:t>
      </w:r>
      <w:r w:rsidRPr="00975079">
        <w:t xml:space="preserve">) obtained by averaging all pixel </w:t>
      </w:r>
      <w:r w:rsidR="005C0F9F" w:rsidRPr="00975079">
        <w:t>TIC</w:t>
      </w:r>
      <w:r w:rsidRPr="00975079">
        <w:t xml:space="preserve">s within a specific user-defined region. In a previous work, we have tackled the CEUS quantification problem at the pixel level and we have demonstrated that pixel-wise quantification allows </w:t>
      </w:r>
      <w:r w:rsidR="00342469" w:rsidRPr="00975079">
        <w:t>such an</w:t>
      </w:r>
      <w:r w:rsidRPr="00975079">
        <w:t xml:space="preserve"> effective characterization of different perfusion patterns that </w:t>
      </w:r>
      <w:r w:rsidR="00342469" w:rsidRPr="00975079">
        <w:t xml:space="preserve">they </w:t>
      </w:r>
      <w:r w:rsidRPr="00975079">
        <w:t xml:space="preserve">can be then used to discriminate between arthritis subtypes </w:t>
      </w:r>
      <w:r w:rsidR="00311386" w:rsidRPr="00975079">
        <w:fldChar w:fldCharType="begin" w:fldLock="1"/>
      </w:r>
      <w:r w:rsidR="00311386"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311386" w:rsidRPr="00975079">
        <w:fldChar w:fldCharType="separate"/>
      </w:r>
      <w:r w:rsidR="00311386" w:rsidRPr="00975079">
        <w:rPr>
          <w:noProof/>
        </w:rPr>
        <w:t>[8]</w:t>
      </w:r>
      <w:r w:rsidR="00311386" w:rsidRPr="00975079">
        <w:fldChar w:fldCharType="end"/>
      </w:r>
      <w:r w:rsidRPr="00975079">
        <w:t>.</w:t>
      </w:r>
      <w:r w:rsidR="0068470B" w:rsidRPr="00975079">
        <w:t xml:space="preserve"> </w:t>
      </w:r>
      <w:r w:rsidR="00E86FE1" w:rsidRPr="00975079">
        <w:t xml:space="preserve">Moreover, we showed that </w:t>
      </w:r>
      <w:r w:rsidRPr="00975079">
        <w:t xml:space="preserve">a physiologically motivated perfusion curve, such as the Gamma-variate model, can accurately quantify synovial perfusion and it is more flexible than a mono-exponential or logarithmic model (generally employed for CEUS kinetic description </w:t>
      </w:r>
      <w:r w:rsidR="00311386" w:rsidRPr="00975079">
        <w:fldChar w:fldCharType="begin" w:fldLock="1"/>
      </w:r>
      <w:r w:rsidR="00311386" w:rsidRPr="00975079">
        <w:instrText>ADDIN CSL_CITATION { "citationItems" : [ { "id" : "ITEM-1", "itemData" : { "DOI" : "10.1109/tuffc.2010.1550", "ISBN" : "0885-3010", "PMID" : "20529706", "abstract" : "Indicator dilution methods have a long history in the quantification of both macro- and microvascular blood flow in many clinical applications. Various models have been employed in the past to isolate the primary pass of an indicator after an intravenous bolus injection. The use of indicator dilution techniques allows for the estimation of hemodynamic parameters of a tumor or organ and thus may lead to useful diagnostic and therapy monitoring information. In this paper, we review and discuss the properties of the lognormal function, the gamma variate function, the diffusion with drift models, and the lagged normal function, which have been used to model indicator dilution curves in different fields of medicine. We fit these models to contrast-enhanced ultrasound time-intensity curves from liver metastases and the ovine corpora lutea. We evaluate the models' performance on the image data and compare their predictions for hemodynamic-related parameters such as the area under the curve, the mean transit time, the full-width at half-maximum, the time to the peak intensity, and wash-in time. The models that best fit the experimental data are the lognormal function and the diffusion with drift.", "author" : [ { "dropping-particle" : "", "family" : "Strouthos", "given" : "C", "non-dropping-particle" : "", "parse-names" : false, "suffix" : "" }, { "dropping-particle" : "", "family" : "Lampaskis", "given" : "M", "non-dropping-particle" : "", "parse-names" : false, "suffix" : "" }, { "dropping-particle" : "", "family" : "Sboros", "given" : "V", "non-dropping-particle" : "", "parse-names" : false, "suffix" : "" }, { "dropping-particle" : "", "family" : "McNeilly", "given" : "A", "non-dropping-particle" : "", "parse-names" : false, "suffix" : "" }, { "dropping-particle" : "", "family" : "Averkiou", "given" : "M", "non-dropping-particle" : "", "parse-names" : false, "suffix" : "" } ], "container-title" : "IEEE Trans Ultrason Ferroelectr Freq Control", "edition" : "2010/06/10", "id" : "ITEM-1", "issue" : "6", "issued" : { "date-parts" : [ [ "2010" ] ] }, "language" : "eng", "note" : "1525-8955\nStrouthos, Costas\nLampaskis, Marios\nSboros, Vassilis\nMcNeilly, Alan\nAverkiou, Michalakis\nG0800896/Medical Research Council/United Kingdom\nJournal Article\nReview\nUnited States\nIEEE Trans Ultrason Ferroelectr Freq Control. 2010 Jun;57(6):1296-310. doi: 10.1109/TUFFC.2010.1550.", "page" : "1296-1310", "title" : "Indicator dilution models for the quantification of microvascular blood flow with bolus administration of ultrasound contrast agents", "type" : "article-journal", "volume" : "57" }, "uris" : [ "http://www.mendeley.com/documents/?uuid=e674142c-6c0c-4cb1-9221-e4e95e943eb0" ] } ], "mendeley" : { "formattedCitation" : "[9]", "plainTextFormattedCitation" : "[9]", "previouslyFormattedCitation" : "[9]" }, "properties" : { "noteIndex" : 0 }, "schema" : "https://github.com/citation-style-language/schema/raw/master/csl-citation.json" }</w:instrText>
      </w:r>
      <w:r w:rsidR="00311386" w:rsidRPr="00975079">
        <w:fldChar w:fldCharType="separate"/>
      </w:r>
      <w:r w:rsidR="00311386" w:rsidRPr="00975079">
        <w:rPr>
          <w:noProof/>
        </w:rPr>
        <w:t>[9]</w:t>
      </w:r>
      <w:r w:rsidR="00311386" w:rsidRPr="00975079">
        <w:fldChar w:fldCharType="end"/>
      </w:r>
      <w:r w:rsidRPr="00975079">
        <w:t xml:space="preserve">) to describe many heterogeneous patterns </w:t>
      </w:r>
      <w:r w:rsidR="00311386" w:rsidRPr="00975079">
        <w:fldChar w:fldCharType="begin" w:fldLock="1"/>
      </w:r>
      <w:r w:rsidR="00311386"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311386" w:rsidRPr="00975079">
        <w:fldChar w:fldCharType="separate"/>
      </w:r>
      <w:r w:rsidR="00311386" w:rsidRPr="00975079">
        <w:rPr>
          <w:noProof/>
        </w:rPr>
        <w:t>[8]</w:t>
      </w:r>
      <w:r w:rsidR="00311386" w:rsidRPr="00975079">
        <w:fldChar w:fldCharType="end"/>
      </w:r>
      <w:r w:rsidRPr="00975079">
        <w:t>.</w:t>
      </w:r>
      <w:r w:rsidR="0068470B" w:rsidRPr="00975079">
        <w:t xml:space="preserve"> </w:t>
      </w:r>
      <w:r w:rsidR="003571EA" w:rsidRPr="00975079">
        <w:t xml:space="preserve">In fact, even though the mono-exponential model </w:t>
      </w:r>
      <w:r w:rsidR="00F23FC9" w:rsidRPr="00975079">
        <w:t>was originally presented</w:t>
      </w:r>
      <w:r w:rsidR="003571EA" w:rsidRPr="00975079">
        <w:t xml:space="preserve"> the model of choice for the region-based curve</w:t>
      </w:r>
      <w:r w:rsidR="00F23FC9" w:rsidRPr="00975079">
        <w:t xml:space="preserve"> </w:t>
      </w:r>
      <w:r w:rsidR="00F23FC9" w:rsidRPr="00975079">
        <w:fldChar w:fldCharType="begin" w:fldLock="1"/>
      </w:r>
      <w:r w:rsidR="00F23FC9" w:rsidRPr="00975079">
        <w:instrText>ADDIN CSL_CITATION { "citationItems" : [ { "id" : "ITEM-1", "itemData" : { "DOI" : "10.1007/s00330-005-2884-9", "ISBN" : "0938-7994", "author" : [ { "dropping-particle" : "", "family" : "Klauser", "given" : "Andrea", "non-dropping-particle" : "", "parse-names" : false, "suffix" : "" }, { "dropping-particle" : "", "family" : "Demharter", "given" : "Johannes", "non-dropping-particle" : "", "parse-names" : false, "suffix" : "" }, { "dropping-particle" : "", "family" : "Marchi", "given" : "Armanda", "non-dropping-particle" : "De", "parse-names" : false, "suffix" : "" }, { "dropping-particle" : "", "family" : "Sureda", "given" : "Delia", "non-dropping-particle" : "", "parse-names" : false, "suffix" : "" }, { "dropping-particle" : "", "family" : "Barile", "given" : "Antonio", "non-dropping-particle" : "", "parse-names" : false, "suffix" : "" }, { "dropping-particle" : "", "family" : "Masciocchi", "given" : "Carlo", "non-dropping-particle" : "", "parse-names" : false, "suffix" : "" }, { "dropping-particle" : "", "family" : "Faletti", "given" : "Carlo", "non-dropping-particle" : "", "parse-names" : false, "suffix" : "" }, { "dropping-particle" : "", "family" : "Schirmer", "given" : "Michael", "non-dropping-particle" : "", "parse-names" : false, "suffix" : "" }, { "dropping-particle" : "", "family" : "Kleffel", "given" : "Timm", "non-dropping-particle" : "", "parse-names" : false, "suffix" : "" }, { "dropping-particle" : "", "family" : "Bohndorf", "given" : "Klaus", "non-dropping-particle" : "", "parse-names" : false, "suffix" : "" } ], "container-title" : "European Radiology", "id" : "ITEM-1", "issue" : "12", "issued" : { "date-parts" : [ [ "2005" ] ] }, "language" : "English", "page" : "2404-2410", "publisher" : "Springer-Verlag", "title" : "Contrast enhanced gray-scale sonography in assessment of joint vascularity in rheumatoid arthritis: results from the IACUS study group", "type" : "article-journal", "volume" : "15" }, "uris" : [ "http://www.mendeley.com/documents/?uuid=a69ecc69-e2d0-4196-80fb-3c5e83a6cdc7" ] }, { "id" : "ITEM-2", "itemData" : { "DOI" : "10.1055/s-0031-1281671", "ISBN" : "0172-4614", "author" : [ { "dropping-particle" : "", "family" : "Klauser", "given" : "A S", "non-dropping-particle" : "", "parse-names" : false, "suffix" : "" }, { "dropping-particle" : "", "family" : "Franz", "given" : "M", "non-dropping-particle" : "", "parse-names" : false, "suffix" : "" }, { "dropping-particle" : "", "family" : "Bellmann Weiler", "given" : "R", "non-dropping-particle" : "", "parse-names" : false, "suffix" : "" }, { "dropping-particle" : "", "family" : "Gruber", "given" : "J", "non-dropping-particle" : "", "parse-names" : false, "suffix" : "" }, { "dropping-particle" : "", "family" : "Hartig", "given" : "F", "non-dropping-particle" : "", "parse-names" : false, "suffix" : "" }, { "dropping-particle" : "", "family" : "Mur", "given" : "E", "non-dropping-particle" : "", "parse-names" : false, "suffix" : "" }, { "dropping-particle" : "", "family" : "Wick", "given" : "M C", "non-dropping-particle" : "", "parse-names" : false, "suffix" : "" }, { "dropping-particle" : "", "family" : "Jaschke", "given" : "W", "non-dropping-particle" : "", "parse-names" : false, "suffix" : "" } ], "chapter-number" : "E31", "container-title" : "Ultraschall in Med", "edition" : "05.09.2011", "id" : "ITEM-2", "issue" : "S 02", "issued" : { "date-parts" : [ [ "2011" ] ] }, "language" : "De", "page" : "E31-E37", "title" : "Contrast-Enhanced Ultrasonography for the Detection of Joint Vascularity in Arthritis \u2013 Subjective Grading Versus Computer-Aided Objective Quantification", "type" : "article-journal", "volume" : "32" }, "uris" : [ "http://www.mendeley.com/documents/?uuid=2514ef87-2003-49b7-8990-a3dc9908218b" ] }, { "id" : "ITEM-3", "itemData" : { "DOI" : "10.1016/j.ejrad.2009.03.044", "ISBN" : "1872-7727 (Electronic)\r0720-048X (Linking)", "PMID" : "19410408", "abstract" : "OBJECTIVE: The quantification of synovitis is of great significance for adequate therapy management and follow-up in patients with Rheumatoid Arthritis (RA). The purpose of this study was to validate a semi-quantitative Power Doppler (PD) scoring system by comparing the PD scores to the objective measurement of the synovial inflammation using dynamic contrast-enhanced Pulse-Inversion Harmonic Imaging (PIHI). MATERIALS AND METHODS: In 27 patients with RA, two radiologists performed semi-quantitative scoring of a PD examination, using a four-point scale from 0 to 3, in the metacarpophalangeal joints, proximal interphalangeal joints, and the wrists. The scores were compared to the area under the time-echo intensity curves obtained by contrast-enhanced PIHI examination. The interobserver agreement for PD scoring was evaluated using the Cohen's kappa test. RESULTS: Preliminary results showed that the area under the curve of dynamic measurements of PIHI tended to correlate with PD scores. The interobserver agreement for PD scoring was good (kappa=0.768). DISCUSSION: Based on comparisons with dynamic contrast-enhanced PIHI, semi-quantitative PD scoring might meet the criteria for a reliable, reproducible, and practical scoring system. Although further studies that would include a larger study population are required, our preliminary results show that PIHI may not provide a real benefit for quantification of synovitis in day-to-day practice.", "author" : [ { "dropping-particle" : "", "family" : "Platzgummer", "given" : "H", "non-dropping-particle" : "", "parse-names" : false, "suffix" : "" }, { "dropping-particle" : "", "family" : "Schueller", "given" : "G", "non-dropping-particle" : "", "parse-names" : false, "suffix" : "" }, { "dropping-particle" : "", "family" : "Grisar", "given" : "J", "non-dropping-particle" : "", "parse-names" : false, "suffix" : "" }, { "dropping-particle" : "", "family" : "Weber", "given" : "M", "non-dropping-particle" : "", "parse-names" : false, "suffix" : "" }, { "dropping-particle" : "", "family" : "Schueller-Weidekamm", "given" : "C", "non-dropping-particle" : "", "parse-names" : false, "suffix" : "" } ], "container-title" : "Eur J Radiol", "id" : "ITEM-3", "issue" : "2", "issued" : { "date-parts" : [ [ "2009" ] ] }, "note" : "Platzgummer, Hannes\nSchueller, Gerd\nGrisar, Johannes\nWeber, Michael\nSchueller-Weidekamm, Claudia\neng\nComparative Study\nIreland\n2009/05/05 09:00\nEur J Radiol. 2009 Aug;71(2):237-41. doi: 10.1016/j.ejrad.2009.03.044. Epub 2009 May 1.", "page" : "237-241", "title" : "Quantification of synovitis in rheumatoid arthritis: do we really need quantitative measurement of contrast-enhanced ultrasound?", "type" : "article-journal", "volume" : "71" }, "uris" : [ "http://www.mendeley.com/documents/?uuid=5dce00a9-cec8-45da-a720-0e1b54b59527" ] } ], "mendeley" : { "formattedCitation" : "[1,10,11]", "plainTextFormattedCitation" : "[1,10,11]", "previouslyFormattedCitation" : "[1,10,11]" }, "properties" : { "noteIndex" : 0 }, "schema" : "https://github.com/citation-style-language/schema/raw/master/csl-citation.json" }</w:instrText>
      </w:r>
      <w:r w:rsidR="00F23FC9" w:rsidRPr="00975079">
        <w:fldChar w:fldCharType="separate"/>
      </w:r>
      <w:r w:rsidR="00F23FC9" w:rsidRPr="00975079">
        <w:rPr>
          <w:noProof/>
        </w:rPr>
        <w:t>[1,10,11]</w:t>
      </w:r>
      <w:r w:rsidR="00F23FC9" w:rsidRPr="00975079">
        <w:fldChar w:fldCharType="end"/>
      </w:r>
      <w:r w:rsidR="003571EA" w:rsidRPr="00975079">
        <w:t>, it does not represent the appropriate model for the analysis at the pixel level and in this case the Gamma-variate model is to be preferred</w:t>
      </w:r>
      <w:r w:rsidR="00F23FC9" w:rsidRPr="00975079">
        <w:t xml:space="preserve"> </w:t>
      </w:r>
      <w:r w:rsidR="00F23FC9" w:rsidRPr="00975079">
        <w:fldChar w:fldCharType="begin" w:fldLock="1"/>
      </w:r>
      <w:r w:rsidR="00B03AE6" w:rsidRPr="00975079">
        <w:instrText>ADDIN CSL_CITATION { "citationItems" : [ { "id" : "ITEM-1", "itemData" : { "DOI" : "10.3233/CH-2009-1216", "ISSN" : "1875-8622 (Electronic)", "PMID" : "19713597", "abstract" : "Ultrasound contrast agents contain tiny gas-filled microbubbles which on intravenous injection are transported like red blood cells by the bloodstream. They are distributed to the entire macro- and microvascular system without extravasation (blood-pool tracer). Contrast-specific ultrasound modalities allow selective imaging of these microbubble contrast agents in real time, with excellent separation from underlying tissue signals. The dynamic wash-in and wash-out of a contrast bolus allows the detection and quantitative assessment of vascular flow and parenchymal perfusion. On complete filling of vascular structures the microbubble distribution delineates the vascular lumen and depicts the vascular architecture, down to tiny branches within parenchymal tissue. Mathematical models for bolus kinetics and flash/replenishment kinetics allow precise quantification of relative blood volume and blood flow, with high temporal and spatial resolution. Contrast-enhanced ultrasound examinations can be repeated at short intervals and performed at the bedside, making this diagnostic method convenient for guidance of interventions and therapy monitoring. Future applications include the use of microbubbles as target-specific molecular imaging agents and as delivery systems for local drug and gene therapies.", "author" : [ { "dropping-particle" : "", "family" : "Greis", "given" : "Christian", "non-dropping-particle" : "", "parse-names" : false, "suffix" : "" } ], "container-title" : "Clinical hemorheology and microcirculation", "id" : "ITEM-1", "issue" : "1-2", "issued" : { "date-parts" : [ [ "2009" ] ] }, "language" : "eng", "page" : "1-9", "publisher-place" : "Netherlands", "title" : "Ultrasound contrast agents as markers of vascularity and microcirculation.", "type" : "article-journal", "volume" : "43" }, "uris" : [ "http://www.mendeley.com/documents/?uuid=5ac769ce-b2da-44f4-8250-a03e23e53349" ] }, { "id" : "ITEM-2", "itemData" : { "DOI" : "10.1109/tuffc.2010.1550", "ISBN" : "0885-3010", "PMID" : "20529706", "abstract" : "Indicator dilution methods have a long history in the quantification of both macro- and microvascular blood flow in many clinical applications. Various models have been employed in the past to isolate the primary pass of an indicator after an intravenous bolus injection. The use of indicator dilution techniques allows for the estimation of hemodynamic parameters of a tumor or organ and thus may lead to useful diagnostic and therapy monitoring information. In this paper, we review and discuss the properties of the lognormal function, the gamma variate function, the diffusion with drift models, and the lagged normal function, which have been used to model indicator dilution curves in different fields of medicine. We fit these models to contrast-enhanced ultrasound time-intensity curves from liver metastases and the ovine corpora lutea. We evaluate the models' performance on the image data and compare their predictions for hemodynamic-related parameters such as the area under the curve, the mean transit time, the full-width at half-maximum, the time to the peak intensity, and wash-in time. The models that best fit the experimental data are the lognormal function and the diffusion with drift.", "author" : [ { "dropping-particle" : "", "family" : "Strouthos", "given" : "C", "non-dropping-particle" : "", "parse-names" : false, "suffix" : "" }, { "dropping-particle" : "", "family" : "Lampaskis", "given" : "M", "non-dropping-particle" : "", "parse-names" : false, "suffix" : "" }, { "dropping-particle" : "", "family" : "Sboros", "given" : "V", "non-dropping-particle" : "", "parse-names" : false, "suffix" : "" }, { "dropping-particle" : "", "family" : "McNeilly", "given" : "A", "non-dropping-particle" : "", "parse-names" : false, "suffix" : "" }, { "dropping-particle" : "", "family" : "Averkiou", "given" : "M", "non-dropping-particle" : "", "parse-names" : false, "suffix" : "" } ], "container-title" : "IEEE Trans Ultrason Ferroelectr Freq Control", "edition" : "2010/06/10", "id" : "ITEM-2", "issue" : "6", "issued" : { "date-parts" : [ [ "2010" ] ] }, "language" : "eng", "note" : "1525-8955\nStrouthos, Costas\nLampaskis, Marios\nSboros, Vassilis\nMcNeilly, Alan\nAverkiou, Michalakis\nG0800896/Medical Research Council/United Kingdom\nJournal Article\nReview\nUnited States\nIEEE Trans Ultrason Ferroelectr Freq Control. 2010 Jun;57(6):1296-310. doi: 10.1109/TUFFC.2010.1550.", "page" : "1296-1310", "title" : "Indicator dilution models for the quantification of microvascular blood flow with bolus administration of ultrasound contrast agents", "type" : "article-journal", "volume" : "57" }, "uris" : [ "http://www.mendeley.com/documents/?uuid=e674142c-6c0c-4cb1-9221-e4e95e943eb0" ] } ], "mendeley" : { "formattedCitation" : "[9,12]", "plainTextFormattedCitation" : "[9,12]", "previouslyFormattedCitation" : "[9,12]" }, "properties" : { "noteIndex" : 0 }, "schema" : "https://github.com/citation-style-language/schema/raw/master/csl-citation.json" }</w:instrText>
      </w:r>
      <w:r w:rsidR="00F23FC9" w:rsidRPr="00975079">
        <w:fldChar w:fldCharType="separate"/>
      </w:r>
      <w:r w:rsidR="00F23FC9" w:rsidRPr="00975079">
        <w:rPr>
          <w:noProof/>
        </w:rPr>
        <w:t>[9,12]</w:t>
      </w:r>
      <w:r w:rsidR="00F23FC9" w:rsidRPr="00975079">
        <w:fldChar w:fldCharType="end"/>
      </w:r>
      <w:r w:rsidR="003571EA" w:rsidRPr="00975079">
        <w:t>.</w:t>
      </w:r>
    </w:p>
    <w:p w14:paraId="7EAA0EC0" w14:textId="594EFBAF" w:rsidR="00DD3A36" w:rsidRPr="00975079" w:rsidRDefault="00DD3A36" w:rsidP="0079732D">
      <w:pPr>
        <w:pStyle w:val="Text"/>
      </w:pPr>
      <w:r w:rsidRPr="00975079">
        <w:t xml:space="preserve">However, there are two issues that were not fully addressed in our previous work: first, in some cases the heterogeneity of the CEUS kinetics can be such that even a </w:t>
      </w:r>
      <w:r w:rsidR="00350E78" w:rsidRPr="00975079">
        <w:t>Gamma-variate</w:t>
      </w:r>
      <w:r w:rsidRPr="00975079">
        <w:t xml:space="preserve"> model does not properly describe </w:t>
      </w:r>
      <w:r w:rsidR="00E86FE1" w:rsidRPr="00975079">
        <w:t>the</w:t>
      </w:r>
      <w:r w:rsidRPr="00975079">
        <w:t xml:space="preserve"> time course</w:t>
      </w:r>
      <w:r w:rsidR="00E86FE1" w:rsidRPr="00975079">
        <w:t>s</w:t>
      </w:r>
      <w:r w:rsidRPr="00975079">
        <w:t xml:space="preserve">. One possible source of this heterogeneity, generally ignored in CEUS data modeling, can be an apparent trapping of the microbubbles in newly formed vasculature, when characterized by high tortuosity </w:t>
      </w:r>
      <w:r w:rsidR="00311386" w:rsidRPr="00975079">
        <w:fldChar w:fldCharType="begin" w:fldLock="1"/>
      </w:r>
      <w:r w:rsidR="00B03AE6" w:rsidRPr="00975079">
        <w:instrText>ADDIN CSL_CITATION { "citationItems" : [ { "id" : "ITEM-1", "itemData" : { "ISSN" : "0315-162X", "PMID" : "12563678", "abstract" : "OBJECTIVE To examine angiogenic growth factors in patients with early, untreated inflammatory arthritides and controls. METHODS Synovial membrane (SM) infiltrate and Ang1, Ang2, and vascular endothelial growth factor (VEGF) mRNA and protein expression were examined using immunohistochemistry and in situ hybridization. Synovial fluid (SF) VEGF, transforming growth factor-beta (TGF-beta 1), and tumor necrosis factor-alpha (TNF-alpha) protein were measured by ELISA. Vascular morphology was assessed at arthroscopy. RESULTS Ang2 mRNA and protein expression was observed in early psoriatic arthritis (PsA) and rheumatoid arthritis (RA) SM. Expression of Ang2 and VEGF was significantly greater in early PsA SM and correlated strongly. SF VEGF and TGF-beta 1 concentrations were also significantly higher in early PsA compared to RA. Distinct vascular morphology, with tortuous vessels in PsA, correlated with microscopic vascular scores (r = 0.54, p = 0.005) and VEGF levels (r = 0.51, p = 0.01). Ang1 mRNA and protein expression was observed, but concentrations were markedly lower than for Ang2 and VEGF. Clinical disease activity, SM infiltration, and SF TNF-alpha concentrations were similar in both groups. CONCLUSION This is the first report of angiopoietin expression in early inflammatory arthritis. There is a close relationship between angiopoietins, VEGF, TGF-beta, and vascular morphology. There is differential angiogenesis at an early stage of inflammation, with major pathogenic and therapeutic implications.", "author" : [ { "dropping-particle" : "", "family" : "Fearon", "given" : "Ursula", "non-dropping-particle" : "", "parse-names" : false, "suffix" : "" }, { "dropping-particle" : "", "family" : "Griosios", "given" : "Konstantina", "non-dropping-particle" : "", "parse-names" : false, "suffix" : "" }, { "dropping-particle" : "", "family" : "Fraser", "given" : "Alexander", "non-dropping-particle" : "", "parse-names" : false, "suffix" : "" }, { "dropping-particle" : "", "family" : "Reece", "given" : "Richard", "non-dropping-particle" : "", "parse-names" : false, "suffix" : "" }, { "dropping-particle" : "", "family" : "Emery", "given" : "Paul", "non-dropping-particle" : "", "parse-names" : false, "suffix" : "" }, { "dropping-particle" : "", "family" : "Jones", "given" : "Pamela F", "non-dropping-particle" : "", "parse-names" : false, "suffix" : "" }, { "dropping-particle" : "", "family" : "Veale", "given" : "Douglas J", "non-dropping-particle" : "", "parse-names" : false, "suffix" : "" } ], "container-title" : "The Journal of rheumatology", "id" : "ITEM-1", "issue" : "2", "issued" : { "date-parts" : [ [ "2003" ] ] }, "page" : "260-8", "title" : "Angiopoietins, growth factors, and vascular morphology in early arthritis.", "type" : "article-journal", "volume" : "30" }, "uris" : [ "http://www.mendeley.com/documents/?uuid=8cbfe172-70c5-4e1c-af5f-4ddb2b457013" ] }, { "id" : "ITEM-2", "itemData" : { "DOI" : "10.1002/art.27287", "ISSN" : "00043591", "author" : [ { "dropping-particle" : "", "family" : "Kennedy", "given" : "Aisling", "non-dropping-particle" : "", "parse-names" : false, "suffix" : "" }, { "dropping-particle" : "", "family" : "Ng", "given" : "Chin Teck", "non-dropping-particle" : "", "parse-names" : false, "suffix" : "" }, { "dropping-particle" : "", "family" : "Biniecka", "given" : "Monika", "non-dropping-particle" : "", "parse-names" : false, "suffix" : "" }, { "dropping-particle" : "", "family" : "Saber", "given" : "Tajvur", "non-dropping-particle" : "", "parse-names" : false, "suffix" : "" }, { "dropping-particle" : "", "family" : "Taylor", "given" : "Cormac", "non-dropping-particle" : "", "parse-names" : false, "suffix" : "" }, { "dropping-particle" : "", "family" : "O'Sullivan", "given" : "Jacintha", "non-dropping-particle" : "", "parse-names" : false, "suffix" : "" }, { "dropping-particle" : "", "family" : "Veale", "given" : "Douglas J.", "non-dropping-particle" : "", "parse-names" : false, "suffix" : "" }, { "dropping-particle" : "", "family" : "Fearon", "given" : "Ursula", "non-dropping-particle" : "", "parse-names" : false, "suffix" : "" } ], "container-title" : "Arthritis &amp; Rheumatism", "id" : "ITEM-2", "issue" : "3", "issued" : { "date-parts" : [ [ "2010" ] ] }, "page" : "711-721", "title" : "Angiogenesis and blood vessel stability in inflammatory arthritis", "type" : "article-journal", "volume" : "62" }, "uris" : [ "http://www.mendeley.com/documents/?uuid=e7d3ffc4-d39e-4c37-869d-7827bb00f32e" ] } ], "mendeley" : { "formattedCitation" : "[13,14]", "plainTextFormattedCitation" : "[13,14]", "previouslyFormattedCitation" : "[13,14]" }, "properties" : { "noteIndex" : 0 }, "schema" : "https://github.com/citation-style-language/schema/raw/master/csl-citation.json" }</w:instrText>
      </w:r>
      <w:r w:rsidR="00311386" w:rsidRPr="00975079">
        <w:fldChar w:fldCharType="separate"/>
      </w:r>
      <w:r w:rsidR="00F23FC9" w:rsidRPr="00975079">
        <w:rPr>
          <w:noProof/>
        </w:rPr>
        <w:t>[13,14]</w:t>
      </w:r>
      <w:r w:rsidR="00311386" w:rsidRPr="00975079">
        <w:fldChar w:fldCharType="end"/>
      </w:r>
      <w:r w:rsidRPr="00975079">
        <w:t xml:space="preserve">. </w:t>
      </w:r>
      <w:r w:rsidR="009E461C" w:rsidRPr="00975079">
        <w:t xml:space="preserve">This apparent trapping can also be explained by the limited temporal duration of the CEUS scan, that prevents the identification of a very slow washout from the data. </w:t>
      </w:r>
      <w:r w:rsidRPr="00975079">
        <w:t xml:space="preserve">This problem has already been considered in other contrast-based imaging techniques (e.g. in </w:t>
      </w:r>
      <w:r w:rsidR="00350E78" w:rsidRPr="00975079">
        <w:t>dynamic susceptibility contrast magnetic resonance imaging, DSC-MRI</w:t>
      </w:r>
      <w:r w:rsidRPr="00975079">
        <w:t>), where the original Ga</w:t>
      </w:r>
      <w:r w:rsidR="00E86FE1" w:rsidRPr="00975079">
        <w:t>mma-variate</w:t>
      </w:r>
      <w:r w:rsidRPr="00975079">
        <w:t xml:space="preserve"> was augmented with its integral to explicitly model the recirculation of the contrast </w:t>
      </w:r>
      <w:r w:rsidRPr="00975079">
        <w:lastRenderedPageBreak/>
        <w:t xml:space="preserve">agent (single compartment recirculation, SCR) </w:t>
      </w:r>
      <w:r w:rsidR="00311386" w:rsidRPr="00975079">
        <w:fldChar w:fldCharType="begin" w:fldLock="1"/>
      </w:r>
      <w:r w:rsidR="00B03AE6" w:rsidRPr="00975079">
        <w:instrText>ADDIN CSL_CITATION { "citationItems" : [ { "id" : "ITEM-1", "itemData" : { "DOI" : "10.1002/mrm.20049", "ISSN" : "1522-2594", "author" : [ { "dropping-particle" : "", "family" : "Johnson", "given" : "Glyn", "non-dropping-particle" : "", "parse-names" : false, "suffix" : "" }, { "dropping-particle" : "", "family" : "Wetzel", "given" : "Stephan G", "non-dropping-particle" : "", "parse-names" : false, "suffix" : "" }, { "dropping-particle" : "", "family" : "Cha", "given" : "Soonmee", "non-dropping-particle" : "", "parse-names" : false, "suffix" : "" }, { "dropping-particle" : "", "family" : "Babb", "given" : "James", "non-dropping-particle" : "", "parse-names" : false, "suffix" : "" }, { "dropping-particle" : "", "family" : "Tofts", "given" : "Paul S", "non-dropping-particle" : "", "parse-names" : false, "suffix" : "" } ], "container-title" : "Magnetic Resonance in Medicine", "id" : "ITEM-1", "issue" : "5", "issued" : { "date-parts" : [ [ "2004" ] ] }, "page" : "961-968", "title" : "Measuring blood volume and vascular transfer constant from dynamic, T 2*-weighted contrast-enhanced MRI", "type" : "article-journal", "volume" : "51" }, "uris" : [ "http://www.mendeley.com/documents/?uuid=48702769-0a55-4f69-b6d2-e63e6e0990ce" ] }, { "id" : "ITEM-2", "itemData" : { "DOI" : "10.1118/1.3658570", "ISSN" : "0094-2405", "PMID" : "22149821", "abstract" : "PURPOSE: Quantification of perfusion measurements using dynamic, susceptibility-weighted contrast-enhanced (DSC) MRI depends on estimating the size and shape of the tracer bolus. Typically, the bolus is described as a gamma variate function (GV) fitted to the bolus portion of tracer concentration time curve (CTC). However, the last point to fit is arbitrary which can lead to considerable variation in the fitted curve in the presence of noise. In this technical note, we present a model which takes into account recirculation explicitly and fits robustly to the entire CTC in the presence of noise. METHODS: Signal data measurements from ten DSC MRI patients were fitted with our new model and a GV function using four different methods of estimating the end of the bolus. Estimates of the area under the curves (AUC) and first moments (FMs) of the bolus were compared at different noise levels. RESULTS: The new model gave errors similar to or smaller than those of the most effective methods for fitting a GV. CONCLUSIONS: The single compartment recirculation (SCR) model is the most robust fitting technique with respect to noise both for bias and variability.", "author" : [ { "dropping-particle" : "", "family" : "Patil", "given" : "Vishal", "non-dropping-particle" : "", "parse-names" : false, "suffix" : "" }, { "dropping-particle" : "", "family" : "Johnson", "given" : "Glyn", "non-dropping-particle" : "", "parse-names" : false, "suffix" : "" } ], "container-title" : "Medical physics", "id" : "ITEM-2", "issue" : "12", "issued" : { "date-parts" : [ [ "2011" ] ] }, "page" : "6380-3", "title" : "An improved model for describing the contrast bolus in perfusion MRI.", "type" : "article-journal", "volume" : "38" }, "uris" : [ "http://www.mendeley.com/documents/?uuid=05f0802a-faf1-4fda-89a5-09a78ac5d5e4" ] } ], "mendeley" : { "formattedCitation" : "[15,16]", "plainTextFormattedCitation" : "[15,16]", "previouslyFormattedCitation" : "[15,16]" }, "properties" : { "noteIndex" : 0 }, "schema" : "https://github.com/citation-style-language/schema/raw/master/csl-citation.json" }</w:instrText>
      </w:r>
      <w:r w:rsidR="00311386" w:rsidRPr="00975079">
        <w:fldChar w:fldCharType="separate"/>
      </w:r>
      <w:r w:rsidR="00F23FC9" w:rsidRPr="00975079">
        <w:rPr>
          <w:noProof/>
        </w:rPr>
        <w:t>[15,16]</w:t>
      </w:r>
      <w:r w:rsidR="00311386" w:rsidRPr="00975079">
        <w:fldChar w:fldCharType="end"/>
      </w:r>
      <w:r w:rsidRPr="00975079">
        <w:t xml:space="preserve">. However, nothing similar has ever been </w:t>
      </w:r>
      <w:r w:rsidR="00396D8A" w:rsidRPr="00975079">
        <w:t xml:space="preserve">investigated </w:t>
      </w:r>
      <w:r w:rsidRPr="00975079">
        <w:t>for CEUS images quantification.</w:t>
      </w:r>
    </w:p>
    <w:p w14:paraId="5D04E133" w14:textId="4D8AB8DA" w:rsidR="00DD3A36" w:rsidRPr="00975079" w:rsidRDefault="00342469" w:rsidP="0079732D">
      <w:pPr>
        <w:pStyle w:val="Text"/>
      </w:pPr>
      <w:r w:rsidRPr="00975079">
        <w:t>The</w:t>
      </w:r>
      <w:r w:rsidR="00DD3A36" w:rsidRPr="00975079">
        <w:t xml:space="preserve"> second issue is the choice of the pixel-wise estimator of the perfusion kinetic model to perform parametric mapping. The use of a non-linear estimator, </w:t>
      </w:r>
      <w:r w:rsidR="00396D8A" w:rsidRPr="00975079">
        <w:t xml:space="preserve">the </w:t>
      </w:r>
      <w:r w:rsidR="00DD3A36" w:rsidRPr="00975079">
        <w:t xml:space="preserve">standard </w:t>
      </w:r>
      <w:r w:rsidR="00396D8A" w:rsidRPr="00975079">
        <w:t xml:space="preserve">method </w:t>
      </w:r>
      <w:r w:rsidR="00DD3A36" w:rsidRPr="00975079">
        <w:t xml:space="preserve">for ROI-based quantification, leads to a high number of unreliable estimates (between 40% and 50% of pixels) </w:t>
      </w:r>
      <w:r w:rsidR="002C6647" w:rsidRPr="00975079">
        <w:t>when applied at</w:t>
      </w:r>
      <w:r w:rsidR="00396D8A" w:rsidRPr="00975079">
        <w:t xml:space="preserve"> pixel-level, thus </w:t>
      </w:r>
      <w:r w:rsidR="00DD3A36" w:rsidRPr="00975079">
        <w:t xml:space="preserve">losing </w:t>
      </w:r>
      <w:r w:rsidRPr="00975079">
        <w:t xml:space="preserve">an </w:t>
      </w:r>
      <w:r w:rsidR="00DD3A36" w:rsidRPr="00975079">
        <w:t xml:space="preserve">important part of the physiological information in the synovia </w:t>
      </w:r>
      <w:r w:rsidR="007414A7" w:rsidRPr="00975079">
        <w:fldChar w:fldCharType="begin" w:fldLock="1"/>
      </w:r>
      <w:r w:rsidR="007414A7"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7414A7" w:rsidRPr="00975079">
        <w:fldChar w:fldCharType="separate"/>
      </w:r>
      <w:r w:rsidR="007414A7" w:rsidRPr="00975079">
        <w:rPr>
          <w:noProof/>
        </w:rPr>
        <w:t>[8]</w:t>
      </w:r>
      <w:r w:rsidR="007414A7" w:rsidRPr="00975079">
        <w:fldChar w:fldCharType="end"/>
      </w:r>
      <w:r w:rsidR="00DD3A36" w:rsidRPr="00975079">
        <w:t>. A valid alternative for pixel-wise quantification is represented by Bayesian methods, which incorporate prior information on the tissue kinetic and are widely used in other imaging techniques but seldom applied to CEUS data.</w:t>
      </w:r>
    </w:p>
    <w:p w14:paraId="1F403F44" w14:textId="7BEBCA1C" w:rsidR="00DD3A36" w:rsidRPr="00975079" w:rsidRDefault="00DD3A36" w:rsidP="0079732D">
      <w:pPr>
        <w:pStyle w:val="Text"/>
      </w:pPr>
      <w:r w:rsidRPr="00975079">
        <w:t>In the current work, our aim is two-fold: first, to impro</w:t>
      </w:r>
      <w:r w:rsidR="00DE4776" w:rsidRPr="00975079">
        <w:t>ve the CEUS data quantification</w:t>
      </w:r>
      <w:r w:rsidRPr="00975079">
        <w:t xml:space="preserve"> by including an irreversible component in the model, and, second, to present a more robust and efficient estimation algorithm for the derivation of the pixel-wise estimates of perfusion information. </w:t>
      </w:r>
    </w:p>
    <w:p w14:paraId="7EC7D018" w14:textId="2BB71D20" w:rsidR="00DD3A36" w:rsidRPr="00975079" w:rsidRDefault="00DD3A36" w:rsidP="0079732D">
      <w:pPr>
        <w:pStyle w:val="Text"/>
      </w:pPr>
      <w:r w:rsidRPr="00975079">
        <w:t xml:space="preserve">In particular, we applied the SCR model of </w:t>
      </w:r>
      <w:r w:rsidR="007414A7" w:rsidRPr="00975079">
        <w:fldChar w:fldCharType="begin" w:fldLock="1"/>
      </w:r>
      <w:r w:rsidR="00B03AE6" w:rsidRPr="00975079">
        <w:instrText>ADDIN CSL_CITATION { "citationItems" : [ { "id" : "ITEM-1", "itemData" : { "DOI" : "10.1002/mrm.20049", "ISSN" : "1522-2594", "author" : [ { "dropping-particle" : "", "family" : "Johnson", "given" : "Glyn", "non-dropping-particle" : "", "parse-names" : false, "suffix" : "" }, { "dropping-particle" : "", "family" : "Wetzel", "given" : "Stephan G", "non-dropping-particle" : "", "parse-names" : false, "suffix" : "" }, { "dropping-particle" : "", "family" : "Cha", "given" : "Soonmee", "non-dropping-particle" : "", "parse-names" : false, "suffix" : "" }, { "dropping-particle" : "", "family" : "Babb", "given" : "James", "non-dropping-particle" : "", "parse-names" : false, "suffix" : "" }, { "dropping-particle" : "", "family" : "Tofts", "given" : "Paul S", "non-dropping-particle" : "", "parse-names" : false, "suffix" : "" } ], "container-title" : "Magnetic Resonance in Medicine", "id" : "ITEM-1", "issue" : "5", "issued" : { "date-parts" : [ [ "2004" ] ] }, "page" : "961-968", "title" : "Measuring blood volume and vascular transfer constant from dynamic, T 2*-weighted contrast-enhanced MRI", "type" : "article-journal", "volume" : "51" }, "uris" : [ "http://www.mendeley.com/documents/?uuid=48702769-0a55-4f69-b6d2-e63e6e0990ce" ] }, { "id" : "ITEM-2", "itemData" : { "DOI" : "10.1118/1.3658570", "ISSN" : "0094-2405", "PMID" : "22149821", "abstract" : "PURPOSE: Quantification of perfusion measurements using dynamic, susceptibility-weighted contrast-enhanced (DSC) MRI depends on estimating the size and shape of the tracer bolus. Typically, the bolus is described as a gamma variate function (GV) fitted to the bolus portion of tracer concentration time curve (CTC). However, the last point to fit is arbitrary which can lead to considerable variation in the fitted curve in the presence of noise. In this technical note, we present a model which takes into account recirculation explicitly and fits robustly to the entire CTC in the presence of noise. METHODS: Signal data measurements from ten DSC MRI patients were fitted with our new model and a GV function using four different methods of estimating the end of the bolus. Estimates of the area under the curves (AUC) and first moments (FMs) of the bolus were compared at different noise levels. RESULTS: The new model gave errors similar to or smaller than those of the most effective methods for fitting a GV. CONCLUSIONS: The single compartment recirculation (SCR) model is the most robust fitting technique with respect to noise both for bias and variability.", "author" : [ { "dropping-particle" : "", "family" : "Patil", "given" : "Vishal", "non-dropping-particle" : "", "parse-names" : false, "suffix" : "" }, { "dropping-particle" : "", "family" : "Johnson", "given" : "Glyn", "non-dropping-particle" : "", "parse-names" : false, "suffix" : "" } ], "container-title" : "Medical physics", "id" : "ITEM-2", "issue" : "12", "issued" : { "date-parts" : [ [ "2011" ] ] }, "page" : "6380-3", "title" : "An improved model for describing the contrast bolus in perfusion MRI.", "type" : "article-journal", "volume" : "38" }, "uris" : [ "http://www.mendeley.com/documents/?uuid=05f0802a-faf1-4fda-89a5-09a78ac5d5e4" ] } ], "mendeley" : { "formattedCitation" : "[15,16]", "plainTextFormattedCitation" : "[15,16]", "previouslyFormattedCitation" : "[15,16]" }, "properties" : { "noteIndex" : 0 }, "schema" : "https://github.com/citation-style-language/schema/raw/master/csl-citation.json" }</w:instrText>
      </w:r>
      <w:r w:rsidR="007414A7" w:rsidRPr="00975079">
        <w:fldChar w:fldCharType="separate"/>
      </w:r>
      <w:r w:rsidR="00F23FC9" w:rsidRPr="00975079">
        <w:rPr>
          <w:noProof/>
        </w:rPr>
        <w:t>[15,16]</w:t>
      </w:r>
      <w:r w:rsidR="007414A7" w:rsidRPr="00975079">
        <w:fldChar w:fldCharType="end"/>
      </w:r>
      <w:r w:rsidRPr="00975079">
        <w:t xml:space="preserve"> to CEUS data, but we solved it at pixel level within a Bayesian framework</w:t>
      </w:r>
      <w:r w:rsidR="002C6647" w:rsidRPr="00975079">
        <w:t xml:space="preserve"> using a Variational Bayesian</w:t>
      </w:r>
      <w:r w:rsidRPr="00975079">
        <w:t xml:space="preserve"> estimator</w:t>
      </w:r>
      <w:r w:rsidR="001A6F4F" w:rsidRPr="00975079">
        <w:t xml:space="preserve"> </w:t>
      </w:r>
      <w:r w:rsidR="001A6F4F" w:rsidRPr="00975079">
        <w:fldChar w:fldCharType="begin" w:fldLock="1"/>
      </w:r>
      <w:r w:rsidR="001A6F4F" w:rsidRPr="00975079">
        <w:instrText>ADDIN CSL_CITATION { "citationItems" : [ { "id" : "ITEM-1", "itemData" : { "abstract" : "This paper presents a novel practical framework for Bayesian model averaging and model selection in probabilistic graphical models. Our approach approximates full posterior distributions over model parameters and structures, as well as latent variables, in an analytical manner. These posteriors fall out of a free-form optimization procedure, which naturally incorporates conjugate priors. Unlike in large sample approximations, the posteriors are generally {nonGaussian} and no Hessian needs to be computed. Predictive quantities are obtained analytically. The resulting algorithm generalizes the standard Expectation Maximization algorithm, and its convergence is guaranteed. We demonstrate that this approach can be applied to a large class of models in several domains, including mixture models and source separation. 1 Introduction A standard method to learn a graphical model 1 from data is maximum likelihood ({ML}). Given a training dataset, {ML} estimates a single optimal value f...", "author" : [ { "dropping-particle" : "", "family" : "Attias", "given" : "Hagai", "non-dropping-particle" : "", "parse-names" : false, "suffix" : "" } ], "container-title" : "In Advances in Neural Information Processing Systems 12", "id" : "ITEM-1", "issued" : { "date-parts" : [ [ "2000" ] ] }, "page" : "209-215", "title" : "A Variational Bayesian Framework for Graphical Models", "type" : "paper-conference", "volume" : "12" }, "uris" : [ "http://www.mendeley.com/documents/?uuid=a58b87f2-85f9-439f-ace1-542e92132265" ] } ], "mendeley" : { "formattedCitation" : "[17]", "plainTextFormattedCitation" : "[17]", "previouslyFormattedCitation" : "[17]" }, "properties" : { "noteIndex" : 0 }, "schema" : "https://github.com/citation-style-language/schema/raw/master/csl-citation.json" }</w:instrText>
      </w:r>
      <w:r w:rsidR="001A6F4F" w:rsidRPr="00975079">
        <w:fldChar w:fldCharType="separate"/>
      </w:r>
      <w:r w:rsidR="001A6F4F" w:rsidRPr="00975079">
        <w:rPr>
          <w:noProof/>
        </w:rPr>
        <w:t>[17]</w:t>
      </w:r>
      <w:r w:rsidR="001A6F4F" w:rsidRPr="00975079">
        <w:fldChar w:fldCharType="end"/>
      </w:r>
      <w:r w:rsidRPr="00975079">
        <w:t xml:space="preserve">, already applied to MR </w:t>
      </w:r>
      <w:r w:rsidR="007414A7" w:rsidRPr="00975079">
        <w:fldChar w:fldCharType="begin" w:fldLock="1"/>
      </w:r>
      <w:r w:rsidR="001A6F4F" w:rsidRPr="00975079">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7414A7" w:rsidRPr="00975079">
        <w:fldChar w:fldCharType="separate"/>
      </w:r>
      <w:r w:rsidR="001A6F4F" w:rsidRPr="00975079">
        <w:rPr>
          <w:noProof/>
        </w:rPr>
        <w:t>[18]</w:t>
      </w:r>
      <w:r w:rsidR="007414A7" w:rsidRPr="00975079">
        <w:fldChar w:fldCharType="end"/>
      </w:r>
      <w:r w:rsidRPr="00975079">
        <w:t xml:space="preserve">. </w:t>
      </w:r>
      <w:r w:rsidR="006D23A0" w:rsidRPr="00975079">
        <w:t xml:space="preserve">Bayesian modeling allows to formally incorporate prior knowledge </w:t>
      </w:r>
      <w:r w:rsidR="00052289" w:rsidRPr="00975079">
        <w:t xml:space="preserve">(in form of probability distributions) </w:t>
      </w:r>
      <w:r w:rsidR="006D23A0" w:rsidRPr="00975079">
        <w:t xml:space="preserve">into the estimation process. </w:t>
      </w:r>
      <w:r w:rsidR="00B03AE6" w:rsidRPr="00975079">
        <w:t xml:space="preserve">In this work, we set up a user-independent setting of the priors, that were generated automatically from the image data, in an empirical fashion </w:t>
      </w:r>
      <w:r w:rsidR="00B53D16" w:rsidRPr="00975079">
        <w:fldChar w:fldCharType="begin" w:fldLock="1"/>
      </w:r>
      <w:r w:rsidR="0065204A" w:rsidRPr="00975079">
        <w:instrText>ADDIN CSL_CITATION { "citationItems" : [ { "id" : "ITEM-1", "itemData" : { "ISBN" : "1053-8119", "author" : [ { "dropping-particle" : "", "family" : "Rizzo", "given" : "Gaia", "non-dropping-particle" : "", "parse-names" : false, "suffix" : "" }, { "dropping-particle" : "", "family" : "Turkheimer", "given" : "Federico E", "non-dropping-particle" : "", "parse-names" : false, "suffix" : "" }, { "dropping-particle" : "", "family" : "Keihaninejad", "given" : "Shiva", "non-dropping-particle" : "", "parse-names" : false, "suffix" : "" }, { "dropping-particle" : "", "family" : "Bose", "given" : "Subrata K", "non-dropping-particle" : "", "parse-names" : false, "suffix" : "" }, { "dropping-particle" : "", "family" : "Hammers", "given" : "Alexander", "non-dropping-particle" : "", "parse-names" : false, "suffix" : "" }, { "dropping-particle" : "", "family" : "Bertoldo", "given" : "Alessandra", "non-dropping-particle" : "", "parse-names" : false, "suffix" : "" } ], "container-title" : "NeuroImage", "id" : "ITEM-1", "issue" : "3", "issued" : { "date-parts" : [ [ "2012" ] ] }, "page" : "2485-2493", "title" : "Multi-Scale hierarchical generation of PET parametric maps: Application and testing on a [&lt; sup&gt; 11&lt;/sup&gt; C] DPN study", "type" : "article-journal", "volume" : "59" }, "uris" : [ "http://www.mendeley.com/documents/?uuid=b1b33992-a338-43e0-827e-0df22ade2ef0" ] } ], "mendeley" : { "formattedCitation" : "[19]", "plainTextFormattedCitation" : "[19]", "previouslyFormattedCitation" : "[19]" }, "properties" : { "noteIndex" : 0 }, "schema" : "https://github.com/citation-style-language/schema/raw/master/csl-citation.json" }</w:instrText>
      </w:r>
      <w:r w:rsidR="00B53D16" w:rsidRPr="00975079">
        <w:fldChar w:fldCharType="separate"/>
      </w:r>
      <w:r w:rsidR="0065204A" w:rsidRPr="00975079">
        <w:rPr>
          <w:noProof/>
        </w:rPr>
        <w:t>[19]</w:t>
      </w:r>
      <w:r w:rsidR="00B53D16" w:rsidRPr="00975079">
        <w:fldChar w:fldCharType="end"/>
      </w:r>
      <w:r w:rsidRPr="00975079">
        <w:t xml:space="preserve">. </w:t>
      </w:r>
      <w:r w:rsidR="00B03AE6" w:rsidRPr="00975079">
        <w:t>First, the model under study was applied to a set of synovial sub-region time courses solved with a nonlinear estimator (that represent the gold standard for region-wise analysis). These estimates were then used to determine the prior information for each sub-region, thus obtaining tailored priors for each region.</w:t>
      </w:r>
    </w:p>
    <w:p w14:paraId="528711FE" w14:textId="3D87B0E0" w:rsidR="00DD3A36" w:rsidRPr="00975079" w:rsidRDefault="00DD3A36" w:rsidP="0079732D">
      <w:pPr>
        <w:pStyle w:val="Text"/>
      </w:pPr>
      <w:r w:rsidRPr="00975079">
        <w:t xml:space="preserve">The SCR model here proposed is more complex than the single </w:t>
      </w:r>
      <w:r w:rsidR="00350E78" w:rsidRPr="00975079">
        <w:t>Gamma-variate</w:t>
      </w:r>
      <w:r w:rsidRPr="00975079">
        <w:t xml:space="preserve"> model previously proposed in </w:t>
      </w:r>
      <w:r w:rsidR="007414A7" w:rsidRPr="00975079">
        <w:fldChar w:fldCharType="begin" w:fldLock="1"/>
      </w:r>
      <w:r w:rsidR="007414A7"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7414A7" w:rsidRPr="00975079">
        <w:fldChar w:fldCharType="separate"/>
      </w:r>
      <w:r w:rsidR="007414A7" w:rsidRPr="00975079">
        <w:rPr>
          <w:noProof/>
        </w:rPr>
        <w:t>[8]</w:t>
      </w:r>
      <w:r w:rsidR="007414A7" w:rsidRPr="00975079">
        <w:fldChar w:fldCharType="end"/>
      </w:r>
      <w:r w:rsidRPr="00975079">
        <w:t xml:space="preserve">. In order to avoid increasing the model complexity where it is not necessary, we implemented the Variational Bayesian method including the automatic relevance determination (ARD) algorithm </w:t>
      </w:r>
      <w:r w:rsidR="007414A7" w:rsidRPr="00975079">
        <w:fldChar w:fldCharType="begin" w:fldLock="1"/>
      </w:r>
      <w:r w:rsidR="0065204A" w:rsidRPr="00975079">
        <w:instrText>ADDIN CSL_CITATION { "citationItems" : [ { "id" : "ITEM-1", "itemData" : { "DOI" : "10.1088/0954-898X/6/3/011", "ISSN" : "0954-898X", "author" : [ { "dropping-particle" : "", "family" : "Mackay", "given" : "David", "non-dropping-particle" : "", "parse-names" : false, "suffix" : "" } ], "container-title" : "Network: Computation in Neural Systems", "id" : "ITEM-1", "issue" : "3", "issued" : { "date-parts" : [ [ "1995", "8", "1" ] ] }, "page" : "469-505", "title" : "Probable networks and plausible predictions \u2014 a review of practical Bayesian methods for supervised neural networks", "type" : "article-journal", "volume" : "6" }, "uris" : [ "http://www.mendeley.com/documents/?uuid=e3d0bc61-9f5b-4736-a842-8b884c99ecdd" ] }, { "id" : "ITEM-2", "itemData" : { "DOI" : "10.1162/15324430152748236", "ISBN" : "9783540231226", "ISSN" : "15324435", "abstract" : "This paper introduces a general Bayesian framework for obtaining sparse solutions to re- gression and classi? cation tasks utilising models linear in the parameters. Although this framework is fully general, we illustrate our approach with a particular specialisation that we denote the `relevance vector machine\u2019 (RVM), a model of identical functional form to the popular and state-of-the-art `support vector machine\u2019 (SVM).We demonstrate that by exploiting a probabilistic Bayesian learning framework, we can derive accurate prediction models which typically utilise dramatically fewer basis functions than a comparable SVM while o\u00acering a number of additional advantages. These include the bene? ts of probabilis- tic predictions, automatic estimation of `nuisance\u2019 parameters, and the facility to utilise arbitrary basis functions (e.g. non-`Mercer\u2019 kernels). We detail the Bayesian framework and associated learning algorithm for the RVM, and give some illustrative examples of its application along with some comparative benchmarks. We o\u00acer some explanation for the exceptional degree of sparsity obtained, and discuss and demonstrate some of the advantageous features, and potential extensions, of Bayesian relevance learning. 1.", "author" : [ { "dropping-particle" : "", "family" : "Tipping", "given" : "Michael E", "non-dropping-particle" : "", "parse-names" : false, "suffix" : "" } ], "container-title" : "Journal of Machine Learning Research", "id" : "ITEM-2", "issued" : { "date-parts" : [ [ "2001" ] ] }, "page" : "211-245", "title" : "Sparse Bayesian Learning and the Relevance Vector Machine", "type" : "article-journal", "volume" : "1" }, "uris" : [ "http://www.mendeley.com/documents/?uuid=96a9f8c6-459b-47a8-8567-624f61c3b4a2" ] }, { "id" : "ITEM-3",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"ITEM-3", "issue" : "1", "issued" : { "date-parts" : [ [ "2009" ] ] }, "page" : "223-236", "title" : "Variational Bayesian Inference for a Nonlinear Forward Model", "type" : "article-journal", "volume" : "57" }, "uris" : [ "http://www.mendeley.com/documents/?uuid=06569d4d-00ab-4519-816a-bec0ad08b5ee" ] } ], "mendeley" : { "formattedCitation" : "[18,20,21]", "plainTextFormattedCitation" : "[18,20,21]", "previouslyFormattedCitation" : "[18,20,21]" }, "properties" : { "noteIndex" : 0 }, "schema" : "https://github.com/citation-style-language/schema/raw/master/csl-citation.json" }</w:instrText>
      </w:r>
      <w:r w:rsidR="007414A7" w:rsidRPr="00975079">
        <w:fldChar w:fldCharType="separate"/>
      </w:r>
      <w:r w:rsidR="0065204A" w:rsidRPr="00975079">
        <w:rPr>
          <w:noProof/>
        </w:rPr>
        <w:t>[18,20,21]</w:t>
      </w:r>
      <w:r w:rsidR="007414A7" w:rsidRPr="00975079">
        <w:fldChar w:fldCharType="end"/>
      </w:r>
      <w:r w:rsidRPr="00975079">
        <w:t xml:space="preserve"> to exclude the trapping where not supported by the data.</w:t>
      </w:r>
    </w:p>
    <w:p w14:paraId="689753FB" w14:textId="364383F0" w:rsidR="00E93668" w:rsidRPr="00975079" w:rsidRDefault="00DD3A36" w:rsidP="00E93668">
      <w:pPr>
        <w:pStyle w:val="Text"/>
      </w:pPr>
      <w:r w:rsidRPr="00975079">
        <w:t>We used clinical CEUS data from patients with arthritis disease</w:t>
      </w:r>
      <w:r w:rsidR="00B325EC" w:rsidRPr="00975079">
        <w:t xml:space="preserve"> </w:t>
      </w:r>
      <w:r w:rsidRPr="00975079">
        <w:t xml:space="preserve">to validate the use </w:t>
      </w:r>
      <w:r w:rsidR="008F147B" w:rsidRPr="00975079">
        <w:t xml:space="preserve">of </w:t>
      </w:r>
      <w:r w:rsidRPr="00975079">
        <w:t>the SCR model and assess the VB estimator performance in clinical settings.</w:t>
      </w:r>
      <w:r w:rsidR="00B325EC" w:rsidRPr="00975079">
        <w:t xml:space="preserve"> We further employed the perfusion estimates obtained to train a support vector machine </w:t>
      </w:r>
      <w:r w:rsidR="0024586F" w:rsidRPr="00975079">
        <w:t xml:space="preserve">(SVM) </w:t>
      </w:r>
      <w:r w:rsidR="00B325EC" w:rsidRPr="00975079">
        <w:t xml:space="preserve">classifier to distinguish different types of arthritis. In particular, we focused in the </w:t>
      </w:r>
      <w:r w:rsidR="00FB5532" w:rsidRPr="00975079">
        <w:t xml:space="preserve">analysis of rheumatoid (RA) arthritis </w:t>
      </w:r>
      <w:r w:rsidR="00947878" w:rsidRPr="00975079">
        <w:t>versus other types of less aggressive arthritis forms</w:t>
      </w:r>
      <w:r w:rsidR="00B325EC" w:rsidRPr="00975079">
        <w:t xml:space="preserve">. </w:t>
      </w:r>
      <w:r w:rsidR="00474C94" w:rsidRPr="00975079">
        <w:t xml:space="preserve">Rheumatoid arthritis </w:t>
      </w:r>
      <w:r w:rsidR="00ED31E7" w:rsidRPr="00975079">
        <w:t xml:space="preserve">represents the worst outcome among the different </w:t>
      </w:r>
      <w:r w:rsidR="00947878" w:rsidRPr="00975079">
        <w:t>types</w:t>
      </w:r>
      <w:r w:rsidR="00ED31E7" w:rsidRPr="00975079">
        <w:t xml:space="preserve"> of arthritis, causing premature mortality, disability and compromised quality of life </w:t>
      </w:r>
      <w:r w:rsidR="00ED31E7" w:rsidRPr="00975079">
        <w:fldChar w:fldCharType="begin" w:fldLock="1"/>
      </w:r>
      <w:r w:rsidR="00E93668"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ED31E7" w:rsidRPr="00975079">
        <w:fldChar w:fldCharType="separate"/>
      </w:r>
      <w:r w:rsidR="00ED31E7" w:rsidRPr="00975079">
        <w:rPr>
          <w:noProof/>
        </w:rPr>
        <w:t>[8]</w:t>
      </w:r>
      <w:r w:rsidR="00ED31E7" w:rsidRPr="00975079">
        <w:fldChar w:fldCharType="end"/>
      </w:r>
      <w:r w:rsidR="00ED31E7" w:rsidRPr="00975079">
        <w:t xml:space="preserve">. </w:t>
      </w:r>
      <w:r w:rsidR="00E93668" w:rsidRPr="00975079">
        <w:t xml:space="preserve">In a classical view of rheumatic disease, rheumatologists do not need automatic methods to diagnose rheumatoid arthritis. However, the validation and application of precise and quantitative imaging biomarkers is critical for the early assessment of the patient’s response to treatment, and for the differentiation of rheumatic disease at their early stage, where the clinical findings are most similar. </w:t>
      </w:r>
    </w:p>
    <w:p w14:paraId="6933DF28" w14:textId="4D05BF68" w:rsidR="00DD3A36" w:rsidRPr="00975079" w:rsidRDefault="00E93668" w:rsidP="00E93668">
      <w:pPr>
        <w:pStyle w:val="Text"/>
      </w:pPr>
      <w:r w:rsidRPr="00975079">
        <w:t xml:space="preserve">A precise quantification of synovial perfusion and synovial </w:t>
      </w:r>
      <w:r w:rsidRPr="00975079">
        <w:t xml:space="preserve">angiogenesis is thus becoming of increasingly importance in the field of vascular-targeted therapeutics for the treatment of arthritis, that is now in its pre-clinical phase </w:t>
      </w:r>
      <w:r w:rsidRPr="00975079">
        <w:fldChar w:fldCharType="begin" w:fldLock="1"/>
      </w:r>
      <w:r w:rsidRPr="00975079">
        <w:instrText>ADDIN CSL_CITATION { "citationItems" : [ { "id" : "ITEM-1", "itemData" : { "DOI" : "10.1016/j.drudis.2015.10.014", "ISSN" : "13596446", "author" : [ { "dropping-particle" : "", "family" : "Ferrari", "given" : "Mathieu", "non-dropping-particle" : "", "parse-names" : false, "suffix" : "" }, { "dropping-particle" : "", "family" : "Onuoha", "given" : "Shimobi C.", "non-dropping-particle" : "", "parse-names" : false, "suffix" : "" }, { "dropping-particle" : "", "family" : "Pitzalis", "given" : "Costantino", "non-dropping-particle" : "", "parse-names" : false, "suffix" : "" } ], "container-title" : "Drug Discovery Today", "id" : "ITEM-1", "issue" : "1", "issued" : { "date-parts" : [ [ "2016", "1" ] ] }, "page" : "172-179", "title" : "Going with the flow: harnessing the power of the vasculature for targeted therapy in rheumatoid arthritis", "type" : "article-journal", "volume" : "21" }, "uris" : [ "http://www.mendeley.com/documents/?uuid=331b6b3d-d72a-4943-90f5-88a84129a980" ] } ], "mendeley" : { "formattedCitation" : "[22]", "plainTextFormattedCitation" : "[22]" }, "properties" : { "noteIndex" : 0 }, "schema" : "https://github.com/citation-style-language/schema/raw/master/csl-citation.json" }</w:instrText>
      </w:r>
      <w:r w:rsidRPr="00975079">
        <w:fldChar w:fldCharType="separate"/>
      </w:r>
      <w:r w:rsidRPr="00975079">
        <w:rPr>
          <w:noProof/>
        </w:rPr>
        <w:t>[22]</w:t>
      </w:r>
      <w:r w:rsidRPr="00975079">
        <w:fldChar w:fldCharType="end"/>
      </w:r>
      <w:r w:rsidRPr="00975079">
        <w:t>. Moreover, from a translational point of view, the coupling of a precise description of perfusion with biomarker discovery methods could help in understanding the biological basis of rheumatic arthritis, highlighting the basis of the pathogenesis and progression of RA.</w:t>
      </w:r>
    </w:p>
    <w:p w14:paraId="463C123B" w14:textId="1418E717" w:rsidR="008A3C23" w:rsidRPr="00975079" w:rsidRDefault="00DD3A36" w:rsidP="0079732D">
      <w:pPr>
        <w:pStyle w:val="Titolo1"/>
        <w:jc w:val="both"/>
      </w:pPr>
      <w:r w:rsidRPr="00975079">
        <w:t>Materials and methods</w:t>
      </w:r>
    </w:p>
    <w:p w14:paraId="4CFE71E7" w14:textId="76065AF7" w:rsidR="00E97B99" w:rsidRPr="00975079" w:rsidRDefault="00DD3A36" w:rsidP="0079732D">
      <w:pPr>
        <w:pStyle w:val="Titolo2"/>
        <w:jc w:val="both"/>
      </w:pPr>
      <w:r w:rsidRPr="00975079">
        <w:t>Dataset</w:t>
      </w:r>
    </w:p>
    <w:p w14:paraId="7D1A1D4A" w14:textId="1430FE8A" w:rsidR="00DD3A36" w:rsidRPr="00975079" w:rsidRDefault="00DD3A36" w:rsidP="0079732D">
      <w:pPr>
        <w:pStyle w:val="Text"/>
        <w:ind w:firstLine="144"/>
      </w:pPr>
      <w:r w:rsidRPr="00975079">
        <w:t xml:space="preserve">Data from previously reported studies </w:t>
      </w:r>
      <w:r w:rsidR="007414A7" w:rsidRPr="00975079">
        <w:fldChar w:fldCharType="begin" w:fldLock="1"/>
      </w:r>
      <w:r w:rsidR="007414A7"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7414A7" w:rsidRPr="00975079">
        <w:fldChar w:fldCharType="separate"/>
      </w:r>
      <w:r w:rsidR="007414A7" w:rsidRPr="00975079">
        <w:rPr>
          <w:noProof/>
        </w:rPr>
        <w:t>[8]</w:t>
      </w:r>
      <w:r w:rsidR="007414A7" w:rsidRPr="00975079">
        <w:fldChar w:fldCharType="end"/>
      </w:r>
      <w:r w:rsidRPr="00975079">
        <w:t xml:space="preserve"> of </w:t>
      </w:r>
      <w:r w:rsidR="00445B6C" w:rsidRPr="00975079">
        <w:t>115</w:t>
      </w:r>
      <w:r w:rsidRPr="00975079">
        <w:t xml:space="preserve"> subjects affected by arthritis were used in the current study. The criteria for subject inclusion and the procedure for CEUS exams are described in detail in </w:t>
      </w:r>
      <w:r w:rsidR="007414A7" w:rsidRPr="00975079">
        <w:fldChar w:fldCharType="begin" w:fldLock="1"/>
      </w:r>
      <w:r w:rsidR="007414A7"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007414A7" w:rsidRPr="00975079">
        <w:fldChar w:fldCharType="separate"/>
      </w:r>
      <w:r w:rsidR="007414A7" w:rsidRPr="00975079">
        <w:rPr>
          <w:noProof/>
        </w:rPr>
        <w:t>[8]</w:t>
      </w:r>
      <w:r w:rsidR="007414A7" w:rsidRPr="00975079">
        <w:fldChar w:fldCharType="end"/>
      </w:r>
      <w:r w:rsidRPr="00975079">
        <w:t>.</w:t>
      </w:r>
    </w:p>
    <w:p w14:paraId="6DE29A9D" w14:textId="74966086" w:rsidR="00DD3A36" w:rsidRPr="00975079" w:rsidRDefault="00DD3A36" w:rsidP="0079732D">
      <w:pPr>
        <w:pStyle w:val="Text"/>
        <w:ind w:firstLine="144"/>
      </w:pPr>
      <w:r w:rsidRPr="00975079">
        <w:t xml:space="preserve">Briefly, the cohort included 53 patients with rheumatoid arthritis </w:t>
      </w:r>
      <w:r w:rsidR="00F900AD" w:rsidRPr="00975079">
        <w:t xml:space="preserve">(RA) </w:t>
      </w:r>
      <w:r w:rsidRPr="00975079">
        <w:t xml:space="preserve">(8 males, 49 females; age: 56.3 ± 11.5 yrs, disease duration: 11.1 ± 8.8 yrs) and 58 patients with non-rheumatoid (non-RA) forms (22 males, 36 females; age: 52.5 ± 12.5 yrs, disease duration: 10.5 ± 6.8 yrs). Among the non-RA patients, 21 had distal predominant (dpPSA) and 9 polyarticular RA-like </w:t>
      </w:r>
      <w:r w:rsidR="00DE4776" w:rsidRPr="00975079">
        <w:t>psoriatic arthritis (PSA)</w:t>
      </w:r>
      <w:r w:rsidRPr="00975079">
        <w:t xml:space="preserve">, 8 </w:t>
      </w:r>
      <w:r w:rsidR="00DE4776" w:rsidRPr="00975079">
        <w:t>undifferentiated spondyloarthritis (</w:t>
      </w:r>
      <w:r w:rsidRPr="00975079">
        <w:t>uSPA</w:t>
      </w:r>
      <w:r w:rsidR="00DE4776" w:rsidRPr="00975079">
        <w:t>)</w:t>
      </w:r>
      <w:r w:rsidRPr="00975079">
        <w:t xml:space="preserve">, and 8 had arthritis in </w:t>
      </w:r>
      <w:r w:rsidR="00DE4776" w:rsidRPr="00975079">
        <w:t>connective tissue disease (</w:t>
      </w:r>
      <w:r w:rsidRPr="00975079">
        <w:t>CTD</w:t>
      </w:r>
      <w:r w:rsidR="00DE4776" w:rsidRPr="00975079">
        <w:t>)</w:t>
      </w:r>
      <w:r w:rsidRPr="00975079">
        <w:t>.</w:t>
      </w:r>
    </w:p>
    <w:p w14:paraId="48ABAD0B" w14:textId="17F1D06F" w:rsidR="00396D8A" w:rsidRPr="00975079" w:rsidRDefault="00DD3A36" w:rsidP="0079732D">
      <w:pPr>
        <w:pStyle w:val="Text"/>
        <w:ind w:firstLine="144"/>
      </w:pPr>
      <w:r w:rsidRPr="00975079">
        <w:t>All patients showed signs of inflammatory finger joint involvement</w:t>
      </w:r>
      <w:r w:rsidR="00342469" w:rsidRPr="00975079">
        <w:t>:</w:t>
      </w:r>
      <w:r w:rsidRPr="00975079">
        <w:t xml:space="preserve"> the joint </w:t>
      </w:r>
      <w:r w:rsidR="00342469" w:rsidRPr="00975079">
        <w:t xml:space="preserve">with the highest disease activity </w:t>
      </w:r>
      <w:r w:rsidRPr="00975079">
        <w:t>was chosen for CEUS examination. All patients gave their informed consent to the examination</w:t>
      </w:r>
      <w:r w:rsidR="00B36573" w:rsidRPr="00975079">
        <w:t>,</w:t>
      </w:r>
      <w:r w:rsidRPr="00975079">
        <w:t xml:space="preserve"> to the intravenous administration of the contrast agent and to the participation of the study that was approved by the local institutional ethical committee. Each subject underwent a 2-min CEUS study with a 7-MHz transducer US device (MyLab25, EsaOte</w:t>
      </w:r>
      <w:r w:rsidR="00D830DD" w:rsidRPr="00975079">
        <w:t>, pixel size 0.6 mm</w:t>
      </w:r>
      <w:r w:rsidR="00527CE9" w:rsidRPr="00975079">
        <w:t>, dynamic range between 45 and 63 dB, gain between 0 and 20 dB</w:t>
      </w:r>
      <w:r w:rsidRPr="00975079">
        <w:t xml:space="preserve">) equipped with Contrast tuned Imaging (CnTI; Esaote), after a bolus injection of 4.8 ml of microbubbles contrast agent. Gray-scale US (anatomical B-mode image) </w:t>
      </w:r>
      <w:r w:rsidR="005F535A" w:rsidRPr="00975079">
        <w:t>was</w:t>
      </w:r>
      <w:r w:rsidRPr="00975079">
        <w:t xml:space="preserve"> acquired </w:t>
      </w:r>
      <w:r w:rsidR="00A0770A" w:rsidRPr="00975079">
        <w:t>before</w:t>
      </w:r>
      <w:r w:rsidR="005F535A" w:rsidRPr="00975079">
        <w:t xml:space="preserve"> the bolus </w:t>
      </w:r>
      <w:r w:rsidRPr="00975079">
        <w:t xml:space="preserve">to define the boundaries of the synovial tissue (semi-automatically outlined by the radiologists as in </w:t>
      </w:r>
      <w:r w:rsidR="007414A7" w:rsidRPr="00975079">
        <w:fldChar w:fldCharType="begin" w:fldLock="1"/>
      </w:r>
      <w:r w:rsidR="00E93668" w:rsidRPr="00975079">
        <w:instrText>ADDIN CSL_CITATION { "citationItems" : [ { "id" : "ITEM-1", "itemData" : { "DOI" : "10.1016/j.medengphy.2012.04.014", "ISSN" : "1873-4030", "PMID" : "22626639", "abstract" : "Rheumatoid arthritis (RA) is a chronic multisystemic autoimmune disease, with an unclear etiopathogenesis. Its early diagnosis and activity assessment are essential to adjust the proper therapy. Among the different imaging techniques, ultrasonography (US) allows direct visualization of early inflammatory joint changes as synovitis, being also rapidly performed and easily accepted by patients. We propose an algorithm to semi-automatically detect synovial boundaries on US images, requiring minimal user interaction. In order to identify the synovia-bone and the synovia-soft tissues interfaces, and to tackle the morphological variability of diseased joints, a cascade of two different active contours is developed, whose composition corresponds to the whole synovial boundary. The algorithm was tested on US images acquired from proximal interphalangeal (PIP) and metacarpophalangeal (MCP) finger joints of 34 subjects. The results have been compared with a consensus manual segmentation. We obtained an overall mean sensitivity of 85\u00b113%, and a mean Dice's similarity index of 80\u00b18%, with a mean Hausdorff distance from the manual segmentation of 28\u00b110 pixels (approximately 1.4\u00b10.5mm), that are a better performance than those obtained by the raters with respect to the consensus.", "author" : [ { "dropping-particle" : "", "family" : "Veronese", "given" : "Elisa", "non-dropping-particle" : "", "parse-names" : false, "suffix" : "" }, { "dropping-particle" : "", "family" : "Stramare", "given" : "Roberto", "non-dropping-particle" : "", "parse-names" : false, "suffix" : "" }, { "dropping-particle" : "", "family" : "Campion", "given" : "Andrea", "non-dropping-particle" : "", "parse-names" : false, "suffix" : "" }, { "dropping-particle" : "", "family" : "Raffeiner", "given" : "Bernd", "non-dropping-particle" : "", "parse-names" : false, "suffix" : "" }, { "dropping-particle" : "", "family" : "Beltrame", "given" : "Valeria", "non-dropping-particle" : "", "parse-names" : false, "suffix" : "" }, { "dropping-particle" : "", "family" : "Scagliori", "given" : "Elena",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"Grisan", "given" : "Enrico", "non-dropping-particle" : "", "parse-names" : false, "suffix" : "" } ], "container-title" : "Medical engineering &amp; physics", "id" : "ITEM-1", "issue" : "2", "issued" : { "date-parts" : [ [ "2013" ] ] }, "page" : "188-94", "title" : "Improved detection of synovial boundaries in ultrasound examination by using a cascade of active-contours.", "type" : "article-journal", "volume" : "35" }, "uris" : [ "http://www.mendeley.com/documents/?uuid=8344e819-f9f1-421d-88c6-c2be7720cdfc" ] } ], "mendeley" : { "formattedCitation" : "[23]", "plainTextFormattedCitation" : "[23]", "previouslyFormattedCitation" : "[22]" }, "properties" : { "noteIndex" : 0 }, "schema" : "https://github.com/citation-style-language/schema/raw/master/csl-citation.json" }</w:instrText>
      </w:r>
      <w:r w:rsidR="007414A7" w:rsidRPr="00975079">
        <w:fldChar w:fldCharType="separate"/>
      </w:r>
      <w:r w:rsidR="00E93668" w:rsidRPr="00975079">
        <w:rPr>
          <w:noProof/>
        </w:rPr>
        <w:t>[23]</w:t>
      </w:r>
      <w:r w:rsidR="007414A7" w:rsidRPr="00975079">
        <w:fldChar w:fldCharType="end"/>
      </w:r>
      <w:r w:rsidRPr="00975079">
        <w:t xml:space="preserve">). </w:t>
      </w:r>
    </w:p>
    <w:p w14:paraId="77E2CEFF" w14:textId="198E3C1A" w:rsidR="00396D8A" w:rsidRPr="00975079" w:rsidRDefault="00396D8A" w:rsidP="0079732D">
      <w:pPr>
        <w:pStyle w:val="Text"/>
        <w:ind w:firstLine="144"/>
      </w:pPr>
      <w:r w:rsidRPr="00975079">
        <w:t xml:space="preserve">CEUS images were motion corrected and coregistered to the anatomical image as described in </w:t>
      </w:r>
      <w:r w:rsidRPr="00975079">
        <w:fldChar w:fldCharType="begin" w:fldLock="1"/>
      </w:r>
      <w:r w:rsidRPr="00975079">
        <w:instrText>ADDIN CSL_CITATION { "citationItems" : [ { "id" : "ITEM-1",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"ITEM-1",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"[8]", "plainTextFormattedCitation" : "[8]", "previouslyFormattedCitation" : "[8]" }, "properties" : { "noteIndex" : 0 }, "schema" : "https://github.com/citation-style-language/schema/raw/master/csl-citation.json" }</w:instrText>
      </w:r>
      <w:r w:rsidRPr="00975079">
        <w:fldChar w:fldCharType="separate"/>
      </w:r>
      <w:r w:rsidRPr="00975079">
        <w:rPr>
          <w:noProof/>
        </w:rPr>
        <w:t>[8]</w:t>
      </w:r>
      <w:r w:rsidRPr="00975079">
        <w:fldChar w:fldCharType="end"/>
      </w:r>
      <w:r w:rsidRPr="00975079">
        <w:t xml:space="preserve">. We also </w:t>
      </w:r>
      <w:r w:rsidR="00253C2B" w:rsidRPr="00975079">
        <w:t xml:space="preserve">linearized the log-compressed data as in </w:t>
      </w:r>
      <w:r w:rsidR="00253C2B" w:rsidRPr="00975079">
        <w:fldChar w:fldCharType="begin" w:fldLock="1"/>
      </w:r>
      <w:r w:rsidR="00E93668" w:rsidRPr="00975079">
        <w:instrText>ADDIN CSL_CITATION { "citationItems" : [ { "id" : "ITEM-1", "itemData" : { "DOI" : "10.1109/TUFFC.2006.1642510", "ISBN" : "0885-3010", "ISSN" : "0885-3010", "PMID" : "16846144", "abstract" : "A new formalism is presented for the destruction-replenishment perfusion quantification approach at low mechanical index. On the basis of physical considerations, best-fit methods should be applied using perfusion functions with S-shape characteristics. These functions are first described for the case of a geometry with a single flow velocity, then extended to the case of vascular beds with blood vessels having multiple flow velocity values and directions. The principles guiding the analysis are, on one hand, a linearization of video echo signals to overcome the log-compression of the imaging instrument, and, on the other hand, the spatial distribution of the transmit-receive ultrasound beam in the elevation direction. An in vitro model also is described; it was used to confirm experimentally the validity of the approach using a commercial contrast agent. The approach was implemented in the form of a computer program, taking as input a sequence of contrast-specific images, as well as parameters related to the ultrasound imaging equipment used. The generated output is either flow-parameter values computed in regions-of-interest, or parametric flow-images (e.g., mean velocity, mean transit time, mean flow, flow variance, or skewness). This approach thus establishes a base for extracting information about the morphology of vascular beds in vivo, and could allow absolute quantification provided that appropriate instrument calibration is implemented.", "author" : [ { "dropping-particle" : "", "family" : "Arditi", "given" : "Marcel", "non-dropping-particle" : "", "parse-names" : false, "suffix" : "" }, { "dropping-particle" : "", "family" : "Frinking", "given" : "P.J.A.", "non-dropping-particle" : "", "parse-names" : false, "suffix" : "" }, { "dropping-particle" : "", "family" : "Xiang Zhou", "given" : "", "non-dropping-particle" : "", "parse-names" : false, "suffix" : "" }, { "dropping-particle" : "", "family" : "Rognin", "given" : "N.G.", "non-dropping-particle" : "", "parse-names" : false, "suffix" : "" } ], "container-title" : "IEEE Transactions on Ultrasonics, Ferroelectrics and Frequency Control", "id" : "ITEM-1", "issue" : "6", "issued" : { "date-parts" : [ [ "2006", "6" ] ] }, "page" : "1118-1129", "title" : "A new formalism for the quantification of tissue perfusion by the destruction-replenishment method in contrast ultrasound imaging", "type" : "article-journal", "volume" : "53" }, "uris" : [ "http://www.mendeley.com/documents/?uuid=4b165391-61cc-4bf4-831a-996f869e27be" ] }, { "id" : "ITEM-2", "itemData" : { "DOI" : "10.1109/ULTSYM.2008.0413", "ISBN" : "978-1-4244-2428-3", "ISSN" : "10510117", "abstract" : "Perfusion quantification software commonly analyzes log-compressed video images provided by ultrasound systems. Compared to analysis of raw RF signals, errors in perfusion parameter estimates may be introduced, even when proper linearization is applied to reverse the log-compression. In this work, the effects of log-compression, demodulation, scan conversion and 8-bit quantization have been investigated, in terms of the errors introduced on perfusion parameter estimates. An in-vivo contrast bolus sequence was processed using both raw RF data and linearized video data. The outcome is that linearizing log-compressed video sequences can provide estimates as accurate as processing RF data under two conditions: a) system gain should be such as to prevent both excessive truncation of pixel values to minimum level and saturation to maximum level; b) the dynamic range of log-compression should be 45 dB or higher.", "author" : [ { "dropping-particle" : "", "family" : "Rognin", "given" : "Nicolas G.", "non-dropping-particle" : "", "parse-names" : false, "suffix" : "" }, { "dropping-particle" : "", "family" : "Frinking", "given" : "Peter", "non-dropping-particle" : "", "parse-names" : false, "suffix" : "" }, { "dropping-particle" : "", "family" : "Costa", "given" : "Maria", "non-dropping-particle" : "", "parse-names" : false, "suffix" : "" }, { "dropping-particle" : "", "family" : "Arditi", "given" : "Marcel", "non-dropping-particle" : "", "parse-names" : false, "suffix" : "" } ], "container-title" : "2008 IEEE Ultrasonics Symposium", "id" : "ITEM-2", "issued" : { "date-parts" : [ [ "2008", "11" ] ] }, "page" : "1690-1693", "publisher" : "IEEE", "title" : "In-vivo perfusion quantification by contrast ultrasound: Validation of the use of linearized video data vs. raw RF data", "type" : "paper-conference" }, "uris" : [ "http://www.mendeley.com/documents/?uuid=73bdba0f-1751-46b8-9001-7c15075ac92c" ] }, { "id" : "ITEM-3", "itemData" : { "DOI" : "10.1098/rsfs.2011.0026", "ISSN" : "2042-8898", "author" : [ { "dropping-particle" : "", "family" : "Tang", "given" : "M.- X.", "non-dropping-particle" : "", "parse-names" : false, "suffix" : "" }, { "dropping-particle" : "", "family" : "Mulvana", "given" : "H.", "non-dropping-particle" : "", "parse-names" : false, "suffix" : "" }, { "dropping-particle" : "", "family" : "Gauthier", "given" : "T.", "non-dropping-particle" : "", "parse-names" : false, "suffix" : "" }, { "dropping-particle" : "", "family" : "Lim", "given" : "A. K. P.", "non-dropping-particle" : "", "parse-names" : false, "suffix" : "" }, { "dropping-particle" : "", "family" : "Cosgrove", "given" : "D. O.", "non-dropping-particle" : "", "parse-names" : false, "suffix" : "" }, { "dropping-particle" : "", "family" : "Eckersley", "given" : "R. J.", "non-dropping-particle" : "", "parse-names" : false, "suffix" : "" }, { "dropping-particle" : "", "family" : "Stride", "given" : "E.", "non-dropping-particle" : "", "parse-names" : false, "suffix" : "" } ], "container-title" : "Interface Focus", "id" : "ITEM-3", "issue" : "4", "issued" : { "date-parts" : [ [ "2011" ] ] }, "page" : "520-539", "title" : "Quantitative contrast-enhanced ultrasound imaging: a review of sources of variability", "type" : "article-journal", "volume" : "1" }, "uris" : [ "http://www.mendeley.com/documents/?uuid=97f37ea7-0b1c-4569-850f-c00275106c5e" ] } ], "mendeley" : { "formattedCitation" : "[24\u201326]", "plainTextFormattedCitation" : "[24\u201326]", "previouslyFormattedCitation" : "[23\u201325]" }, "properties" : { "noteIndex" : 0 }, "schema" : "https://github.com/citation-style-language/schema/raw/master/csl-citation.json" }</w:instrText>
      </w:r>
      <w:r w:rsidR="00253C2B" w:rsidRPr="00975079">
        <w:fldChar w:fldCharType="separate"/>
      </w:r>
      <w:r w:rsidR="00E93668" w:rsidRPr="00975079">
        <w:rPr>
          <w:noProof/>
        </w:rPr>
        <w:t>[24–26]</w:t>
      </w:r>
      <w:r w:rsidR="00253C2B" w:rsidRPr="00975079">
        <w:fldChar w:fldCharType="end"/>
      </w:r>
      <w:r w:rsidR="00253C2B" w:rsidRPr="00975079">
        <w:t xml:space="preserve"> </w:t>
      </w:r>
      <w:r w:rsidR="00BF76A9" w:rsidRPr="00975079">
        <w:t xml:space="preserve">and </w:t>
      </w:r>
      <w:r w:rsidRPr="00975079">
        <w:t xml:space="preserve">normalized each pixel curve by the maximum value in the </w:t>
      </w:r>
      <w:r w:rsidR="00CA5A67" w:rsidRPr="00975079">
        <w:t xml:space="preserve">image </w:t>
      </w:r>
      <w:r w:rsidRPr="00975079">
        <w:t>data, in order to have the data in the range [0; 1].</w:t>
      </w:r>
    </w:p>
    <w:p w14:paraId="29526742" w14:textId="64D27DBD" w:rsidR="00DD3A36" w:rsidRPr="00975079" w:rsidRDefault="00E45C41" w:rsidP="0079732D">
      <w:pPr>
        <w:pStyle w:val="Text"/>
        <w:ind w:firstLine="144"/>
      </w:pPr>
      <w:r w:rsidRPr="00975079">
        <w:t xml:space="preserve">From the synovial boundaries, </w:t>
      </w:r>
      <w:r w:rsidR="00612C6F" w:rsidRPr="00975079">
        <w:t xml:space="preserve">we derived </w:t>
      </w:r>
      <w:r w:rsidRPr="00975079">
        <w:t xml:space="preserve">an image mask </w:t>
      </w:r>
      <w:r w:rsidR="00612C6F" w:rsidRPr="00975079">
        <w:t>that</w:t>
      </w:r>
      <w:r w:rsidRPr="00975079">
        <w:t xml:space="preserve"> was </w:t>
      </w:r>
      <w:r w:rsidR="00DD3A36" w:rsidRPr="00975079">
        <w:t xml:space="preserve">then modified to include only pixels that showed a significant enhancement, considered as the difference between baseline value and peak value larger than a fixed threshold, set to </w:t>
      </w:r>
      <w:r w:rsidRPr="00975079">
        <w:t>0.2 (</w:t>
      </w:r>
      <w:r w:rsidR="00DD3A36" w:rsidRPr="00975079">
        <w:t>20%</w:t>
      </w:r>
      <w:r w:rsidR="00396D8A" w:rsidRPr="00975079">
        <w:t xml:space="preserve"> of </w:t>
      </w:r>
      <w:r w:rsidR="00012757" w:rsidRPr="00975079">
        <w:t xml:space="preserve">the </w:t>
      </w:r>
      <w:r w:rsidR="00396D8A" w:rsidRPr="00975079">
        <w:t>data maxim</w:t>
      </w:r>
      <w:r w:rsidRPr="00975079">
        <w:t>um value)</w:t>
      </w:r>
      <w:r w:rsidR="00012757" w:rsidRPr="00975079">
        <w:t xml:space="preserve"> </w:t>
      </w:r>
      <w:r w:rsidR="00DD3A36" w:rsidRPr="00975079">
        <w:t xml:space="preserve">based on previous studies </w:t>
      </w:r>
      <w:r w:rsidR="007414A7" w:rsidRPr="00975079">
        <w:fldChar w:fldCharType="begin" w:fldLock="1"/>
      </w:r>
      <w:r w:rsidR="00E93668" w:rsidRPr="00975079">
        <w:instrText>ADDIN CSL_CITATION { "citationItems" : [ { "id" : "ITEM-1", "itemData" : { "DOI" : "Doi 10.1002/Jcu.21887", "ISBN" : "0091-2751", "abstract" : "Purpose. To assess synovial microvascularity in finger joints with rheumatoid arthritis (RA) by contrast-enhanced ultrasound (CEUS), distinguishing between cases of active disease and those in remission; to standardize the technique for software analysis. Methods. Fifty-two finger joints of RA patients (26 with active disease and 26 in remission) were immersed in water and examined by CEUS using a fixed probe. Signal intensity curves were calculated with the software. Results. Contrast enhancement was detectable in all 26 patients with active RA (100%), but not in 25 of 26 patients in remission (96%); one of the latter patients (4%) showed minimal enhancement. The method's sensitivity and specificity in distinguishing active disease from remission were 100% and 96%. The grades of synovial enhancement correlated with clinical disease activity and software flow parameters. The peak contrast levels correlated with clinical activity, a peak of 9% representing the cutoff between remission and active disease. Conclusions. CEUS with a fixed probe on finger joints immersed in water detected synovial vascularization in RA, producing results suitable for standardized software analysis and avoiding artifacts. VVC 2012 Wiley Periodicals, Inc. J Clin Ultrasound 40: 147-154, 2012; Published online in Wiley Online Library (wileyonlinelibrary.com). DOI: 10.1002/jcu.21887", "author" : [ { "dropping-particle" : "", "family" : "Stramare", "given" : "R", "non-dropping-particle" : "", "parse-names" : false, "suffix" : "" }, { "dropping-particle" : "", "family" : "Raffeiner", "given" : "B", "non-dropping-particle" : "", "parse-names" : false, "suffix" : "" }, { "dropping-particle" : "", "family" : "Ciprian", "given" : "L", "non-dropping-particle" : "", "parse-names" : false, "suffix" : "" }, { "dropping-particle" : "", "family" : "Scagliori", "given" : "E", "non-dropping-particle" : "", "parse-names" : false, "suffix" : "" }, { "dropping-particle" : "", "family" : "Coran", "given" : "A", "non-dropping-particle" : "", "parse-names" : false, "suffix" : "" }, { "dropping-particle" : "", "family" : "Perissinotto", "given" : "E", "non-dropping-particle" : "", "parse-names" : false, "suffix" : "" }, { "dropping-particle" : "", "family" : "Fiocco", "given" : "U", "non-dropping-particle" : "", "parse-names" : false, "suffix" : "" }, { "dropping-particle" : "", "family" : "Beltrame", "given" : "V", "non-dropping-particle" : "", "parse-names" : false, "suffix" : "" }, { "dropping-particle" : "", "family" : "Rubaltelli", "given" : "L", "non-dropping-particle" : "", "parse-names" : false, "suffix" : "" }, { "dropping-particle" : "", "family" : "Ultrasound", "given" : "J Clin", "non-dropping-particle" : "", "parse-names" : false, "suffix" : "" } ], "container-title" : "Journal of Clinical Ultrasound", "id" : "ITEM-1", "issue" : "3", "issued" : { "date-parts" : [ [ "2012" ] ] }, "language" : "English", "note" : "903JD\nTimes Cited:6\nCited References Count:30\n0 (Contrast Media)\n0 (Phospholipids)\n0 (contrast agent BR1)\n059QF0KO0R (Water)\nWS7LR3I1D6 (Sulfur Hexafluoride)", "page" : "147-154", "title" : "Evaluation of finger joint synovial vascularity in patients with rheumatoid arthritis using contrast-enhanced ultrasound with water immersion and a stabilized probe", "type" : "article-journal", "volume" : "40" }, "uris" : [ "http://www.mendeley.com/documents/?uuid=dd7b1c76-e8d5-4bef-a51a-f714acb37605" ] } ], "mendeley" : { "formattedCitation" : "[27]", "plainTextFormattedCitation" : "[27]", "previouslyFormattedCitation" : "[26]" }, "properties" : { "noteIndex" : 0 }, "schema" : "https://github.com/citation-style-language/schema/raw/master/csl-citation.json" }</w:instrText>
      </w:r>
      <w:r w:rsidR="007414A7" w:rsidRPr="00975079">
        <w:fldChar w:fldCharType="separate"/>
      </w:r>
      <w:r w:rsidR="00E93668" w:rsidRPr="00975079">
        <w:rPr>
          <w:noProof/>
        </w:rPr>
        <w:t>[27]</w:t>
      </w:r>
      <w:r w:rsidR="007414A7" w:rsidRPr="00975079">
        <w:fldChar w:fldCharType="end"/>
      </w:r>
      <w:r w:rsidR="00DD3A36" w:rsidRPr="00975079">
        <w:t xml:space="preserve">. </w:t>
      </w:r>
      <w:r w:rsidR="00612C6F" w:rsidRPr="00975079">
        <w:t>We excluded s</w:t>
      </w:r>
      <w:r w:rsidR="00DD3A36" w:rsidRPr="00975079">
        <w:t>ixteen subjects with no active pixels from the analysis</w:t>
      </w:r>
      <w:r w:rsidR="00342469" w:rsidRPr="00975079">
        <w:t>.</w:t>
      </w:r>
      <w:r w:rsidR="00DD3A36" w:rsidRPr="00975079">
        <w:t xml:space="preserve"> </w:t>
      </w:r>
      <w:r w:rsidR="00342469" w:rsidRPr="00975079">
        <w:t>O</w:t>
      </w:r>
      <w:r w:rsidR="00DD3A36" w:rsidRPr="00975079">
        <w:t>ur final dataset comprised 99 subjects (53 RA, 21 dpPSA, 9 RA-like PSA, 8 uSPA and 8 CTD).</w:t>
      </w:r>
    </w:p>
    <w:p w14:paraId="204CCEB0" w14:textId="3A6EC237" w:rsidR="008F3390" w:rsidRPr="00975079" w:rsidRDefault="00DD3A36" w:rsidP="0079732D">
      <w:pPr>
        <w:pStyle w:val="Text"/>
        <w:ind w:firstLine="144"/>
      </w:pPr>
      <w:r w:rsidRPr="00975079">
        <w:t>The kinetic analysis was performed on the specific region of interest of the synovia.</w:t>
      </w:r>
    </w:p>
    <w:p w14:paraId="444ADE38" w14:textId="77777777" w:rsidR="008F3390" w:rsidRPr="00975079" w:rsidRDefault="008F3390" w:rsidP="0079732D">
      <w:pPr>
        <w:pStyle w:val="Text"/>
        <w:ind w:firstLine="144"/>
      </w:pPr>
    </w:p>
    <w:p w14:paraId="59359822" w14:textId="1D82385F" w:rsidR="00E97B99" w:rsidRPr="00975079" w:rsidRDefault="00DD3A36" w:rsidP="0079732D">
      <w:pPr>
        <w:pStyle w:val="Titolo2"/>
        <w:jc w:val="both"/>
      </w:pPr>
      <w:r w:rsidRPr="00975079">
        <w:t>Gamma-variate and irreversible component model</w:t>
      </w:r>
    </w:p>
    <w:p w14:paraId="5351266B" w14:textId="7C11C139" w:rsidR="00C32A8F" w:rsidRPr="00975079" w:rsidRDefault="00DD3A36" w:rsidP="00C32A8F">
      <w:pPr>
        <w:pStyle w:val="Text"/>
      </w:pPr>
      <w:r w:rsidRPr="00975079">
        <w:t xml:space="preserve">The model for the vector of CEUS measurements </w:t>
      </w:r>
      <m:oMath>
        <m:sSub>
          <m:sSubPr>
            <m:ctrlPr>
              <w:rPr>
                <w:rFonts w:ascii="Cambria Math" w:hAnsi="Cambria Math"/>
                <w:lang w:val="en-GB"/>
              </w:rPr>
            </m:ctrlPr>
          </m:sSubPr>
          <m:e>
            <m:r>
              <m:rPr>
                <m:sty m:val="bi"/>
              </m:rPr>
              <w:rPr>
                <w:rFonts w:ascii="Cambria Math" w:hAnsi="Cambria Math"/>
                <w:lang w:val="en-GB"/>
              </w:rPr>
              <m:t>c</m:t>
            </m:r>
          </m:e>
          <m:sub>
            <m:r>
              <m:rPr>
                <m:sty m:val="bi"/>
              </m:rPr>
              <w:rPr>
                <w:rFonts w:ascii="Cambria Math" w:hAnsi="Cambria Math"/>
                <w:lang w:val="en-GB"/>
              </w:rPr>
              <m:t>pixel</m:t>
            </m:r>
          </m:sub>
        </m:sSub>
        <m:r>
          <m:rPr>
            <m:sty m:val="p"/>
          </m:rPr>
          <w:rPr>
            <w:rFonts w:ascii="Cambria Math" w:hAnsi="Cambria Math"/>
            <w:lang w:val="en-GB"/>
          </w:rPr>
          <m:t>(</m:t>
        </m:r>
        <m:r>
          <w:rPr>
            <w:rFonts w:ascii="Cambria Math" w:hAnsi="Cambria Math"/>
            <w:lang w:val="en-GB"/>
          </w:rPr>
          <m:t>t</m:t>
        </m:r>
        <m:r>
          <m:rPr>
            <m:sty m:val="p"/>
          </m:rPr>
          <w:rPr>
            <w:rFonts w:ascii="Cambria Math" w:hAnsi="Cambria Math"/>
            <w:lang w:val="en-GB"/>
          </w:rPr>
          <m:t>)</m:t>
        </m:r>
      </m:oMath>
      <w:r w:rsidR="00C32A8F" w:rsidRPr="00975079">
        <w:t xml:space="preserve"> </w:t>
      </w:r>
      <w:r w:rsidRPr="00975079">
        <w:lastRenderedPageBreak/>
        <w:t>(i.e. the tracer concentration in a pixel over time) is:</w:t>
      </w:r>
      <w:r w:rsidR="00C32A8F" w:rsidRPr="00975079">
        <w:t xml:space="preserve"> </w:t>
      </w:r>
    </w:p>
    <w:p w14:paraId="6B3BA88A" w14:textId="77777777" w:rsidR="00C32A8F" w:rsidRPr="00975079" w:rsidRDefault="00C32A8F" w:rsidP="00C32A8F">
      <w:pPr>
        <w:pStyle w:val="Text"/>
      </w:pPr>
    </w:p>
    <w:p w14:paraId="6ABDB5E2" w14:textId="3538F802" w:rsidR="00C32A8F" w:rsidRPr="00975079" w:rsidRDefault="00A44CC0" w:rsidP="00C32A8F">
      <w:pPr>
        <w:pStyle w:val="Equation"/>
      </w:pPr>
      <m:oMath>
        <m:sSub>
          <m:sSubPr>
            <m:ctrlPr>
              <w:rPr>
                <w:rFonts w:ascii="Cambria Math" w:hAnsi="Cambria Math"/>
                <w:b/>
                <w:i/>
                <w:lang w:val="en-GB"/>
              </w:rPr>
            </m:ctrlPr>
          </m:sSubPr>
          <m:e>
            <m:r>
              <m:rPr>
                <m:sty m:val="bi"/>
              </m:rPr>
              <w:rPr>
                <w:rFonts w:ascii="Cambria Math" w:hAnsi="Cambria Math"/>
                <w:lang w:val="en-GB"/>
              </w:rPr>
              <m:t>c</m:t>
            </m:r>
          </m:e>
          <m:sub>
            <m:r>
              <m:rPr>
                <m:sty m:val="bi"/>
              </m:rPr>
              <w:rPr>
                <w:rFonts w:ascii="Cambria Math" w:hAnsi="Cambria Math"/>
                <w:lang w:val="en-GB" w:eastAsia="it-IT"/>
              </w:rPr>
              <m:t>pixel</m:t>
            </m:r>
          </m:sub>
        </m:sSub>
        <m:d>
          <m:dPr>
            <m:ctrlPr>
              <w:rPr>
                <w:rFonts w:ascii="Cambria Math" w:hAnsi="Cambria Math"/>
                <w:i/>
                <w:lang w:val="en-GB"/>
              </w:rPr>
            </m:ctrlPr>
          </m:dPr>
          <m:e>
            <m:r>
              <w:rPr>
                <w:rFonts w:ascii="Cambria Math" w:hAnsi="Cambria Math"/>
                <w:lang w:val="en-GB"/>
              </w:rPr>
              <m:t>t</m:t>
            </m:r>
          </m:e>
        </m:d>
        <m:r>
          <w:rPr>
            <w:rFonts w:ascii="Cambria Math" w:hAnsi="Cambria Math"/>
          </w:rPr>
          <m:t>=G</m:t>
        </m:r>
        <m:d>
          <m:dPr>
            <m:ctrlPr>
              <w:rPr>
                <w:rFonts w:ascii="Cambria Math" w:hAnsi="Cambria Math"/>
                <w:i/>
              </w:rPr>
            </m:ctrlPr>
          </m:dPr>
          <m:e>
            <m:r>
              <m:rPr>
                <m:sty m:val="bi"/>
              </m:rPr>
              <w:rPr>
                <w:rFonts w:ascii="Cambria Math" w:hAnsi="Cambria Math"/>
              </w:rPr>
              <m:t>p,</m:t>
            </m:r>
            <m:r>
              <w:rPr>
                <w:rFonts w:ascii="Cambria Math" w:hAnsi="Cambria Math"/>
              </w:rPr>
              <m:t>t</m:t>
            </m:r>
          </m:e>
        </m:d>
        <m:r>
          <w:rPr>
            <w:rFonts w:ascii="Cambria Math" w:hAnsi="Cambria Math"/>
          </w:rPr>
          <m:t>+</m:t>
        </m:r>
        <m:r>
          <m:rPr>
            <m:sty m:val="bi"/>
          </m:rPr>
          <w:rPr>
            <w:rFonts w:ascii="Cambria Math" w:hAnsi="Cambria Math"/>
          </w:rPr>
          <m:t>e</m:t>
        </m:r>
        <m:d>
          <m:dPr>
            <m:ctrlPr>
              <w:rPr>
                <w:rFonts w:ascii="Cambria Math" w:hAnsi="Cambria Math"/>
                <w:b/>
                <w:i/>
              </w:rPr>
            </m:ctrlPr>
          </m:dPr>
          <m:e>
            <m:r>
              <w:rPr>
                <w:rFonts w:ascii="Cambria Math" w:hAnsi="Cambria Math"/>
              </w:rPr>
              <m:t>t</m:t>
            </m:r>
          </m:e>
        </m:d>
      </m:oMath>
      <w:r w:rsidR="00C32A8F" w:rsidRPr="00975079">
        <w:tab/>
        <w:t>(1)</w:t>
      </w:r>
    </w:p>
    <w:p w14:paraId="0AF793C5" w14:textId="77777777" w:rsidR="00C32A8F" w:rsidRPr="00975079" w:rsidRDefault="00C32A8F" w:rsidP="00C32A8F"/>
    <w:p w14:paraId="62F33A39" w14:textId="4F7E4E7D" w:rsidR="00DD3A36" w:rsidRPr="00975079" w:rsidRDefault="00DD3A36" w:rsidP="00C32A8F">
      <w:pPr>
        <w:pStyle w:val="Text"/>
      </w:pPr>
      <w:r w:rsidRPr="00975079">
        <w:t xml:space="preserve">where </w:t>
      </w:r>
      <m:oMath>
        <m:r>
          <w:rPr>
            <w:rFonts w:ascii="Cambria Math" w:hAnsi="Cambria Math"/>
            <w:lang w:val="en-GB"/>
          </w:rPr>
          <m:t>G</m:t>
        </m:r>
        <m:d>
          <m:dPr>
            <m:ctrlPr>
              <w:rPr>
                <w:rFonts w:ascii="Cambria Math" w:hAnsi="Cambria Math"/>
                <w:lang w:val="en-GB"/>
              </w:rPr>
            </m:ctrlPr>
          </m:dPr>
          <m:e>
            <m:r>
              <m:rPr>
                <m:sty m:val="bi"/>
              </m:rPr>
              <w:rPr>
                <w:rFonts w:ascii="Cambria Math" w:hAnsi="Cambria Math"/>
                <w:lang w:val="en-GB"/>
              </w:rPr>
              <m:t>p</m:t>
            </m:r>
            <m:r>
              <m:rPr>
                <m:sty m:val="p"/>
              </m:rPr>
              <w:rPr>
                <w:rFonts w:ascii="Cambria Math" w:hAnsi="Cambria Math"/>
                <w:lang w:val="en-GB"/>
              </w:rPr>
              <m:t>,</m:t>
            </m:r>
            <m:r>
              <w:rPr>
                <w:rFonts w:ascii="Cambria Math" w:hAnsi="Cambria Math"/>
                <w:lang w:val="en-GB"/>
              </w:rPr>
              <m:t>t</m:t>
            </m:r>
          </m:e>
        </m:d>
      </m:oMath>
      <w:r w:rsidRPr="00975079">
        <w:t xml:space="preserve"> is the model with the parameter vector </w:t>
      </w:r>
      <m:oMath>
        <m:r>
          <m:rPr>
            <m:sty m:val="bi"/>
          </m:rPr>
          <w:rPr>
            <w:rFonts w:ascii="Cambria Math" w:hAnsi="Cambria Math"/>
          </w:rPr>
          <m:t>p</m:t>
        </m:r>
      </m:oMath>
      <w:r w:rsidRPr="00975079">
        <w:t xml:space="preserve"> (which represents all the individual rate constants of the model) and </w:t>
      </w:r>
      <m:oMath>
        <m:r>
          <m:rPr>
            <m:sty m:val="bi"/>
          </m:rPr>
          <w:rPr>
            <w:rFonts w:ascii="Cambria Math" w:hAnsi="Cambria Math"/>
          </w:rPr>
          <m:t>e</m:t>
        </m:r>
        <m:r>
          <w:rPr>
            <w:rFonts w:ascii="Cambria Math" w:hAnsi="Cambria Math"/>
          </w:rPr>
          <m:t>(t)</m:t>
        </m:r>
      </m:oMath>
      <w:r w:rsidRPr="00975079">
        <w:t xml:space="preserve"> is the measurement error. For the sake of clarity, the dependency </w:t>
      </w:r>
      <w:r w:rsidR="00CA5A67" w:rsidRPr="00975079">
        <w:t>on</w:t>
      </w:r>
      <w:r w:rsidRPr="00975079">
        <w:t xml:space="preserve"> the time </w:t>
      </w:r>
      <m:oMath>
        <m:r>
          <w:rPr>
            <w:rFonts w:ascii="Cambria Math" w:hAnsi="Cambria Math"/>
          </w:rPr>
          <m:t>t</m:t>
        </m:r>
      </m:oMath>
      <w:r w:rsidRPr="00975079">
        <w:t xml:space="preserve"> has been omitted in the following passages. We assumed the measurement error to be additive, independent and identically distributed with a normal density function with zero mean and </w:t>
      </w:r>
      <m:oMath>
        <m:sSup>
          <m:sSupPr>
            <m:ctrlPr>
              <w:rPr>
                <w:rFonts w:ascii="Cambria Math" w:hAnsi="Cambria Math"/>
                <w:lang w:val="en-GB"/>
              </w:rPr>
            </m:ctrlPr>
          </m:sSupPr>
          <m:e>
            <m:r>
              <w:rPr>
                <w:rFonts w:ascii="Cambria Math" w:hAnsi="Cambria Math"/>
                <w:lang w:val="en-GB"/>
              </w:rPr>
              <m:t>ϕ</m:t>
            </m:r>
          </m:e>
          <m:sup>
            <m:r>
              <m:rPr>
                <m:sty m:val="p"/>
              </m:rPr>
              <w:rPr>
                <w:rFonts w:ascii="Cambria Math" w:hAnsi="Cambria Math"/>
                <w:lang w:val="en-GB"/>
              </w:rPr>
              <m:t>-1</m:t>
            </m:r>
          </m:sup>
        </m:sSup>
      </m:oMath>
      <w:r w:rsidRPr="00975079">
        <w:t xml:space="preserve"> unknown variance, i.e. </w:t>
      </w:r>
      <m:oMath>
        <m:r>
          <m:rPr>
            <m:sty m:val="bi"/>
          </m:rPr>
          <w:rPr>
            <w:rFonts w:ascii="Cambria Math" w:hAnsi="Cambria Math"/>
            <w:lang w:val="en-GB"/>
          </w:rPr>
          <m:t>e</m:t>
        </m:r>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(0,</m:t>
        </m:r>
        <m:sSup>
          <m:sSupPr>
            <m:ctrlPr>
              <w:rPr>
                <w:rFonts w:ascii="Cambria Math" w:hAnsi="Cambria Math"/>
                <w:lang w:val="en-GB"/>
              </w:rPr>
            </m:ctrlPr>
          </m:sSupPr>
          <m:e>
            <m:r>
              <w:rPr>
                <w:rFonts w:ascii="Cambria Math" w:hAnsi="Cambria Math"/>
                <w:lang w:val="en-GB"/>
              </w:rPr>
              <m:t>ϕ</m:t>
            </m:r>
          </m:e>
          <m:sup>
            <m:r>
              <m:rPr>
                <m:sty m:val="p"/>
              </m:rPr>
              <w:rPr>
                <w:rFonts w:ascii="Cambria Math" w:hAnsi="Cambria Math"/>
                <w:lang w:val="en-GB"/>
              </w:rPr>
              <m:t>-1</m:t>
            </m:r>
          </m:sup>
        </m:sSup>
        <m:r>
          <m:rPr>
            <m:sty m:val="b"/>
          </m:rPr>
          <w:rPr>
            <w:rFonts w:ascii="Cambria Math" w:hAnsi="Cambria Math"/>
            <w:lang w:val="en-GB"/>
          </w:rPr>
          <m:t>Ι</m:t>
        </m:r>
        <m:r>
          <m:rPr>
            <m:sty m:val="p"/>
          </m:rPr>
          <w:rPr>
            <w:rFonts w:ascii="Cambria Math" w:hAnsi="Cambria Math"/>
            <w:lang w:val="en-GB"/>
          </w:rPr>
          <m:t>)</m:t>
        </m:r>
      </m:oMath>
      <w:r w:rsidR="00230320" w:rsidRPr="00975079">
        <w:rPr>
          <w:lang w:val="en-GB"/>
        </w:rPr>
        <w:t xml:space="preserve">, as defined in </w:t>
      </w:r>
      <w:r w:rsidR="00230320" w:rsidRPr="00975079">
        <w:rPr>
          <w:lang w:val="en-GB"/>
        </w:rPr>
        <w:fldChar w:fldCharType="begin" w:fldLock="1"/>
      </w:r>
      <w:r w:rsidR="00253C2B" w:rsidRPr="00975079">
        <w:rPr>
          <w:lang w:val="en-GB"/>
        </w:rPr>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230320" w:rsidRPr="00975079">
        <w:rPr>
          <w:lang w:val="en-GB"/>
        </w:rPr>
        <w:fldChar w:fldCharType="separate"/>
      </w:r>
      <w:r w:rsidR="00230320" w:rsidRPr="00975079">
        <w:rPr>
          <w:noProof/>
          <w:lang w:val="en-GB"/>
        </w:rPr>
        <w:t>[18]</w:t>
      </w:r>
      <w:r w:rsidR="00230320" w:rsidRPr="00975079">
        <w:rPr>
          <w:lang w:val="en-GB"/>
        </w:rPr>
        <w:fldChar w:fldCharType="end"/>
      </w:r>
      <w:r w:rsidR="00C32A8F" w:rsidRPr="00975079">
        <w:rPr>
          <w:lang w:val="en-GB"/>
        </w:rPr>
        <w:t>.</w:t>
      </w:r>
    </w:p>
    <w:p w14:paraId="280D7799" w14:textId="79C45252" w:rsidR="00DD3A36" w:rsidRPr="00975079" w:rsidRDefault="00DD3A36" w:rsidP="0079732D">
      <w:pPr>
        <w:pStyle w:val="Text"/>
      </w:pPr>
      <w:r w:rsidRPr="00975079">
        <w:t xml:space="preserve">We propose two different models </w:t>
      </w:r>
      <m:oMath>
        <m:r>
          <w:rPr>
            <w:rFonts w:ascii="Cambria Math" w:hAnsi="Cambria Math"/>
            <w:lang w:val="en-GB"/>
          </w:rPr>
          <m:t>G</m:t>
        </m:r>
        <m:d>
          <m:dPr>
            <m:ctrlPr>
              <w:rPr>
                <w:rFonts w:ascii="Cambria Math" w:hAnsi="Cambria Math"/>
                <w:i/>
                <w:lang w:val="en-GB"/>
              </w:rPr>
            </m:ctrlPr>
          </m:dPr>
          <m:e>
            <m:r>
              <m:rPr>
                <m:sty m:val="bi"/>
              </m:rPr>
              <w:rPr>
                <w:rFonts w:ascii="Cambria Math" w:hAnsi="Cambria Math"/>
                <w:lang w:val="en-GB"/>
              </w:rPr>
              <m:t>p</m:t>
            </m:r>
            <m:r>
              <w:rPr>
                <w:rFonts w:ascii="Cambria Math" w:hAnsi="Cambria Math"/>
                <w:lang w:val="en-GB"/>
              </w:rPr>
              <m:t>,t</m:t>
            </m:r>
          </m:e>
        </m:d>
      </m:oMath>
      <w:r w:rsidRPr="00975079">
        <w:t xml:space="preserve"> for CEUS data quantification, the </w:t>
      </w:r>
      <w:r w:rsidR="00350E78" w:rsidRPr="00975079">
        <w:t>Gamma-variate</w:t>
      </w:r>
      <w:r w:rsidRPr="00975079">
        <w:t xml:space="preserve"> and the SCR model. </w:t>
      </w:r>
    </w:p>
    <w:p w14:paraId="7DF25EF8" w14:textId="6B9C6366" w:rsidR="00C32A8F" w:rsidRPr="00975079" w:rsidRDefault="00DD3A36" w:rsidP="00410D22">
      <w:pPr>
        <w:pStyle w:val="Text"/>
      </w:pPr>
      <w:r w:rsidRPr="00975079">
        <w:t xml:space="preserve">The </w:t>
      </w:r>
      <w:r w:rsidR="00350E78" w:rsidRPr="00975079">
        <w:t>Gamma-variate</w:t>
      </w:r>
      <w:r w:rsidRPr="00975079">
        <w:t xml:space="preserve"> model equation is:</w:t>
      </w:r>
      <w:r w:rsidR="00C32A8F" w:rsidRPr="00975079">
        <w:t xml:space="preserve"> </w:t>
      </w:r>
    </w:p>
    <w:p w14:paraId="07C57F51" w14:textId="77777777" w:rsidR="00410D22" w:rsidRPr="00975079" w:rsidRDefault="00410D22" w:rsidP="00410D22">
      <w:pPr>
        <w:pStyle w:val="Text"/>
      </w:pPr>
    </w:p>
    <w:p w14:paraId="56324D00" w14:textId="27092C7A" w:rsidR="00C32A8F" w:rsidRPr="00975079" w:rsidRDefault="00A44CC0" w:rsidP="00C32A8F">
      <w:pPr>
        <w:pStyle w:val="Equation"/>
      </w:pP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gamma</m:t>
            </m:r>
          </m:sub>
        </m:sSub>
        <m:d>
          <m:dPr>
            <m:ctrlPr>
              <w:rPr>
                <w:rFonts w:ascii="Cambria Math" w:hAnsi="Cambria Math"/>
                <w:i/>
                <w:lang w:val="en-GB"/>
              </w:rPr>
            </m:ctrlPr>
          </m:dPr>
          <m:e>
            <m:r>
              <m:rPr>
                <m:sty m:val="bi"/>
              </m:rPr>
              <w:rPr>
                <w:rFonts w:ascii="Cambria Math" w:hAnsi="Cambria Math"/>
                <w:lang w:val="en-GB"/>
              </w:rPr>
              <m:t>p,</m:t>
            </m:r>
            <m:r>
              <w:rPr>
                <w:rFonts w:ascii="Cambria Math" w:hAnsi="Cambria Math"/>
                <w:lang w:val="en-GB"/>
              </w:rPr>
              <m:t>t</m:t>
            </m:r>
          </m:e>
        </m:d>
        <m:r>
          <w:rPr>
            <w:rFonts w:ascii="Cambria Math" w:hAnsi="Cambria Math"/>
            <w:lang w:val="en-GB"/>
          </w:rPr>
          <m:t xml:space="preserve">= </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num>
          <m:den>
            <m:sSub>
              <m:sSubPr>
                <m:ctrlPr>
                  <w:rPr>
                    <w:rFonts w:ascii="Cambria Math" w:hAnsi="Cambria Math"/>
                    <w:i/>
                    <w:lang w:val="en-GB"/>
                  </w:rPr>
                </m:ctrlPr>
              </m:sSubPr>
              <m:e>
                <m:r>
                  <w:rPr>
                    <w:rFonts w:ascii="Cambria Math" w:hAnsi="Cambria Math"/>
                    <w:lang w:val="en-GB"/>
                  </w:rPr>
                  <m:t>c</m:t>
                </m:r>
              </m:e>
              <m:sub>
                <m:sSub>
                  <m:sSubPr>
                    <m:ctrlPr>
                      <w:rPr>
                        <w:rFonts w:ascii="Cambria Math" w:hAnsi="Cambria Math"/>
                        <w:i/>
                        <w:lang w:val="en-GB"/>
                      </w:rPr>
                    </m:ctrlPr>
                  </m:sSubPr>
                  <m:e>
                    <m:r>
                      <w:rPr>
                        <w:rFonts w:ascii="Cambria Math" w:hAnsi="Cambria Math"/>
                        <w:lang w:val="en-GB"/>
                      </w:rPr>
                      <m:t>gamma</m:t>
                    </m:r>
                  </m:e>
                  <m:sub>
                    <m:r>
                      <w:rPr>
                        <w:rFonts w:ascii="Cambria Math" w:hAnsi="Cambria Math"/>
                        <w:lang w:val="en-GB"/>
                      </w:rPr>
                      <m:t>max</m:t>
                    </m:r>
                  </m:sub>
                </m:sSub>
              </m:sub>
            </m:sSub>
          </m:den>
        </m:f>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e>
            </m:d>
          </m:e>
          <m:sup>
            <m:r>
              <w:rPr>
                <w:rFonts w:ascii="Cambria Math" w:hAnsi="Cambria Math"/>
                <w:lang w:val="en-GB"/>
              </w:rPr>
              <m:t>α</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f>
              <m:fPr>
                <m:ctrlPr>
                  <w:rPr>
                    <w:rFonts w:ascii="Cambria Math" w:hAnsi="Cambria Math"/>
                    <w:i/>
                    <w:lang w:val="en-GB"/>
                  </w:rPr>
                </m:ctrlPr>
              </m:fPr>
              <m:num>
                <m:r>
                  <w:rPr>
                    <w:rFonts w:ascii="Cambria Math" w:hAnsi="Cambria Math"/>
                    <w:lang w:val="en-GB"/>
                  </w:rPr>
                  <m:t>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num>
              <m:den>
                <m:r>
                  <w:rPr>
                    <w:rFonts w:ascii="Cambria Math" w:hAnsi="Cambria Math"/>
                    <w:lang w:val="en-GB"/>
                  </w:rPr>
                  <m:t>β</m:t>
                </m:r>
              </m:den>
            </m:f>
          </m:sup>
        </m:sSup>
        <m:r>
          <w:rPr>
            <w:rFonts w:ascii="Cambria Math" w:hAnsi="Cambria Math"/>
            <w:lang w:val="en-GB"/>
          </w:rPr>
          <m:t xml:space="preserve">   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oMath>
      <w:r w:rsidR="00C32A8F" w:rsidRPr="00975079">
        <w:tab/>
        <w:t>(</w:t>
      </w:r>
      <w:r w:rsidR="00410D22" w:rsidRPr="00975079">
        <w:t>2</w:t>
      </w:r>
      <w:r w:rsidR="00C32A8F" w:rsidRPr="00975079">
        <w:t>)</w:t>
      </w:r>
    </w:p>
    <w:p w14:paraId="789B3D97" w14:textId="77777777" w:rsidR="00E45C41" w:rsidRPr="00975079" w:rsidRDefault="00E45C41" w:rsidP="00012757">
      <w:pPr>
        <w:rPr>
          <w:b/>
          <w:lang w:val="en-GB"/>
        </w:rPr>
      </w:pPr>
    </w:p>
    <w:p w14:paraId="59D86B71" w14:textId="3B08F3DD" w:rsidR="00E45C41" w:rsidRPr="00975079" w:rsidRDefault="00E45C41" w:rsidP="00012757">
      <m:oMath>
        <m:r>
          <m:rPr>
            <m:sty m:val="bi"/>
          </m:rPr>
          <w:rPr>
            <w:rFonts w:ascii="Cambria Math" w:hAnsi="Cambria Math"/>
            <w:lang w:val="en-GB"/>
          </w:rPr>
          <m:t>p=</m:t>
        </m:r>
      </m:oMath>
      <w:r w:rsidRPr="00975079">
        <w:rPr>
          <w:b/>
          <w:lang w:val="en-GB"/>
        </w:rPr>
        <w:t>[</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r>
          <w:rPr>
            <w:rFonts w:ascii="Cambria Math" w:hAnsi="Cambria Math"/>
            <w:lang w:val="en-GB"/>
          </w:rPr>
          <m:t>,α,</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r>
          <m:rPr>
            <m:sty m:val="p"/>
          </m:rPr>
          <w:rPr>
            <w:rFonts w:ascii="Cambria Math" w:hAnsi="Cambria Math"/>
          </w:rPr>
          <m:t xml:space="preserve"> </m:t>
        </m:r>
        <m:r>
          <m:rPr>
            <m:sty m:val="p"/>
          </m:rPr>
          <w:rPr>
            <w:rFonts w:ascii="Cambria Math"/>
          </w:rPr>
          <m:t>,</m:t>
        </m:r>
        <m:r>
          <w:rPr>
            <w:rFonts w:ascii="Cambria Math" w:hAnsi="Cambria Math"/>
            <w:lang w:val="en-GB"/>
          </w:rPr>
          <m:t>β</m:t>
        </m:r>
      </m:oMath>
      <w:r w:rsidRPr="00975079">
        <w:rPr>
          <w:b/>
          <w:lang w:val="en-GB"/>
        </w:rPr>
        <w:t xml:space="preserve">] </w:t>
      </w:r>
    </w:p>
    <w:p w14:paraId="4D28E073" w14:textId="77777777" w:rsidR="00410D22" w:rsidRPr="00975079" w:rsidRDefault="00410D22" w:rsidP="00C32A8F">
      <w:pPr>
        <w:pStyle w:val="Text"/>
      </w:pPr>
    </w:p>
    <w:p w14:paraId="169E4F2D" w14:textId="73ABA517" w:rsidR="00DD3A36" w:rsidRPr="00975079" w:rsidRDefault="00DD3A36" w:rsidP="00C32A8F">
      <w:pPr>
        <w:pStyle w:val="Text"/>
      </w:pPr>
      <w:r w:rsidRPr="00975079">
        <w:t xml:space="preserve">where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oMath>
      <w:r w:rsidR="00C32A8F" w:rsidRPr="00975079">
        <w:t xml:space="preserve"> </w:t>
      </w:r>
      <w:r w:rsidRPr="00975079">
        <w:t xml:space="preserve">is a scaling factor, </w:t>
      </w:r>
      <m:oMath>
        <m:r>
          <w:rPr>
            <w:rFonts w:ascii="Cambria Math" w:hAnsi="Cambria Math"/>
            <w:lang w:val="en-GB"/>
          </w:rPr>
          <m:t>α</m:t>
        </m:r>
      </m:oMath>
      <w:r w:rsidRPr="00975079">
        <w:t xml:space="preserve"> and </w:t>
      </w:r>
      <m:oMath>
        <m:r>
          <w:rPr>
            <w:rFonts w:ascii="Cambria Math" w:hAnsi="Cambria Math"/>
            <w:lang w:val="en-GB"/>
          </w:rPr>
          <m:t>β</m:t>
        </m:r>
      </m:oMath>
      <w:r w:rsidRPr="00975079">
        <w:t xml:space="preserve"> determine the bolus shape (raise and washout of the dye from the vascular bed) and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oMath>
      <w:r w:rsidRPr="00975079">
        <w:t xml:space="preserve"> is the contrast arrival time. The amplitude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oMath>
      <w:r w:rsidRPr="00975079">
        <w:t xml:space="preserve"> of the </w:t>
      </w:r>
      <w:r w:rsidR="00350E78" w:rsidRPr="00975079">
        <w:t>Gamma-variate</w:t>
      </w:r>
      <w:r w:rsidRPr="00975079">
        <w:t xml:space="preserve"> function is normalized for </w:t>
      </w:r>
      <m:oMath>
        <m:sSub>
          <m:sSubPr>
            <m:ctrlPr>
              <w:rPr>
                <w:rFonts w:ascii="Cambria Math" w:hAnsi="Cambria Math"/>
                <w:i/>
                <w:lang w:val="en-GB"/>
              </w:rPr>
            </m:ctrlPr>
          </m:sSubPr>
          <m:e>
            <m:r>
              <w:rPr>
                <w:rFonts w:ascii="Cambria Math" w:hAnsi="Cambria Math"/>
                <w:lang w:val="en-GB"/>
              </w:rPr>
              <m:t>c</m:t>
            </m:r>
          </m:e>
          <m:sub>
            <m:sSub>
              <m:sSubPr>
                <m:ctrlPr>
                  <w:rPr>
                    <w:rFonts w:ascii="Cambria Math" w:hAnsi="Cambria Math"/>
                    <w:i/>
                    <w:lang w:val="en-GB"/>
                  </w:rPr>
                </m:ctrlPr>
              </m:sSubPr>
              <m:e>
                <m:r>
                  <w:rPr>
                    <w:rFonts w:ascii="Cambria Math" w:hAnsi="Cambria Math"/>
                    <w:lang w:val="en-GB"/>
                  </w:rPr>
                  <m:t>gamma</m:t>
                </m:r>
              </m:e>
              <m:sub>
                <m:r>
                  <w:rPr>
                    <w:rFonts w:ascii="Cambria Math" w:hAnsi="Cambria Math"/>
                    <w:lang w:val="en-GB"/>
                  </w:rPr>
                  <m:t>max</m:t>
                </m:r>
              </m:sub>
            </m:sSub>
          </m:sub>
        </m:sSub>
      </m:oMath>
      <w:r w:rsidRPr="00975079">
        <w:t xml:space="preserve">, the maximum value of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gamma</m:t>
            </m:r>
          </m:sub>
        </m:sSub>
        <m:d>
          <m:dPr>
            <m:ctrlPr>
              <w:rPr>
                <w:rFonts w:ascii="Cambria Math" w:hAnsi="Cambria Math"/>
                <w:i/>
                <w:lang w:val="en-GB"/>
              </w:rPr>
            </m:ctrlPr>
          </m:dPr>
          <m:e>
            <m:r>
              <w:rPr>
                <w:rFonts w:ascii="Cambria Math" w:hAnsi="Cambria Math"/>
                <w:lang w:val="en-GB"/>
              </w:rPr>
              <m:t>t</m:t>
            </m:r>
          </m:e>
        </m:d>
      </m:oMath>
      <w:r w:rsidR="00C32A8F" w:rsidRPr="00975079">
        <w:t xml:space="preserve"> </w:t>
      </w:r>
      <w:r w:rsidRPr="00975079">
        <w:t xml:space="preserve">(i.e. the peak value), in order to have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oMath>
      <w:r w:rsidRPr="00975079">
        <w:t xml:space="preserve"> varying between 0 and 1. From the </w:t>
      </w:r>
      <w:r w:rsidR="00993C72" w:rsidRPr="00975079">
        <w:t>G</w:t>
      </w:r>
      <w:r w:rsidRPr="00975079">
        <w:t xml:space="preserve">amma-variate estimated microparameters </w:t>
      </w:r>
      <m:oMath>
        <m:sSub>
          <m:sSubPr>
            <m:ctrlPr>
              <w:rPr>
                <w:rFonts w:ascii="Cambria Math" w:hAnsi="Cambria Math"/>
                <w:b/>
                <w:i/>
                <w:lang w:val="en-GB"/>
              </w:rPr>
            </m:ctrlPr>
          </m:sSubPr>
          <m:e>
            <m:acc>
              <m:accPr>
                <m:ctrlPr>
                  <w:rPr>
                    <w:rFonts w:ascii="Cambria Math" w:hAnsi="Cambria Math"/>
                    <w:b/>
                    <w:i/>
                    <w:lang w:val="en-GB"/>
                  </w:rPr>
                </m:ctrlPr>
              </m:accPr>
              <m:e>
                <m:r>
                  <m:rPr>
                    <m:sty m:val="bi"/>
                  </m:rPr>
                  <w:rPr>
                    <w:rFonts w:ascii="Cambria Math" w:hAnsi="Cambria Math"/>
                    <w:lang w:val="en-GB"/>
                  </w:rPr>
                  <m:t>p</m:t>
                </m:r>
              </m:e>
            </m:acc>
          </m:e>
          <m:sub>
            <m:r>
              <m:rPr>
                <m:sty m:val="bi"/>
              </m:rPr>
              <w:rPr>
                <w:rFonts w:ascii="Cambria Math" w:hAnsi="Cambria Math"/>
                <w:lang w:val="en-GB"/>
              </w:rPr>
              <m:t>gamma</m:t>
            </m:r>
          </m:sub>
        </m:sSub>
        <m:r>
          <w:rPr>
            <w:rFonts w:ascii="Cambria Math" w:hAnsi="Cambria Math"/>
            <w:lang w:val="en-GB"/>
          </w:rPr>
          <m:t>=[</m:t>
        </m:r>
        <m:sSub>
          <m:sSubPr>
            <m:ctrlPr>
              <w:rPr>
                <w:rFonts w:ascii="Cambria Math" w:hAnsi="Cambria Math"/>
                <w:i/>
                <w:lang w:val="en-GB"/>
              </w:rPr>
            </m:ctrlPr>
          </m:sSubPr>
          <m:e>
            <m:acc>
              <m:accPr>
                <m:ctrlPr>
                  <w:rPr>
                    <w:rFonts w:ascii="Cambria Math" w:hAnsi="Cambria Math"/>
                    <w:i/>
                    <w:lang w:val="en-GB"/>
                  </w:rPr>
                </m:ctrlPr>
              </m:accPr>
              <m:e>
                <m:r>
                  <w:rPr>
                    <w:rFonts w:ascii="Cambria Math" w:hAnsi="Cambria Math"/>
                    <w:lang w:val="en-GB"/>
                  </w:rPr>
                  <m:t>a</m:t>
                </m:r>
              </m:e>
            </m:acc>
          </m:e>
          <m:sub>
            <m:r>
              <w:rPr>
                <w:rFonts w:ascii="Cambria Math" w:hAnsi="Cambria Math"/>
                <w:lang w:val="en-GB"/>
              </w:rPr>
              <m:t>0</m:t>
            </m:r>
          </m:sub>
        </m:sSub>
        <m:r>
          <w:rPr>
            <w:rFonts w:ascii="Cambria Math" w:hAnsi="Cambria Math"/>
            <w:lang w:val="en-GB"/>
          </w:rPr>
          <m:t xml:space="preserve">, </m:t>
        </m:r>
        <m:acc>
          <m:accPr>
            <m:ctrlPr>
              <w:rPr>
                <w:rFonts w:ascii="Cambria Math" w:hAnsi="Cambria Math"/>
                <w:i/>
                <w:lang w:val="en-GB"/>
              </w:rPr>
            </m:ctrlPr>
          </m:accPr>
          <m:e>
            <m:r>
              <w:rPr>
                <w:rFonts w:ascii="Cambria Math" w:hAnsi="Cambria Math"/>
                <w:lang w:val="en-GB"/>
              </w:rPr>
              <m:t>α</m:t>
            </m:r>
          </m:e>
        </m:acc>
        <m:r>
          <w:rPr>
            <w:rFonts w:ascii="Cambria Math" w:hAnsi="Cambria Math"/>
            <w:lang w:val="en-GB"/>
          </w:rPr>
          <m:t xml:space="preserve">, </m:t>
        </m:r>
        <m:sSub>
          <m:sSubPr>
            <m:ctrlPr>
              <w:rPr>
                <w:rFonts w:ascii="Cambria Math" w:hAnsi="Cambria Math"/>
                <w:i/>
                <w:lang w:val="en-GB"/>
              </w:rPr>
            </m:ctrlPr>
          </m:sSubPr>
          <m:e>
            <m:acc>
              <m:accPr>
                <m:ctrlPr>
                  <w:rPr>
                    <w:rFonts w:ascii="Cambria Math" w:hAnsi="Cambria Math"/>
                    <w:i/>
                    <w:lang w:val="en-GB"/>
                  </w:rPr>
                </m:ctrlPr>
              </m:accPr>
              <m:e>
                <m:r>
                  <w:rPr>
                    <w:rFonts w:ascii="Cambria Math" w:hAnsi="Cambria Math"/>
                    <w:lang w:val="en-GB"/>
                  </w:rPr>
                  <m:t>t</m:t>
                </m:r>
              </m:e>
            </m:acc>
          </m:e>
          <m:sub>
            <m:r>
              <w:rPr>
                <w:rFonts w:ascii="Cambria Math" w:hAnsi="Cambria Math"/>
                <w:lang w:val="en-GB"/>
              </w:rPr>
              <m:t>0</m:t>
            </m:r>
          </m:sub>
        </m:sSub>
        <m:r>
          <w:rPr>
            <w:rFonts w:ascii="Cambria Math" w:hAnsi="Cambria Math"/>
            <w:lang w:val="en-GB"/>
          </w:rPr>
          <m:t xml:space="preserve">, </m:t>
        </m:r>
        <m:acc>
          <m:accPr>
            <m:ctrlPr>
              <w:rPr>
                <w:rFonts w:ascii="Cambria Math" w:hAnsi="Cambria Math"/>
                <w:i/>
                <w:lang w:val="en-GB"/>
              </w:rPr>
            </m:ctrlPr>
          </m:accPr>
          <m:e>
            <m:r>
              <w:rPr>
                <w:rFonts w:ascii="Cambria Math" w:hAnsi="Cambria Math"/>
                <w:lang w:val="en-GB"/>
              </w:rPr>
              <m:t>β</m:t>
            </m:r>
          </m:e>
        </m:acc>
        <m:r>
          <w:rPr>
            <w:rFonts w:ascii="Cambria Math" w:hAnsi="Cambria Math"/>
            <w:lang w:val="en-GB"/>
          </w:rPr>
          <m:t>]</m:t>
        </m:r>
      </m:oMath>
      <w:r w:rsidRPr="00975079">
        <w:t xml:space="preserve"> it is possible to derive a set of additional macroparameters, such as the peak value </w:t>
      </w: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max</m:t>
            </m:r>
          </m:sub>
        </m:sSub>
      </m:oMath>
      <w:r w:rsidRPr="00975079">
        <w:t xml:space="preserve">, the time of peak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max</m:t>
            </m:r>
          </m:sub>
        </m:sSub>
      </m:oMath>
      <w:r w:rsidRPr="00975079">
        <w:t xml:space="preserve">, the raise time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raise</m:t>
            </m:r>
          </m:sub>
        </m:sSub>
      </m:oMath>
      <w:r w:rsidRPr="00975079">
        <w:t xml:space="preserve"> and the washout time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oMath>
      <w:r w:rsidRPr="00975079">
        <w:t xml:space="preserve"> (computed as the time needed to raise the intensity from the baseline value to half maximum and from the peak value to half maximum respectively), the mean transit time </w:t>
      </w:r>
      <m:oMath>
        <m:r>
          <w:rPr>
            <w:rFonts w:ascii="Cambria Math" w:hAnsi="Cambria Math"/>
            <w:lang w:val="en-GB"/>
          </w:rPr>
          <m:t>MTT</m:t>
        </m:r>
      </m:oMath>
      <w:r w:rsidRPr="00975079">
        <w:t xml:space="preserve">, the blood flow index </w:t>
      </w:r>
      <m:oMath>
        <m:r>
          <w:rPr>
            <w:rFonts w:ascii="Cambria Math" w:hAnsi="Cambria Math"/>
            <w:lang w:val="en-GB"/>
          </w:rPr>
          <m:t>BFI</m:t>
        </m:r>
      </m:oMath>
      <w:r w:rsidR="00C32A8F" w:rsidRPr="00975079">
        <w:t xml:space="preserve"> </w:t>
      </w:r>
      <w:r w:rsidRPr="00975079">
        <w:t xml:space="preserve">and the blood volume index </w:t>
      </w:r>
      <m:oMath>
        <m:r>
          <w:rPr>
            <w:rFonts w:ascii="Cambria Math" w:hAnsi="Cambria Math"/>
            <w:lang w:val="en-GB"/>
          </w:rPr>
          <m:t>BVI</m:t>
        </m:r>
      </m:oMath>
      <w:r w:rsidRPr="00975079">
        <w:t xml:space="preserve">, for a total of 11 parameters for each curve. The equations for the calculation of the macroparameters </w:t>
      </w:r>
      <w:r w:rsidR="00815726" w:rsidRPr="00975079">
        <w:t>are</w:t>
      </w:r>
      <w:r w:rsidRPr="00975079">
        <w:t xml:space="preserve"> reported in Appendix </w:t>
      </w:r>
      <w:r w:rsidR="007414A7" w:rsidRPr="00975079">
        <w:t>A</w:t>
      </w:r>
      <w:r w:rsidRPr="00975079">
        <w:t>.</w:t>
      </w:r>
    </w:p>
    <w:p w14:paraId="5250324F" w14:textId="4158F523" w:rsidR="00DD3A36" w:rsidRPr="00975079" w:rsidRDefault="008F147B" w:rsidP="0079732D">
      <w:pPr>
        <w:pStyle w:val="Text"/>
      </w:pPr>
      <w:r w:rsidRPr="00975079">
        <w:t xml:space="preserve">The classical Gamma-variate model will consider negligible any </w:t>
      </w:r>
      <w:r w:rsidR="0028327B" w:rsidRPr="00975079">
        <w:t xml:space="preserve">apparent trapping (that can be seen as an </w:t>
      </w:r>
      <w:r w:rsidRPr="00975079">
        <w:t>irreversible component</w:t>
      </w:r>
      <w:r w:rsidR="0028327B" w:rsidRPr="00975079">
        <w:t>)</w:t>
      </w:r>
      <w:r w:rsidRPr="00975079">
        <w:t xml:space="preserve"> of the contrast agent, compared to the general picture of the system dynamics. </w:t>
      </w:r>
    </w:p>
    <w:p w14:paraId="3F1D93E5" w14:textId="5D849248" w:rsidR="00410D22" w:rsidRPr="00975079" w:rsidRDefault="00445B6C" w:rsidP="00410D22">
      <w:pPr>
        <w:pStyle w:val="Text"/>
      </w:pPr>
      <w:r w:rsidRPr="00975079">
        <w:t>An</w:t>
      </w:r>
      <w:r w:rsidR="00DD3A36" w:rsidRPr="00975079">
        <w:t xml:space="preserve"> alternative </w:t>
      </w:r>
      <w:r w:rsidRPr="00975079">
        <w:t>model to describe CEUS kinetics is</w:t>
      </w:r>
      <w:r w:rsidR="00DD3A36" w:rsidRPr="00975079">
        <w:t xml:space="preserve"> the single recirculation component (SC</w:t>
      </w:r>
      <w:r w:rsidR="00350E78" w:rsidRPr="00975079">
        <w:t>R), previously proposed for DSC-</w:t>
      </w:r>
      <w:r w:rsidR="00DD3A36" w:rsidRPr="00975079">
        <w:t>MRI perfusion imaging</w:t>
      </w:r>
      <w:r w:rsidR="00E62E1D" w:rsidRPr="00975079">
        <w:t>.</w:t>
      </w:r>
      <w:r w:rsidR="00DD3A36" w:rsidRPr="00975079">
        <w:t xml:space="preserve"> </w:t>
      </w:r>
      <w:r w:rsidR="00E62E1D" w:rsidRPr="00975079">
        <w:t xml:space="preserve">This model </w:t>
      </w:r>
      <w:r w:rsidR="00DD3A36" w:rsidRPr="00975079">
        <w:t xml:space="preserve">can be used to describe the irreversible component in CEUS: </w:t>
      </w:r>
    </w:p>
    <w:p w14:paraId="6CBF903B" w14:textId="77777777" w:rsidR="00410D22" w:rsidRPr="00975079" w:rsidRDefault="00410D22" w:rsidP="00410D22">
      <w:pPr>
        <w:pStyle w:val="Text"/>
      </w:pPr>
    </w:p>
    <w:p w14:paraId="0C0D11AF" w14:textId="397561E3" w:rsidR="00410D22" w:rsidRPr="00975079" w:rsidRDefault="00A44CC0" w:rsidP="00410D22">
      <w:pPr>
        <w:pStyle w:val="Equation"/>
      </w:pP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SCR</m:t>
            </m:r>
          </m:sub>
        </m:sSub>
        <m:d>
          <m:dPr>
            <m:ctrlPr>
              <w:rPr>
                <w:rFonts w:ascii="Cambria Math" w:hAnsi="Cambria Math"/>
                <w:i/>
                <w:lang w:val="en-GB"/>
              </w:rPr>
            </m:ctrlPr>
          </m:dPr>
          <m:e>
            <m:r>
              <m:rPr>
                <m:sty m:val="bi"/>
              </m:rPr>
              <w:rPr>
                <w:rFonts w:ascii="Cambria Math" w:hAnsi="Cambria Math"/>
                <w:lang w:val="en-GB"/>
              </w:rPr>
              <m:t>p,</m:t>
            </m:r>
            <m:r>
              <w:rPr>
                <w:rFonts w:ascii="Cambria Math" w:hAnsi="Cambria Math"/>
                <w:lang w:val="en-GB"/>
              </w:rPr>
              <m:t>t</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gamma</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AUC</m:t>
                </m:r>
              </m:e>
              <m:sub>
                <m:r>
                  <w:rPr>
                    <w:rFonts w:ascii="Cambria Math" w:hAnsi="Cambria Math"/>
                    <w:lang w:val="en-GB"/>
                  </w:rPr>
                  <m:t>g</m:t>
                </m:r>
              </m:sub>
            </m:sSub>
          </m:den>
        </m:f>
        <m:nary>
          <m:naryPr>
            <m:limLoc m:val="subSup"/>
            <m:ctrlPr>
              <w:rPr>
                <w:rFonts w:ascii="Cambria Math" w:hAnsi="Cambria Math"/>
                <w:i/>
                <w:lang w:val="en-GB"/>
              </w:rPr>
            </m:ctrlPr>
          </m:naryPr>
          <m:sub>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sub>
          <m:sup>
            <m:r>
              <w:rPr>
                <w:rFonts w:ascii="Cambria Math" w:hAnsi="Cambria Math"/>
                <w:lang w:val="en-GB"/>
              </w:rPr>
              <m:t>t</m:t>
            </m:r>
          </m:sup>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gamma</m:t>
                </m:r>
              </m:sub>
            </m:sSub>
            <m:d>
              <m:dPr>
                <m:ctrlPr>
                  <w:rPr>
                    <w:rFonts w:ascii="Cambria Math" w:hAnsi="Cambria Math"/>
                    <w:i/>
                    <w:lang w:val="en-GB"/>
                  </w:rPr>
                </m:ctrlPr>
              </m:dPr>
              <m:e>
                <m:r>
                  <w:rPr>
                    <w:rFonts w:ascii="Cambria Math" w:hAnsi="Cambria Math"/>
                    <w:lang w:val="en-GB"/>
                  </w:rPr>
                  <m:t>τ</m:t>
                </m:r>
              </m:e>
            </m:d>
            <m:r>
              <w:rPr>
                <w:rFonts w:ascii="Cambria Math" w:hAnsi="Cambria Math"/>
                <w:lang w:val="en-GB"/>
              </w:rPr>
              <m:t>dτ   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e>
        </m:nary>
      </m:oMath>
      <w:r w:rsidR="00410D22" w:rsidRPr="00975079">
        <w:tab/>
        <w:t>(3)</w:t>
      </w:r>
    </w:p>
    <w:p w14:paraId="6C6C2FED" w14:textId="77777777" w:rsidR="00410D22" w:rsidRPr="00975079" w:rsidRDefault="00410D22" w:rsidP="00410D22">
      <w:pPr>
        <w:pStyle w:val="Text"/>
      </w:pPr>
    </w:p>
    <w:p w14:paraId="2FA3C746" w14:textId="0667C17B" w:rsidR="00E45C41" w:rsidRPr="00975079" w:rsidRDefault="00E45C41" w:rsidP="00E45C41">
      <m:oMath>
        <m:r>
          <m:rPr>
            <m:sty m:val="bi"/>
          </m:rPr>
          <w:rPr>
            <w:rFonts w:ascii="Cambria Math" w:hAnsi="Cambria Math"/>
            <w:lang w:val="en-GB"/>
          </w:rPr>
          <m:t>p=</m:t>
        </m:r>
      </m:oMath>
      <w:r w:rsidRPr="00975079">
        <w:rPr>
          <w:b/>
          <w:lang w:val="en-GB"/>
        </w:rPr>
        <w:t>[</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r>
          <w:rPr>
            <w:rFonts w:ascii="Cambria Math" w:hAnsi="Cambria Math"/>
            <w:lang w:val="en-GB"/>
          </w:rPr>
          <m:t>,α,</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r>
          <m:rPr>
            <m:sty m:val="p"/>
          </m:rPr>
          <w:rPr>
            <w:rFonts w:ascii="Cambria Math" w:hAnsi="Cambria Math"/>
          </w:rPr>
          <m:t xml:space="preserve"> </m:t>
        </m:r>
        <m:r>
          <m:rPr>
            <m:sty m:val="p"/>
          </m:rPr>
          <w:rPr>
            <w:rFonts w:ascii="Cambria Math"/>
          </w:rPr>
          <m:t>,</m:t>
        </m:r>
        <m:r>
          <w:rPr>
            <w:rFonts w:ascii="Cambria Math" w:hAnsi="Cambria Math"/>
            <w:lang w:val="en-GB"/>
          </w:rPr>
          <m:t>β,</m:t>
        </m:r>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rPr>
          <w:b/>
          <w:lang w:val="en-GB"/>
        </w:rPr>
        <w:t xml:space="preserve">] </w:t>
      </w:r>
    </w:p>
    <w:p w14:paraId="52916A31" w14:textId="77777777" w:rsidR="00E45C41" w:rsidRPr="00975079" w:rsidRDefault="00E45C41" w:rsidP="00410D22">
      <w:pPr>
        <w:pStyle w:val="Text"/>
      </w:pPr>
    </w:p>
    <w:p w14:paraId="00938364" w14:textId="5DFF7E97" w:rsidR="00E97B99" w:rsidRPr="00975079" w:rsidRDefault="00DD3A36" w:rsidP="00410D22">
      <w:pPr>
        <w:pStyle w:val="Text"/>
      </w:pPr>
      <w:r w:rsidRPr="00975079">
        <w:t xml:space="preserve">where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t xml:space="preserve"> is the scaling factor (normalized by the area under the curve </w:t>
      </w:r>
      <m:oMath>
        <m:sSub>
          <m:sSubPr>
            <m:ctrlPr>
              <w:rPr>
                <w:rFonts w:ascii="Cambria Math" w:hAnsi="Cambria Math"/>
                <w:i/>
                <w:lang w:val="en-GB"/>
              </w:rPr>
            </m:ctrlPr>
          </m:sSubPr>
          <m:e>
            <m:r>
              <w:rPr>
                <w:rFonts w:ascii="Cambria Math" w:hAnsi="Cambria Math"/>
                <w:lang w:val="en-GB"/>
              </w:rPr>
              <m:t>AUC</m:t>
            </m:r>
          </m:e>
          <m:sub>
            <m:r>
              <w:rPr>
                <w:rFonts w:ascii="Cambria Math" w:hAnsi="Cambria Math"/>
                <w:lang w:val="en-GB"/>
              </w:rPr>
              <m:t>g</m:t>
            </m:r>
          </m:sub>
        </m:sSub>
      </m:oMath>
      <w:r w:rsidR="00410D22" w:rsidRPr="00975079">
        <w:t xml:space="preserve"> of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gamma</m:t>
            </m:r>
          </m:sub>
        </m:sSub>
        <m:r>
          <w:rPr>
            <w:rFonts w:ascii="Cambria Math" w:hAnsi="Cambria Math"/>
            <w:lang w:val="en-GB"/>
          </w:rPr>
          <m:t>(t)</m:t>
        </m:r>
      </m:oMath>
      <w:r w:rsidR="00691AF7" w:rsidRPr="00975079">
        <w:rPr>
          <w:lang w:val="en-GB"/>
        </w:rPr>
        <w:t>)</w:t>
      </w:r>
      <w:r w:rsidRPr="00975079">
        <w:t xml:space="preserve"> to range between 0 and 1</w:t>
      </w:r>
      <w:r w:rsidR="00815726" w:rsidRPr="00975079">
        <w:t>)</w:t>
      </w:r>
      <w:r w:rsidRPr="00975079">
        <w:t xml:space="preserve">. The integral term describes the trapping term (i.e. the fraction of contrast trapped in the vasculature). From the set of estimated parameters </w:t>
      </w:r>
      <m:oMath>
        <m:sSub>
          <m:sSubPr>
            <m:ctrlPr>
              <w:rPr>
                <w:rFonts w:ascii="Cambria Math" w:hAnsi="Cambria Math"/>
                <w:b/>
                <w:i/>
                <w:lang w:val="en-GB"/>
              </w:rPr>
            </m:ctrlPr>
          </m:sSubPr>
          <m:e>
            <m:acc>
              <m:accPr>
                <m:ctrlPr>
                  <w:rPr>
                    <w:rFonts w:ascii="Cambria Math" w:hAnsi="Cambria Math"/>
                    <w:b/>
                    <w:i/>
                    <w:lang w:val="en-GB"/>
                  </w:rPr>
                </m:ctrlPr>
              </m:accPr>
              <m:e>
                <m:r>
                  <m:rPr>
                    <m:sty m:val="bi"/>
                  </m:rPr>
                  <w:rPr>
                    <w:rFonts w:ascii="Cambria Math" w:hAnsi="Cambria Math"/>
                    <w:lang w:val="en-GB"/>
                  </w:rPr>
                  <m:t>p</m:t>
                </m:r>
              </m:e>
            </m:acc>
          </m:e>
          <m:sub>
            <m:r>
              <m:rPr>
                <m:sty m:val="bi"/>
              </m:rPr>
              <w:rPr>
                <w:rFonts w:ascii="Cambria Math" w:hAnsi="Cambria Math"/>
                <w:lang w:val="en-GB"/>
              </w:rPr>
              <m:t>SCR</m:t>
            </m:r>
          </m:sub>
        </m:sSub>
        <m:r>
          <w:rPr>
            <w:rFonts w:ascii="Cambria Math" w:hAnsi="Cambria Math"/>
            <w:lang w:val="en-GB"/>
          </w:rPr>
          <m:t>=[</m:t>
        </m:r>
        <m:sSub>
          <m:sSubPr>
            <m:ctrlPr>
              <w:rPr>
                <w:rFonts w:ascii="Cambria Math" w:hAnsi="Cambria Math"/>
                <w:i/>
                <w:lang w:val="en-GB"/>
              </w:rPr>
            </m:ctrlPr>
          </m:sSubPr>
          <m:e>
            <m:acc>
              <m:accPr>
                <m:ctrlPr>
                  <w:rPr>
                    <w:rFonts w:ascii="Cambria Math" w:hAnsi="Cambria Math"/>
                    <w:i/>
                    <w:lang w:val="en-GB"/>
                  </w:rPr>
                </m:ctrlPr>
              </m:accPr>
              <m:e>
                <m:r>
                  <w:rPr>
                    <w:rFonts w:ascii="Cambria Math" w:hAnsi="Cambria Math"/>
                    <w:lang w:val="en-GB"/>
                  </w:rPr>
                  <m:t>a</m:t>
                </m:r>
              </m:e>
            </m:acc>
          </m:e>
          <m:sub>
            <m:r>
              <w:rPr>
                <w:rFonts w:ascii="Cambria Math" w:hAnsi="Cambria Math"/>
                <w:lang w:val="en-GB"/>
              </w:rPr>
              <m:t>0</m:t>
            </m:r>
          </m:sub>
        </m:sSub>
        <m:r>
          <w:rPr>
            <w:rFonts w:ascii="Cambria Math" w:hAnsi="Cambria Math"/>
            <w:lang w:val="en-GB"/>
          </w:rPr>
          <m:t xml:space="preserve">, </m:t>
        </m:r>
        <m:acc>
          <m:accPr>
            <m:ctrlPr>
              <w:rPr>
                <w:rFonts w:ascii="Cambria Math" w:hAnsi="Cambria Math"/>
                <w:i/>
                <w:lang w:val="en-GB"/>
              </w:rPr>
            </m:ctrlPr>
          </m:accPr>
          <m:e>
            <m:r>
              <w:rPr>
                <w:rFonts w:ascii="Cambria Math" w:hAnsi="Cambria Math"/>
                <w:lang w:val="en-GB"/>
              </w:rPr>
              <m:t>α</m:t>
            </m:r>
          </m:e>
        </m:acc>
        <m:r>
          <w:rPr>
            <w:rFonts w:ascii="Cambria Math" w:hAnsi="Cambria Math"/>
            <w:lang w:val="en-GB"/>
          </w:rPr>
          <m:t xml:space="preserve">, </m:t>
        </m:r>
        <m:sSub>
          <m:sSubPr>
            <m:ctrlPr>
              <w:rPr>
                <w:rFonts w:ascii="Cambria Math" w:hAnsi="Cambria Math"/>
                <w:i/>
                <w:lang w:val="en-GB"/>
              </w:rPr>
            </m:ctrlPr>
          </m:sSubPr>
          <m:e>
            <m:acc>
              <m:accPr>
                <m:ctrlPr>
                  <w:rPr>
                    <w:rFonts w:ascii="Cambria Math" w:hAnsi="Cambria Math"/>
                    <w:i/>
                    <w:lang w:val="en-GB"/>
                  </w:rPr>
                </m:ctrlPr>
              </m:accPr>
              <m:e>
                <m:r>
                  <w:rPr>
                    <w:rFonts w:ascii="Cambria Math" w:hAnsi="Cambria Math"/>
                    <w:lang w:val="en-GB"/>
                  </w:rPr>
                  <m:t>t</m:t>
                </m:r>
              </m:e>
            </m:acc>
          </m:e>
          <m:sub>
            <m:r>
              <w:rPr>
                <w:rFonts w:ascii="Cambria Math" w:hAnsi="Cambria Math"/>
                <w:lang w:val="en-GB"/>
              </w:rPr>
              <m:t>0</m:t>
            </m:r>
          </m:sub>
        </m:sSub>
        <m:r>
          <w:rPr>
            <w:rFonts w:ascii="Cambria Math" w:hAnsi="Cambria Math"/>
            <w:lang w:val="en-GB"/>
          </w:rPr>
          <m:t xml:space="preserve">, </m:t>
        </m:r>
        <m:acc>
          <m:accPr>
            <m:ctrlPr>
              <w:rPr>
                <w:rFonts w:ascii="Cambria Math" w:hAnsi="Cambria Math"/>
                <w:i/>
                <w:lang w:val="en-GB"/>
              </w:rPr>
            </m:ctrlPr>
          </m:accPr>
          <m:e>
            <m:r>
              <w:rPr>
                <w:rFonts w:ascii="Cambria Math" w:hAnsi="Cambria Math"/>
                <w:lang w:val="en-GB"/>
              </w:rPr>
              <m:t>β</m:t>
            </m:r>
          </m:e>
        </m:acc>
        <m:r>
          <w:rPr>
            <w:rFonts w:ascii="Cambria Math" w:hAnsi="Cambria Math"/>
            <w:lang w:val="en-GB"/>
          </w:rPr>
          <m:t xml:space="preserve">, </m:t>
        </m:r>
        <m:sSub>
          <m:sSubPr>
            <m:ctrlPr>
              <w:rPr>
                <w:rFonts w:ascii="Cambria Math" w:hAnsi="Cambria Math"/>
                <w:i/>
                <w:lang w:val="en-GB"/>
              </w:rPr>
            </m:ctrlPr>
          </m:sSubPr>
          <m:e>
            <m:acc>
              <m:accPr>
                <m:ctrlPr>
                  <w:rPr>
                    <w:rFonts w:ascii="Cambria Math" w:hAnsi="Cambria Math"/>
                    <w:i/>
                    <w:lang w:val="en-GB"/>
                  </w:rPr>
                </m:ctrlPr>
              </m:accPr>
              <m:e>
                <m:r>
                  <w:rPr>
                    <w:rFonts w:ascii="Cambria Math" w:hAnsi="Cambria Math"/>
                    <w:lang w:val="en-GB"/>
                  </w:rPr>
                  <m:t>a</m:t>
                </m:r>
              </m:e>
            </m:acc>
          </m:e>
          <m:sub>
            <m:r>
              <w:rPr>
                <w:rFonts w:ascii="Cambria Math" w:hAnsi="Cambria Math"/>
                <w:lang w:val="en-GB"/>
              </w:rPr>
              <m:t>1</m:t>
            </m:r>
          </m:sub>
        </m:sSub>
        <m:r>
          <w:rPr>
            <w:rFonts w:ascii="Cambria Math" w:hAnsi="Cambria Math"/>
            <w:lang w:val="en-GB"/>
          </w:rPr>
          <m:t>]</m:t>
        </m:r>
      </m:oMath>
      <w:r w:rsidR="00410D22" w:rsidRPr="00975079">
        <w:rPr>
          <w:lang w:val="en-GB"/>
        </w:rPr>
        <w:t xml:space="preserve"> </w:t>
      </w:r>
      <w:r w:rsidRPr="00975079">
        <w:t xml:space="preserve">for the SCR model, it is </w:t>
      </w:r>
      <w:r w:rsidRPr="00975079">
        <w:t xml:space="preserve">possible to derive the same macroparameters obtained for the Gamma-variate model, </w:t>
      </w:r>
      <w:r w:rsidR="00410D22" w:rsidRPr="00975079">
        <w:rPr>
          <w:rFonts w:eastAsiaTheme="minorEastAsia"/>
          <w:lang w:val="en-GB"/>
        </w:rPr>
        <w:t xml:space="preserve">i.e. </w:t>
      </w: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max</m:t>
            </m:r>
          </m:sub>
        </m:sSub>
      </m:oMath>
      <w:r w:rsidR="00410D22" w:rsidRPr="00975079">
        <w:rPr>
          <w:lang w:val="en-GB"/>
        </w:rPr>
        <w:t>,</w:t>
      </w:r>
      <w:r w:rsidR="00410D22" w:rsidRPr="00975079">
        <w:rPr>
          <w:rFonts w:eastAsiaTheme="minorEastAsia"/>
          <w:lang w:val="en-GB"/>
        </w:rPr>
        <w:t xml:space="preserv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max</m:t>
            </m:r>
          </m:sub>
        </m:sSub>
      </m:oMath>
      <w:r w:rsidR="00410D22" w:rsidRPr="00975079">
        <w:rPr>
          <w:lang w:val="en-GB"/>
        </w:rPr>
        <w:t xml:space="preserv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raise</m:t>
            </m:r>
          </m:sub>
        </m:sSub>
      </m:oMath>
      <w:r w:rsidR="00410D22" w:rsidRPr="00975079">
        <w:rPr>
          <w:lang w:val="en-GB"/>
        </w:rPr>
        <w:t xml:space="preserv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oMath>
      <w:r w:rsidR="00410D22" w:rsidRPr="00975079">
        <w:rPr>
          <w:lang w:val="en-GB"/>
        </w:rPr>
        <w:t xml:space="preserve">, </w:t>
      </w:r>
      <m:oMath>
        <m:r>
          <w:rPr>
            <w:rFonts w:ascii="Cambria Math" w:hAnsi="Cambria Math"/>
            <w:lang w:val="en-GB"/>
          </w:rPr>
          <m:t>MTT</m:t>
        </m:r>
      </m:oMath>
      <w:r w:rsidR="00410D22" w:rsidRPr="00975079">
        <w:rPr>
          <w:rFonts w:eastAsiaTheme="minorEastAsia"/>
          <w:lang w:val="en-GB"/>
        </w:rPr>
        <w:t xml:space="preserve">, </w:t>
      </w:r>
      <m:oMath>
        <m:r>
          <w:rPr>
            <w:rFonts w:ascii="Cambria Math" w:hAnsi="Cambria Math"/>
            <w:lang w:val="en-GB"/>
          </w:rPr>
          <m:t>BFI</m:t>
        </m:r>
      </m:oMath>
      <w:r w:rsidR="00410D22" w:rsidRPr="00975079">
        <w:rPr>
          <w:lang w:val="en-GB"/>
        </w:rPr>
        <w:t xml:space="preserve"> and </w:t>
      </w:r>
      <m:oMath>
        <m:r>
          <w:rPr>
            <w:rFonts w:ascii="Cambria Math" w:hAnsi="Cambria Math"/>
            <w:lang w:val="en-GB"/>
          </w:rPr>
          <m:t>BVI</m:t>
        </m:r>
      </m:oMath>
      <w:r w:rsidR="00410D22" w:rsidRPr="00975079">
        <w:rPr>
          <w:lang w:val="en-GB"/>
        </w:rPr>
        <w:t>,</w:t>
      </w:r>
      <w:r w:rsidRPr="00975079">
        <w:t xml:space="preserve"> for a total of 12 parameters for each curve (Appendix </w:t>
      </w:r>
      <w:r w:rsidR="007414A7" w:rsidRPr="00975079">
        <w:t>A</w:t>
      </w:r>
      <w:r w:rsidRPr="00975079">
        <w:t>).</w:t>
      </w:r>
      <w:r w:rsidR="00690144" w:rsidRPr="00975079">
        <w:t xml:space="preserve"> </w:t>
      </w:r>
    </w:p>
    <w:p w14:paraId="36244335" w14:textId="77777777" w:rsidR="00BF0C69" w:rsidRPr="00975079" w:rsidRDefault="00BF0C69" w:rsidP="0079732D">
      <w:pPr>
        <w:pStyle w:val="Text"/>
        <w:ind w:firstLine="0"/>
      </w:pPr>
    </w:p>
    <w:p w14:paraId="283324B8" w14:textId="320AD7C7" w:rsidR="00BF0C69" w:rsidRPr="00975079" w:rsidRDefault="00DD3A36" w:rsidP="0079732D">
      <w:pPr>
        <w:pStyle w:val="Titolo2"/>
        <w:jc w:val="both"/>
      </w:pPr>
      <w:r w:rsidRPr="00975079">
        <w:t>Variational Bayes theory</w:t>
      </w:r>
      <w:r w:rsidR="00BF0C69" w:rsidRPr="00975079">
        <w:t xml:space="preserve"> </w:t>
      </w:r>
    </w:p>
    <w:p w14:paraId="1FA33F36" w14:textId="6AF6B164" w:rsidR="00DD3A36" w:rsidRPr="00975079" w:rsidRDefault="00DD3A36" w:rsidP="0079732D">
      <w:pPr>
        <w:pStyle w:val="Text"/>
      </w:pPr>
      <w:r w:rsidRPr="00975079">
        <w:t>Both the Gamma-variate and SCR model have been identified separately at the pixel level using a Variational Bayesian (VB) estimator</w:t>
      </w:r>
      <w:r w:rsidR="00BF76A9" w:rsidRPr="00975079">
        <w:t xml:space="preserve">, as proposed in </w:t>
      </w:r>
      <w:r w:rsidR="00BF76A9" w:rsidRPr="00975079">
        <w:fldChar w:fldCharType="begin" w:fldLock="1"/>
      </w:r>
      <w:r w:rsidR="001A6F4F" w:rsidRPr="00975079">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BF76A9" w:rsidRPr="00975079">
        <w:fldChar w:fldCharType="separate"/>
      </w:r>
      <w:r w:rsidR="001A6F4F" w:rsidRPr="00975079">
        <w:rPr>
          <w:noProof/>
        </w:rPr>
        <w:t>[18]</w:t>
      </w:r>
      <w:r w:rsidR="00BF76A9" w:rsidRPr="00975079">
        <w:fldChar w:fldCharType="end"/>
      </w:r>
      <w:r w:rsidRPr="00975079">
        <w:t xml:space="preserve">. </w:t>
      </w:r>
    </w:p>
    <w:p w14:paraId="3C903D6D" w14:textId="1530DF81" w:rsidR="00410D22" w:rsidRPr="00975079" w:rsidRDefault="00DD3A36" w:rsidP="00410D22">
      <w:pPr>
        <w:pStyle w:val="Text"/>
      </w:pPr>
      <w:r w:rsidRPr="00975079">
        <w:t>In the Bayesian framework, one is interested in the posterior distribution of the parameters given the data and the model (</w:t>
      </w:r>
      <m:oMath>
        <m:r>
          <w:rPr>
            <w:rFonts w:ascii="Cambria Math" w:hAnsi="Cambria Math"/>
          </w:rPr>
          <m:t>P</m:t>
        </m:r>
        <m:d>
          <m:dPr>
            <m:ctrlPr>
              <w:rPr>
                <w:rFonts w:ascii="Cambria Math" w:hAnsi="Cambria Math"/>
                <w:b/>
                <w:i/>
              </w:rPr>
            </m:ctrlPr>
          </m:dPr>
          <m:e>
            <m:r>
              <m:rPr>
                <m:sty m:val="bi"/>
              </m:rPr>
              <w:rPr>
                <w:rFonts w:ascii="Cambria Math" w:hAnsi="Cambria Math"/>
              </w:rPr>
              <m:t>Θ</m:t>
            </m:r>
            <m:r>
              <m:rPr>
                <m:sty m:val="bi"/>
              </m:rPr>
              <w:rPr>
                <w:rFonts w:ascii="Cambria Math" w:hAnsi="Cambria Math"/>
                <w:lang w:val="en-GB"/>
              </w:rPr>
              <m:t>|</m:t>
            </m:r>
            <m:r>
              <m:rPr>
                <m:sty m:val="bi"/>
              </m:rPr>
              <w:rPr>
                <w:rFonts w:ascii="Cambria Math" w:hAnsi="Cambria Math"/>
              </w:rPr>
              <m:t>y</m:t>
            </m:r>
            <m:r>
              <m:rPr>
                <m:sty m:val="bi"/>
              </m:rPr>
              <w:rPr>
                <w:rFonts w:ascii="Cambria Math" w:hAnsi="Cambria Math"/>
                <w:lang w:val="en-GB"/>
              </w:rPr>
              <m:t>,</m:t>
            </m:r>
            <m:r>
              <w:rPr>
                <w:rFonts w:ascii="Cambria Math" w:hAnsi="Cambria Math"/>
              </w:rPr>
              <m:t>w</m:t>
            </m:r>
          </m:e>
        </m:d>
      </m:oMath>
      <w:r w:rsidRPr="00975079">
        <w:t xml:space="preserve">) (or </w:t>
      </w:r>
      <m:oMath>
        <m:r>
          <w:rPr>
            <w:rFonts w:ascii="Cambria Math" w:hAnsi="Cambria Math"/>
          </w:rPr>
          <m:t>P</m:t>
        </m:r>
        <m:d>
          <m:dPr>
            <m:ctrlPr>
              <w:rPr>
                <w:rFonts w:ascii="Cambria Math" w:hAnsi="Cambria Math"/>
                <w:b/>
                <w:i/>
              </w:rPr>
            </m:ctrlPr>
          </m:dPr>
          <m:e>
            <m:r>
              <m:rPr>
                <m:sty m:val="bi"/>
              </m:rPr>
              <w:rPr>
                <w:rFonts w:ascii="Cambria Math" w:hAnsi="Cambria Math"/>
              </w:rPr>
              <m:t>Θ</m:t>
            </m:r>
            <m:r>
              <m:rPr>
                <m:sty m:val="bi"/>
              </m:rPr>
              <w:rPr>
                <w:rFonts w:ascii="Cambria Math" w:hAnsi="Cambria Math"/>
                <w:lang w:val="en-GB"/>
              </w:rPr>
              <m:t>|</m:t>
            </m:r>
            <m:r>
              <m:rPr>
                <m:sty m:val="bi"/>
              </m:rPr>
              <w:rPr>
                <w:rFonts w:ascii="Cambria Math" w:hAnsi="Cambria Math"/>
              </w:rPr>
              <m:t>y</m:t>
            </m:r>
          </m:e>
        </m:d>
      </m:oMath>
      <w:r w:rsidR="00410D22" w:rsidRPr="00975079">
        <w:rPr>
          <w:b/>
        </w:rPr>
        <w:t xml:space="preserve"> </w:t>
      </w:r>
      <w:r w:rsidRPr="00975079">
        <w:t xml:space="preserve">written neglecting the dependence on the chosen model </w:t>
      </w:r>
      <m:oMath>
        <m:r>
          <w:rPr>
            <w:rFonts w:ascii="Cambria Math" w:hAnsi="Cambria Math"/>
          </w:rPr>
          <m:t>w</m:t>
        </m:r>
      </m:oMath>
      <w:r w:rsidRPr="00975079">
        <w:t xml:space="preserve">), where </w:t>
      </w:r>
      <m:oMath>
        <m:r>
          <m:rPr>
            <m:sty m:val="bi"/>
          </m:rPr>
          <w:rPr>
            <w:rFonts w:ascii="Cambria Math" w:hAnsi="Cambria Math"/>
          </w:rPr>
          <m:t>Θ</m:t>
        </m:r>
      </m:oMath>
      <w:r w:rsidRPr="00975079">
        <w:t xml:space="preserve"> is the vector of the parameters of a chosen model </w:t>
      </w:r>
      <m:oMath>
        <m:r>
          <w:rPr>
            <w:rFonts w:ascii="Cambria Math" w:hAnsi="Cambria Math"/>
          </w:rPr>
          <m:t>w</m:t>
        </m:r>
      </m:oMath>
      <w:r w:rsidRPr="00975079">
        <w:t xml:space="preserve"> from a set of measured data </w:t>
      </w:r>
      <m:oMath>
        <m:r>
          <m:rPr>
            <m:sty m:val="bi"/>
          </m:rPr>
          <w:rPr>
            <w:rFonts w:ascii="Cambria Math" w:hAnsi="Cambria Math"/>
          </w:rPr>
          <m:t>y</m:t>
        </m:r>
      </m:oMath>
      <w:r w:rsidRPr="00975079">
        <w:t xml:space="preserve">. In real applications, the numerical integrations needed for the direct computation of the posterior are usually intractable. Briefly, VB uses an analytical approximation </w:t>
      </w:r>
      <m:oMath>
        <m:r>
          <w:rPr>
            <w:rFonts w:ascii="Cambria Math" w:hAnsi="Cambria Math"/>
          </w:rPr>
          <m:t>Q</m:t>
        </m:r>
        <m:r>
          <w:rPr>
            <w:rFonts w:ascii="Cambria Math" w:hAnsi="Cambria Math"/>
            <w:lang w:val="en-GB"/>
          </w:rPr>
          <m:t>(</m:t>
        </m:r>
        <m:r>
          <m:rPr>
            <m:sty m:val="bi"/>
          </m:rPr>
          <w:rPr>
            <w:rFonts w:ascii="Cambria Math" w:hAnsi="Cambria Math"/>
          </w:rPr>
          <m:t>Θ</m:t>
        </m:r>
        <m:r>
          <w:rPr>
            <w:rFonts w:ascii="Cambria Math" w:hAnsi="Cambria Math"/>
            <w:lang w:val="en-GB"/>
          </w:rPr>
          <m:t>)</m:t>
        </m:r>
      </m:oMath>
      <w:r w:rsidRPr="00975079">
        <w:t xml:space="preserve"> to describe the true posterior, therefore shifting the problem to the minimization of the distance between the approximation </w:t>
      </w:r>
      <m:oMath>
        <m:r>
          <w:rPr>
            <w:rFonts w:ascii="Cambria Math" w:hAnsi="Cambria Math"/>
          </w:rPr>
          <m:t>Q</m:t>
        </m:r>
        <m:r>
          <w:rPr>
            <w:rFonts w:ascii="Cambria Math" w:hAnsi="Cambria Math"/>
            <w:lang w:val="en-GB"/>
          </w:rPr>
          <m:t>(</m:t>
        </m:r>
        <m:r>
          <m:rPr>
            <m:sty m:val="bi"/>
          </m:rPr>
          <w:rPr>
            <w:rFonts w:ascii="Cambria Math" w:hAnsi="Cambria Math"/>
          </w:rPr>
          <m:t>Θ</m:t>
        </m:r>
        <m:r>
          <w:rPr>
            <w:rFonts w:ascii="Cambria Math" w:hAnsi="Cambria Math"/>
            <w:lang w:val="en-GB"/>
          </w:rPr>
          <m:t>)</m:t>
        </m:r>
      </m:oMath>
      <w:r w:rsidRPr="00975079">
        <w:t xml:space="preserve"> and the actual posterior distribution of the parameters, usually measured via the Kullback-Leibler divergence</w:t>
      </w:r>
      <w:r w:rsidR="001A6F4F" w:rsidRPr="00975079">
        <w:t xml:space="preserve"> </w:t>
      </w:r>
      <w:r w:rsidR="001A6F4F" w:rsidRPr="00975079">
        <w:fldChar w:fldCharType="begin" w:fldLock="1"/>
      </w:r>
      <w:r w:rsidR="00E93668" w:rsidRPr="00975079">
        <w:instrText>ADDIN CSL_CITATION { "citationItems" : [ { "id" : "ITEM-1", "itemData" : { "DOI" : "10.1002/0471200611", "ISBN" : "0471062596", "author" : [ { "dropping-particle" : "", "family" : "Cover", "given" : "Thomas M", "non-dropping-particle" : "", "parse-names" : false, "suffix" : "" }, { "dropping-particle" : "", "family" : "Thomas", "given" : "Joy a", "non-dropping-particle" : "", "parse-names" : false, "suffix" : "" } ], "collection-title" : "Wiley Series in Telecommunications", "id" : "ITEM-1", "issued" : { "date-parts" : [ [ "1991" ] ] }, "publisher" : "John Wiley &amp; Sons, Inc.", "publisher-place" : "New York, USA", "title" : "Elements of Information Theory", "type" : "book" }, "uris" : [ "http://www.mendeley.com/documents/?uuid=717f9029-f594-4348-b89c-77f15b9a5fd9" ] } ], "mendeley" : { "formattedCitation" : "[28]", "plainTextFormattedCitation" : "[28]", "previouslyFormattedCitation" : "[27]" }, "properties" : { "noteIndex" : 0 }, "schema" : "https://github.com/citation-style-language/schema/raw/master/csl-citation.json" }</w:instrText>
      </w:r>
      <w:r w:rsidR="001A6F4F" w:rsidRPr="00975079">
        <w:fldChar w:fldCharType="separate"/>
      </w:r>
      <w:r w:rsidR="00E93668" w:rsidRPr="00975079">
        <w:rPr>
          <w:noProof/>
        </w:rPr>
        <w:t>[28]</w:t>
      </w:r>
      <w:r w:rsidR="001A6F4F" w:rsidRPr="00975079">
        <w:fldChar w:fldCharType="end"/>
      </w:r>
      <w:r w:rsidR="00BF76A9" w:rsidRPr="00975079">
        <w:t xml:space="preserve">, that is equal to </w:t>
      </w:r>
      <w:r w:rsidR="00BF76A9" w:rsidRPr="00975079">
        <w:fldChar w:fldCharType="begin" w:fldLock="1"/>
      </w:r>
      <w:r w:rsidR="00E93668" w:rsidRPr="00975079">
        <w:instrText>ADDIN CSL_CITATION { "citationItems" : [ { "id" : "ITEM-1", "itemData" : { "ISBN" : "9789090257501", "ISSN" : "16000870", "abstract" : "The Bayesian framework for machine learning allows for the incorporation of prior knowledge in a coherent way, avoids overfitting problems, and provides a principled basis for selecting between alternative models. Unfortunately the computations required are usually intractable. This thesis presents a unified variational Bayesian (VB) framework which approximates these computations in models with latent variables using a lower bound on the marginal likelihood. Chapter 1 presents background material on Bayesian inference, graphical models, and propagation algorithms. Chapter 2 forms the theoretical core of the thesis, generalising the expectationmaximisation (EM) algorithm for learning maximum likelihood parameters to the VB EM algorithm which integrates over model parameters. The algorithm is then specialised to the large family of conjugate-exponential (CE) graphical models, and several theorems are presented to pave the road for automated VB derivation procedures in both directed and undirected graphs (Bayesian and Markov networks, respectively). Chapters 3-5 derive and apply the VB EM algorithm to three commonly-used and important models: mixtures of factor analysers, linear dynamical systems, and hidden Markov models. It is shown how model selection tasks such as determining the dimensionality, cardinality, or number of variables are possible using VB approximations. Also explored are methods for combining sampling procedures with variational approximations, to estimate the tightness of VB bounds and to obtain more effective sampling algorithms. Chapter 6 applies VB learning to a long-standing problem of scoring discrete-variable directed acyclic graphs, and compares the performance to annealed importance sampling amongst other methods. Throughout, the VB approximation is compared to other methods including sampling, Cheeseman-Stutz, and asymptotic approximations such as BIC. The thesis concludes with a discussion of evolving directions for model selection including infinite models and alternative approximations to the marginal likelihood.", "author" : [ { "dropping-particle" : "", "family" : "Beal", "given" : "Matthew J", "non-dropping-particle" : "", "parse-names" : false, "suffix" : "" } ], "container-title" : "PhD Thesis", "id" : "ITEM-1", "issue" : "May", "issued" : { "date-parts" : [ [ "2003" ] ] }, "page" : "1-281", "title" : "Variational algorithms for approximate bayesian inference", "type" : "article-journal" }, "uris" : [ "http://www.mendeley.com/documents/?uuid=50461c0c-f216-4cfa-9214-4e322d346418" ] } ], "mendeley" : { "formattedCitation" : "[29]", "plainTextFormattedCitation" : "[29]", "previouslyFormattedCitation" : "[28]" }, "properties" : { "noteIndex" : 0 }, "schema" : "https://github.com/citation-style-language/schema/raw/master/csl-citation.json" }</w:instrText>
      </w:r>
      <w:r w:rsidR="00BF76A9" w:rsidRPr="00975079">
        <w:fldChar w:fldCharType="separate"/>
      </w:r>
      <w:r w:rsidR="00E93668" w:rsidRPr="00975079">
        <w:rPr>
          <w:noProof/>
        </w:rPr>
        <w:t>[29]</w:t>
      </w:r>
      <w:r w:rsidR="00BF76A9" w:rsidRPr="00975079">
        <w:fldChar w:fldCharType="end"/>
      </w:r>
      <w:r w:rsidRPr="00975079">
        <w:t>:</w:t>
      </w:r>
      <w:r w:rsidR="00410D22" w:rsidRPr="00975079">
        <w:t xml:space="preserve"> </w:t>
      </w:r>
    </w:p>
    <w:p w14:paraId="04915D76" w14:textId="77777777" w:rsidR="00410D22" w:rsidRPr="00975079" w:rsidRDefault="00410D22" w:rsidP="00410D22">
      <w:pPr>
        <w:pStyle w:val="Text"/>
      </w:pPr>
    </w:p>
    <w:p w14:paraId="57BB29B2" w14:textId="07FC4A20" w:rsidR="00410D22" w:rsidRPr="00975079" w:rsidRDefault="00410D22" w:rsidP="00410D22">
      <w:pPr>
        <w:pStyle w:val="Equation"/>
      </w:pPr>
      <m:oMath>
        <m:r>
          <m:rPr>
            <m:sty m:val="p"/>
          </m:rPr>
          <w:rPr>
            <w:rFonts w:ascii="Cambria Math" w:hAnsi="Cambria Math"/>
          </w:rPr>
          <m:t>KL</m:t>
        </m:r>
        <m:r>
          <w:rPr>
            <w:rFonts w:ascii="Cambria Math" w:hAnsi="Cambria Math"/>
          </w:rPr>
          <m:t>[Q(</m:t>
        </m:r>
        <m:r>
          <m:rPr>
            <m:sty m:val="bi"/>
          </m:rPr>
          <w:rPr>
            <w:rFonts w:ascii="Cambria Math" w:hAnsi="Cambria Math"/>
          </w:rPr>
          <m:t>Θ</m:t>
        </m:r>
        <m:r>
          <w:rPr>
            <w:rFonts w:ascii="Cambria Math" w:hAnsi="Cambria Math"/>
          </w:rPr>
          <m:t>)|</m:t>
        </m:r>
        <m:d>
          <m:dPr>
            <m:begChr m:val="|"/>
            <m:endChr m:val="]"/>
            <m:ctrlPr>
              <w:rPr>
                <w:rFonts w:ascii="Cambria Math" w:hAnsi="Cambria Math"/>
                <w:i/>
              </w:rPr>
            </m:ctrlPr>
          </m:dPr>
          <m:e>
            <m:r>
              <w:rPr>
                <w:rFonts w:ascii="Cambria Math" w:hAnsi="Cambria Math"/>
              </w:rPr>
              <m:t>P</m:t>
            </m:r>
            <m:d>
              <m:dPr>
                <m:ctrlPr>
                  <w:rPr>
                    <w:rFonts w:ascii="Cambria Math" w:hAnsi="Cambria Math"/>
                    <w:b/>
                    <w:i/>
                  </w:rPr>
                </m:ctrlPr>
              </m:dPr>
              <m:e>
                <m:r>
                  <m:rPr>
                    <m:sty m:val="bi"/>
                  </m:rPr>
                  <w:rPr>
                    <w:rFonts w:ascii="Cambria Math" w:hAnsi="Cambria Math"/>
                  </w:rPr>
                  <m:t>Θ|y</m:t>
                </m:r>
              </m:e>
            </m:d>
            <m:ctrlPr>
              <w:rPr>
                <w:rFonts w:ascii="Cambria Math" w:hAnsi="Cambria Math"/>
                <w:b/>
                <w:i/>
              </w:rPr>
            </m:ctrlPr>
          </m:e>
        </m:d>
        <m:r>
          <m:rPr>
            <m:sty m:val="bi"/>
          </m:rPr>
          <w:rPr>
            <w:rFonts w:ascii="Cambria Math" w:hAnsi="Cambria Math"/>
          </w:rPr>
          <m:t>=</m:t>
        </m:r>
        <m:func>
          <m:funcPr>
            <m:ctrlPr>
              <w:rPr>
                <w:rFonts w:ascii="Cambria Math" w:hAnsi="Cambria Math"/>
              </w:rPr>
            </m:ctrlPr>
          </m:funcPr>
          <m:fName>
            <m:r>
              <m:rPr>
                <m:sty m:val="p"/>
              </m:rPr>
              <w:rPr>
                <w:rFonts w:ascii="Cambria Math" w:hAnsi="Cambria Math"/>
              </w:rPr>
              <m:t>log</m:t>
            </m:r>
          </m:fName>
          <m:e>
            <m:r>
              <w:rPr>
                <w:rFonts w:ascii="Cambria Math" w:hAnsi="Cambria Math"/>
              </w:rPr>
              <m:t>P</m:t>
            </m:r>
            <m:d>
              <m:dPr>
                <m:ctrlPr>
                  <w:rPr>
                    <w:rFonts w:ascii="Cambria Math" w:hAnsi="Cambria Math"/>
                    <w:i/>
                  </w:rPr>
                </m:ctrlPr>
              </m:dPr>
              <m:e>
                <m:r>
                  <m:rPr>
                    <m:sty m:val="bi"/>
                  </m:rPr>
                  <w:rPr>
                    <w:rFonts w:ascii="Cambria Math" w:hAnsi="Cambria Math"/>
                  </w:rPr>
                  <m:t>y</m:t>
                </m:r>
              </m:e>
            </m:d>
          </m:e>
        </m:func>
        <m:r>
          <w:rPr>
            <w:rFonts w:ascii="Cambria Math" w:hAnsi="Cambria Math"/>
          </w:rPr>
          <m:t>-</m:t>
        </m:r>
        <m:r>
          <m:rPr>
            <m:sty m:val="p"/>
          </m:rPr>
          <w:rPr>
            <w:rFonts w:ascii="Cambria Math" w:hAnsi="Cambria Math"/>
          </w:rPr>
          <m:t>F</m:t>
        </m:r>
      </m:oMath>
      <w:r w:rsidRPr="00975079">
        <w:tab/>
        <w:t>(4)</w:t>
      </w:r>
    </w:p>
    <w:p w14:paraId="423B637C" w14:textId="77777777" w:rsidR="00410D22" w:rsidRPr="00975079" w:rsidRDefault="00410D22" w:rsidP="00410D22">
      <w:pPr>
        <w:pStyle w:val="Text"/>
      </w:pPr>
    </w:p>
    <w:p w14:paraId="53C09793" w14:textId="363135F4" w:rsidR="00410D22" w:rsidRPr="00975079" w:rsidRDefault="00DD3A36" w:rsidP="00410D22">
      <w:pPr>
        <w:pStyle w:val="Text"/>
      </w:pPr>
      <w:r w:rsidRPr="00975079">
        <w:t>where F is the Free Energy which is defined as:</w:t>
      </w:r>
      <w:r w:rsidR="00410D22" w:rsidRPr="00975079">
        <w:t xml:space="preserve"> </w:t>
      </w:r>
    </w:p>
    <w:p w14:paraId="1E83B547" w14:textId="77777777" w:rsidR="00410D22" w:rsidRPr="00975079" w:rsidRDefault="00410D22" w:rsidP="00410D22">
      <w:pPr>
        <w:pStyle w:val="Text"/>
      </w:pPr>
    </w:p>
    <w:p w14:paraId="3DCE1439" w14:textId="459C52F1" w:rsidR="00410D22" w:rsidRPr="00975079" w:rsidRDefault="00410D22" w:rsidP="00410D22">
      <w:pPr>
        <w:pStyle w:val="Equation"/>
      </w:pPr>
      <m:oMath>
        <m:r>
          <m:rPr>
            <m:sty m:val="p"/>
          </m:rPr>
          <w:rPr>
            <w:rFonts w:ascii="Cambria Math" w:hAnsi="Cambria Math"/>
          </w:rPr>
          <m:t>F</m:t>
        </m:r>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Q</m:t>
            </m:r>
            <m:d>
              <m:dPr>
                <m:ctrlPr>
                  <w:rPr>
                    <w:rFonts w:ascii="Cambria Math" w:hAnsi="Cambria Math"/>
                    <w:i/>
                  </w:rPr>
                </m:ctrlPr>
              </m:dPr>
              <m:e>
                <m:r>
                  <m:rPr>
                    <m:sty m:val="bi"/>
                  </m:rPr>
                  <w:rPr>
                    <w:rFonts w:ascii="Cambria Math" w:hAnsi="Cambria Math"/>
                  </w:rPr>
                  <m:t>Θ</m:t>
                </m:r>
              </m:e>
            </m:d>
            <m:func>
              <m:funcPr>
                <m:ctrlPr>
                  <w:rPr>
                    <w:rFonts w:ascii="Cambria Math" w:hAnsi="Cambria Math"/>
                    <w:i/>
                  </w:rPr>
                </m:ctrlPr>
              </m:funcPr>
              <m:fName>
                <m:r>
                  <m:rPr>
                    <m:sty m:val="p"/>
                  </m:rPr>
                  <w:rPr>
                    <w:rFonts w:ascii="Cambria Math" w:hAnsi="Cambria Math"/>
                  </w:rPr>
                  <m:t>log</m:t>
                </m:r>
              </m:fName>
              <m:e>
                <m:f>
                  <m:fPr>
                    <m:ctrlPr>
                      <w:rPr>
                        <w:rFonts w:ascii="Cambria Math" w:hAnsi="Cambria Math"/>
                        <w:i/>
                      </w:rPr>
                    </m:ctrlPr>
                  </m:fPr>
                  <m:num>
                    <m:r>
                      <w:rPr>
                        <w:rFonts w:ascii="Cambria Math" w:hAnsi="Cambria Math"/>
                      </w:rPr>
                      <m:t>P</m:t>
                    </m:r>
                    <m:d>
                      <m:dPr>
                        <m:ctrlPr>
                          <w:rPr>
                            <w:rFonts w:ascii="Cambria Math" w:hAnsi="Cambria Math"/>
                            <w:i/>
                          </w:rPr>
                        </m:ctrlPr>
                      </m:dPr>
                      <m:e>
                        <m:r>
                          <m:rPr>
                            <m:sty m:val="bi"/>
                          </m:rPr>
                          <w:rPr>
                            <w:rFonts w:ascii="Cambria Math" w:hAnsi="Cambria Math"/>
                          </w:rPr>
                          <m:t>y|Θ</m:t>
                        </m:r>
                      </m:e>
                    </m:d>
                    <m:r>
                      <w:rPr>
                        <w:rFonts w:ascii="Cambria Math" w:hAnsi="Cambria Math"/>
                      </w:rPr>
                      <m:t>P</m:t>
                    </m:r>
                    <m:d>
                      <m:dPr>
                        <m:ctrlPr>
                          <w:rPr>
                            <w:rFonts w:ascii="Cambria Math" w:hAnsi="Cambria Math"/>
                            <w:i/>
                          </w:rPr>
                        </m:ctrlPr>
                      </m:dPr>
                      <m:e>
                        <m:r>
                          <m:rPr>
                            <m:sty m:val="bi"/>
                          </m:rPr>
                          <w:rPr>
                            <w:rFonts w:ascii="Cambria Math" w:hAnsi="Cambria Math"/>
                          </w:rPr>
                          <m:t>Θ</m:t>
                        </m:r>
                      </m:e>
                    </m:d>
                  </m:num>
                  <m:den>
                    <m:r>
                      <w:rPr>
                        <w:rFonts w:ascii="Cambria Math" w:hAnsi="Cambria Math"/>
                      </w:rPr>
                      <m:t>Q</m:t>
                    </m:r>
                    <m:d>
                      <m:dPr>
                        <m:ctrlPr>
                          <w:rPr>
                            <w:rFonts w:ascii="Cambria Math" w:hAnsi="Cambria Math"/>
                            <w:i/>
                          </w:rPr>
                        </m:ctrlPr>
                      </m:dPr>
                      <m:e>
                        <m:r>
                          <m:rPr>
                            <m:sty m:val="bi"/>
                          </m:rPr>
                          <w:rPr>
                            <w:rFonts w:ascii="Cambria Math" w:hAnsi="Cambria Math"/>
                          </w:rPr>
                          <m:t>Θ</m:t>
                        </m:r>
                      </m:e>
                    </m:d>
                  </m:den>
                </m:f>
              </m:e>
            </m:func>
            <m:r>
              <w:rPr>
                <w:rFonts w:ascii="Cambria Math" w:hAnsi="Cambria Math"/>
              </w:rPr>
              <m:t xml:space="preserve"> </m:t>
            </m:r>
            <m:r>
              <m:rPr>
                <m:sty m:val="p"/>
              </m:rPr>
              <w:rPr>
                <w:rFonts w:ascii="Cambria Math" w:hAnsi="Cambria Math"/>
              </w:rPr>
              <m:t>d</m:t>
            </m:r>
            <m:r>
              <m:rPr>
                <m:sty m:val="bi"/>
              </m:rPr>
              <w:rPr>
                <w:rFonts w:ascii="Cambria Math" w:hAnsi="Cambria Math"/>
              </w:rPr>
              <m:t>Θ</m:t>
            </m:r>
          </m:e>
        </m:nary>
      </m:oMath>
      <w:r w:rsidRPr="00975079">
        <w:tab/>
        <w:t>(5)</w:t>
      </w:r>
    </w:p>
    <w:p w14:paraId="25EAA7B9" w14:textId="77777777" w:rsidR="00410D22" w:rsidRPr="00975079" w:rsidRDefault="00410D22" w:rsidP="00410D22">
      <w:pPr>
        <w:pStyle w:val="Text"/>
      </w:pPr>
    </w:p>
    <w:p w14:paraId="2CE6BAD1" w14:textId="269D86A7" w:rsidR="00DD3A36" w:rsidRPr="00975079" w:rsidRDefault="00DD3A36" w:rsidP="00410D22">
      <w:pPr>
        <w:pStyle w:val="Text"/>
      </w:pPr>
      <w:r w:rsidRPr="00975079">
        <w:t xml:space="preserve">Since </w:t>
      </w:r>
      <m:oMath>
        <m:func>
          <m:funcPr>
            <m:ctrlPr>
              <w:rPr>
                <w:rFonts w:ascii="Cambria Math" w:eastAsiaTheme="minorEastAsia" w:hAnsi="Cambria Math"/>
              </w:rPr>
            </m:ctrlPr>
          </m:funcPr>
          <m:fName>
            <m:r>
              <m:rPr>
                <m:sty m:val="p"/>
              </m:rPr>
              <w:rPr>
                <w:rFonts w:ascii="Cambria Math" w:hAnsi="Cambria Math"/>
                <w:lang w:val="en-GB"/>
              </w:rPr>
              <m:t>log</m:t>
            </m:r>
          </m:fName>
          <m:e>
            <m:r>
              <w:rPr>
                <w:rFonts w:ascii="Cambria Math" w:hAnsi="Cambria Math"/>
              </w:rPr>
              <m:t>P</m:t>
            </m:r>
            <m:d>
              <m:dPr>
                <m:ctrlPr>
                  <w:rPr>
                    <w:rFonts w:ascii="Cambria Math" w:hAnsi="Cambria Math"/>
                    <w:i/>
                  </w:rPr>
                </m:ctrlPr>
              </m:dPr>
              <m:e>
                <m:r>
                  <m:rPr>
                    <m:sty m:val="bi"/>
                  </m:rPr>
                  <w:rPr>
                    <w:rFonts w:ascii="Cambria Math" w:hAnsi="Cambria Math"/>
                  </w:rPr>
                  <m:t>y</m:t>
                </m:r>
              </m:e>
            </m:d>
          </m:e>
        </m:func>
      </m:oMath>
      <w:r w:rsidRPr="00975079">
        <w:t xml:space="preserve"> does not depend on </w:t>
      </w:r>
      <m:oMath>
        <m:r>
          <m:rPr>
            <m:sty m:val="bi"/>
          </m:rPr>
          <w:rPr>
            <w:rFonts w:ascii="Cambria Math" w:hAnsi="Cambria Math"/>
          </w:rPr>
          <m:t>Θ</m:t>
        </m:r>
      </m:oMath>
      <w:r w:rsidRPr="00975079">
        <w:t xml:space="preserve"> and the Kullback–Leibler divergence is always non-negative, </w:t>
      </w:r>
      <w:r w:rsidR="00445B6C" w:rsidRPr="00975079">
        <w:t>the minimization of the K-L divergen</w:t>
      </w:r>
      <w:r w:rsidR="00527CE9" w:rsidRPr="00975079">
        <w:t>c</w:t>
      </w:r>
      <w:r w:rsidR="00445B6C" w:rsidRPr="00975079">
        <w:t>e</w:t>
      </w:r>
      <w:r w:rsidRPr="00975079">
        <w:t xml:space="preserve"> corresponds to maximizing the (negative) variational Free Energy </w:t>
      </w:r>
      <m:oMath>
        <m:r>
          <w:rPr>
            <w:rFonts w:ascii="Cambria Math" w:hAnsi="Cambria Math"/>
          </w:rPr>
          <m:t>F</m:t>
        </m:r>
      </m:oMath>
      <w:r w:rsidRPr="00975079">
        <w:t xml:space="preserve">, that is also the lower bound to the log model evidence. </w:t>
      </w:r>
    </w:p>
    <w:p w14:paraId="14C038E9" w14:textId="1E03E954" w:rsidR="00445B6C" w:rsidRPr="00975079" w:rsidRDefault="00DD3A36" w:rsidP="00445B6C">
      <w:pPr>
        <w:pStyle w:val="Text"/>
      </w:pPr>
      <w:r w:rsidRPr="00975079">
        <w:t xml:space="preserve">In this work we applied a mean field approximation of </w:t>
      </w:r>
      <m:oMath>
        <m:r>
          <w:rPr>
            <w:rFonts w:ascii="Cambria Math" w:hAnsi="Cambria Math"/>
            <w:lang w:val="en-GB"/>
          </w:rPr>
          <m:t>Q</m:t>
        </m:r>
        <m:d>
          <m:dPr>
            <m:ctrlPr>
              <w:rPr>
                <w:rFonts w:ascii="Cambria Math" w:hAnsi="Cambria Math"/>
                <w:i/>
                <w:lang w:val="en-GB"/>
              </w:rPr>
            </m:ctrlPr>
          </m:dPr>
          <m:e>
            <m:r>
              <m:rPr>
                <m:sty m:val="bi"/>
              </m:rPr>
              <w:rPr>
                <w:rFonts w:ascii="Cambria Math" w:hAnsi="Cambria Math"/>
                <w:lang w:val="en-GB"/>
              </w:rPr>
              <m:t>Θ</m:t>
            </m:r>
          </m:e>
        </m:d>
      </m:oMath>
      <w:r w:rsidRPr="00975079">
        <w:t xml:space="preserve">, as previously done in </w:t>
      </w:r>
      <w:r w:rsidR="007414A7" w:rsidRPr="00975079">
        <w:fldChar w:fldCharType="begin" w:fldLock="1"/>
      </w:r>
      <w:r w:rsidR="001A6F4F" w:rsidRPr="00975079">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7414A7" w:rsidRPr="00975079">
        <w:fldChar w:fldCharType="separate"/>
      </w:r>
      <w:r w:rsidR="001A6F4F" w:rsidRPr="00975079">
        <w:rPr>
          <w:noProof/>
        </w:rPr>
        <w:t>[18]</w:t>
      </w:r>
      <w:r w:rsidR="007414A7" w:rsidRPr="00975079">
        <w:fldChar w:fldCharType="end"/>
      </w:r>
      <w:r w:rsidR="00E62E1D" w:rsidRPr="00975079">
        <w:t xml:space="preserve">: it </w:t>
      </w:r>
      <w:r w:rsidRPr="00975079">
        <w:t xml:space="preserve">consists in collecting the vector of parameters </w:t>
      </w:r>
      <m:oMath>
        <m:r>
          <m:rPr>
            <m:sty m:val="bi"/>
          </m:rPr>
          <w:rPr>
            <w:rFonts w:ascii="Cambria Math" w:hAnsi="Cambria Math"/>
            <w:lang w:val="en-GB"/>
          </w:rPr>
          <m:t>Θ</m:t>
        </m:r>
      </m:oMath>
      <w:r w:rsidRPr="00975079">
        <w:t xml:space="preserve"> into two separate groups, one for the model parameters (</w:t>
      </w:r>
      <m:oMath>
        <m:r>
          <m:rPr>
            <m:sty m:val="bi"/>
          </m:rPr>
          <w:rPr>
            <w:rFonts w:ascii="Cambria Math" w:hAnsi="Cambria Math"/>
            <w:lang w:val="en-GB"/>
          </w:rPr>
          <m:t>p</m:t>
        </m:r>
      </m:oMath>
      <w:r w:rsidRPr="00975079">
        <w:t>) and one for the single noise parameter (</w:t>
      </w:r>
      <m:oMath>
        <m:r>
          <w:rPr>
            <w:rFonts w:ascii="Cambria Math" w:hAnsi="Cambria Math"/>
            <w:lang w:val="en-GB"/>
          </w:rPr>
          <m:t>ϕ</m:t>
        </m:r>
      </m:oMath>
      <w:r w:rsidRPr="00975079">
        <w:t>)</w:t>
      </w:r>
      <w:r w:rsidR="00E62E1D" w:rsidRPr="00975079">
        <w:t>.</w:t>
      </w:r>
      <w:r w:rsidRPr="00975079">
        <w:t xml:space="preserve"> </w:t>
      </w:r>
      <w:r w:rsidR="00E62E1D" w:rsidRPr="00975079">
        <w:t>Each parameter has its</w:t>
      </w:r>
      <w:r w:rsidRPr="00975079">
        <w:t xml:space="preserve"> own approximate posterior distribution (</w:t>
      </w:r>
      <m:oMath>
        <m:sSub>
          <m:sSubPr>
            <m:ctrlPr>
              <w:rPr>
                <w:rFonts w:ascii="Cambria Math" w:hAnsi="Cambria Math"/>
                <w:i/>
              </w:rPr>
            </m:ctrlPr>
          </m:sSubPr>
          <m:e>
            <m:r>
              <w:rPr>
                <w:rFonts w:ascii="Cambria Math" w:hAnsi="Cambria Math"/>
              </w:rPr>
              <m:t>Q</m:t>
            </m:r>
          </m:e>
          <m:sub>
            <m:r>
              <w:rPr>
                <w:rFonts w:ascii="Cambria Math" w:hAnsi="Cambria Math"/>
              </w:rPr>
              <m:t>p</m:t>
            </m:r>
          </m:sub>
        </m:sSub>
        <m:d>
          <m:dPr>
            <m:ctrlPr>
              <w:rPr>
                <w:rFonts w:ascii="Cambria Math" w:hAnsi="Cambria Math"/>
                <w:i/>
              </w:rPr>
            </m:ctrlPr>
          </m:dPr>
          <m:e>
            <m:r>
              <m:rPr>
                <m:sty m:val="bi"/>
              </m:rPr>
              <w:rPr>
                <w:rFonts w:ascii="Cambria Math" w:hAnsi="Cambria Math"/>
              </w:rPr>
              <m:t>p</m:t>
            </m:r>
            <m:r>
              <w:rPr>
                <w:rFonts w:ascii="Cambria Math" w:hAnsi="Cambria Math"/>
                <w:lang w:val="en-GB"/>
              </w:rPr>
              <m:t>|</m:t>
            </m:r>
            <m:r>
              <m:rPr>
                <m:sty m:val="bi"/>
              </m:rPr>
              <w:rPr>
                <w:rFonts w:ascii="Cambria Math" w:hAnsi="Cambria Math"/>
              </w:rPr>
              <m:t>y</m:t>
            </m:r>
          </m:e>
        </m:d>
      </m:oMath>
      <w:r w:rsidRPr="00975079">
        <w:t xml:space="preserve"> and </w:t>
      </w:r>
      <m:oMath>
        <m:sSub>
          <m:sSubPr>
            <m:ctrlPr>
              <w:rPr>
                <w:rFonts w:ascii="Cambria Math" w:hAnsi="Cambria Math"/>
                <w:i/>
              </w:rPr>
            </m:ctrlPr>
          </m:sSubPr>
          <m:e>
            <m:r>
              <w:rPr>
                <w:rFonts w:ascii="Cambria Math" w:hAnsi="Cambria Math"/>
              </w:rPr>
              <m:t>Q</m:t>
            </m:r>
          </m:e>
          <m:sub>
            <m:r>
              <w:rPr>
                <w:rFonts w:ascii="Cambria Math" w:hAnsi="Cambria Math"/>
              </w:rPr>
              <m:t>ϕ</m:t>
            </m:r>
          </m:sub>
        </m:sSub>
        <m:d>
          <m:dPr>
            <m:ctrlPr>
              <w:rPr>
                <w:rFonts w:ascii="Cambria Math" w:hAnsi="Cambria Math"/>
                <w:i/>
              </w:rPr>
            </m:ctrlPr>
          </m:dPr>
          <m:e>
            <m:r>
              <w:rPr>
                <w:rFonts w:ascii="Cambria Math" w:hAnsi="Cambria Math"/>
              </w:rPr>
              <m:t>ϕ</m:t>
            </m:r>
            <m:r>
              <w:rPr>
                <w:rFonts w:ascii="Cambria Math" w:hAnsi="Cambria Math"/>
                <w:lang w:val="en-GB"/>
              </w:rPr>
              <m:t>|</m:t>
            </m:r>
            <m:r>
              <m:rPr>
                <m:sty m:val="bi"/>
              </m:rPr>
              <w:rPr>
                <w:rFonts w:ascii="Cambria Math" w:hAnsi="Cambria Math"/>
              </w:rPr>
              <m:t>y</m:t>
            </m:r>
          </m:e>
        </m:d>
      </m:oMath>
      <w:r w:rsidRPr="00975079">
        <w:t xml:space="preserve">), assumed independent (i.e. </w:t>
      </w:r>
      <m:oMath>
        <m:r>
          <w:rPr>
            <w:rFonts w:ascii="Cambria Math" w:hAnsi="Cambria Math"/>
          </w:rPr>
          <m:t>Q</m:t>
        </m:r>
        <m:d>
          <m:dPr>
            <m:ctrlPr>
              <w:rPr>
                <w:rFonts w:ascii="Cambria Math" w:hAnsi="Cambria Math"/>
                <w:i/>
              </w:rPr>
            </m:ctrlPr>
          </m:dPr>
          <m:e>
            <m:r>
              <m:rPr>
                <m:sty m:val="bi"/>
              </m:rPr>
              <w:rPr>
                <w:rFonts w:ascii="Cambria Math" w:hAnsi="Cambria Math"/>
              </w:rPr>
              <m:t>Θ</m:t>
            </m:r>
          </m:e>
        </m:d>
        <m:r>
          <w:rPr>
            <w:rFonts w:ascii="Cambria Math" w:hAnsi="Cambria Math"/>
            <w:lang w:val="en-GB"/>
          </w:rPr>
          <m:t>=</m:t>
        </m:r>
        <m:sSub>
          <m:sSubPr>
            <m:ctrlPr>
              <w:rPr>
                <w:rFonts w:ascii="Cambria Math" w:hAnsi="Cambria Math"/>
                <w:i/>
              </w:rPr>
            </m:ctrlPr>
          </m:sSubPr>
          <m:e>
            <m:r>
              <w:rPr>
                <w:rFonts w:ascii="Cambria Math" w:hAnsi="Cambria Math"/>
              </w:rPr>
              <m:t>Q</m:t>
            </m:r>
          </m:e>
          <m:sub>
            <m:r>
              <w:rPr>
                <w:rFonts w:ascii="Cambria Math" w:hAnsi="Cambria Math"/>
              </w:rPr>
              <m:t>p</m:t>
            </m:r>
          </m:sub>
        </m:sSub>
        <m:d>
          <m:dPr>
            <m:ctrlPr>
              <w:rPr>
                <w:rFonts w:ascii="Cambria Math" w:hAnsi="Cambria Math"/>
                <w:i/>
              </w:rPr>
            </m:ctrlPr>
          </m:dPr>
          <m:e>
            <m:r>
              <m:rPr>
                <m:sty m:val="bi"/>
              </m:rPr>
              <w:rPr>
                <w:rFonts w:ascii="Cambria Math" w:hAnsi="Cambria Math"/>
              </w:rPr>
              <m:t>p</m:t>
            </m:r>
            <m:r>
              <w:rPr>
                <w:rFonts w:ascii="Cambria Math" w:hAnsi="Cambria Math"/>
                <w:lang w:val="en-GB"/>
              </w:rPr>
              <m:t>|</m:t>
            </m:r>
            <m:r>
              <m:rPr>
                <m:sty m:val="bi"/>
              </m:rPr>
              <w:rPr>
                <w:rFonts w:ascii="Cambria Math" w:hAnsi="Cambria Math"/>
              </w:rPr>
              <m:t>y</m:t>
            </m:r>
          </m:e>
        </m:d>
        <m:r>
          <m:rPr>
            <m:sty m:val="bi"/>
          </m:rPr>
          <w:rPr>
            <w:rFonts w:ascii="Cambria Math" w:eastAsiaTheme="minorEastAsia" w:hAnsi="Cambria Math"/>
            <w:lang w:val="en-GB"/>
          </w:rPr>
          <m:t>∙</m:t>
        </m:r>
        <m:sSub>
          <m:sSubPr>
            <m:ctrlPr>
              <w:rPr>
                <w:rFonts w:ascii="Cambria Math" w:hAnsi="Cambria Math"/>
                <w:i/>
              </w:rPr>
            </m:ctrlPr>
          </m:sSubPr>
          <m:e>
            <m:r>
              <w:rPr>
                <w:rFonts w:ascii="Cambria Math" w:hAnsi="Cambria Math"/>
              </w:rPr>
              <m:t>Q</m:t>
            </m:r>
          </m:e>
          <m:sub>
            <m:r>
              <w:rPr>
                <w:rFonts w:ascii="Cambria Math" w:hAnsi="Cambria Math"/>
              </w:rPr>
              <m:t>ϕ</m:t>
            </m:r>
          </m:sub>
        </m:sSub>
        <m:d>
          <m:dPr>
            <m:ctrlPr>
              <w:rPr>
                <w:rFonts w:ascii="Cambria Math" w:hAnsi="Cambria Math"/>
                <w:i/>
              </w:rPr>
            </m:ctrlPr>
          </m:dPr>
          <m:e>
            <m:r>
              <w:rPr>
                <w:rFonts w:ascii="Cambria Math" w:hAnsi="Cambria Math"/>
              </w:rPr>
              <m:t>ϕ</m:t>
            </m:r>
            <m:r>
              <w:rPr>
                <w:rFonts w:ascii="Cambria Math" w:hAnsi="Cambria Math"/>
                <w:lang w:val="en-GB"/>
              </w:rPr>
              <m:t>|</m:t>
            </m:r>
            <m:r>
              <m:rPr>
                <m:sty m:val="bi"/>
              </m:rPr>
              <w:rPr>
                <w:rFonts w:ascii="Cambria Math" w:hAnsi="Cambria Math"/>
              </w:rPr>
              <m:t>y</m:t>
            </m:r>
          </m:e>
        </m:d>
      </m:oMath>
      <w:r w:rsidRPr="00975079">
        <w:t>)</w:t>
      </w:r>
      <w:r w:rsidR="00445B6C" w:rsidRPr="00975079">
        <w:t>, with</w:t>
      </w:r>
      <w:r w:rsidRPr="00975079">
        <w:t xml:space="preserve"> </w:t>
      </w:r>
      <m:oMath>
        <m:sSup>
          <m:sSupPr>
            <m:ctrlPr>
              <w:rPr>
                <w:rFonts w:ascii="Cambria Math" w:hAnsi="Cambria Math"/>
                <w:i/>
              </w:rPr>
            </m:ctrlPr>
          </m:sSupPr>
          <m:e>
            <m:r>
              <w:rPr>
                <w:rFonts w:ascii="Cambria Math" w:hAnsi="Cambria Math"/>
              </w:rPr>
              <m:t>ϕ</m:t>
            </m:r>
          </m:e>
          <m:sup>
            <m:r>
              <w:rPr>
                <w:rFonts w:ascii="Cambria Math" w:hAnsi="Cambria Math"/>
                <w:lang w:val="en-GB"/>
              </w:rPr>
              <m:t>-1</m:t>
            </m:r>
          </m:sup>
        </m:sSup>
      </m:oMath>
      <w:r w:rsidR="00445B6C" w:rsidRPr="00975079">
        <w:t xml:space="preserve"> the unknown variance of the measurement error. W</w:t>
      </w:r>
      <w:r w:rsidRPr="00975079">
        <w:t xml:space="preserve">e defined the prior distributions as a multivariate Gaussian distribution for the vector of model parameters </w:t>
      </w:r>
      <m:oMath>
        <m:r>
          <m:rPr>
            <m:sty m:val="bi"/>
          </m:rPr>
          <w:rPr>
            <w:rFonts w:ascii="Cambria Math" w:hAnsi="Cambria Math"/>
          </w:rPr>
          <m:t>p</m:t>
        </m:r>
      </m:oMath>
      <w:r w:rsidRPr="00975079">
        <w:t xml:space="preserve"> and a </w:t>
      </w:r>
      <w:r w:rsidR="00350E78" w:rsidRPr="00975079">
        <w:t>Gamma</w:t>
      </w:r>
      <w:r w:rsidRPr="00975079">
        <w:t xml:space="preserve"> distribution for the variance scaling factor </w:t>
      </w:r>
      <m:oMath>
        <m:r>
          <w:rPr>
            <w:rFonts w:ascii="Cambria Math" w:hAnsi="Cambria Math"/>
          </w:rPr>
          <m:t>ϕ</m:t>
        </m:r>
      </m:oMath>
      <w:r w:rsidRPr="00975079">
        <w:t xml:space="preserve">. </w:t>
      </w:r>
    </w:p>
    <w:p w14:paraId="2D53F05A" w14:textId="77777777" w:rsidR="00445B6C" w:rsidRPr="00975079" w:rsidRDefault="00445B6C" w:rsidP="00445B6C">
      <w:pPr>
        <w:pStyle w:val="Text"/>
        <w:ind w:firstLine="0"/>
      </w:pPr>
    </w:p>
    <w:p w14:paraId="7A68D4A1" w14:textId="48940486" w:rsidR="00445B6C" w:rsidRPr="00975079" w:rsidRDefault="00445B6C" w:rsidP="00445B6C">
      <w:pPr>
        <w:pStyle w:val="Equation"/>
      </w:pPr>
      <m:oMath>
        <m:r>
          <w:rPr>
            <w:rFonts w:ascii="Cambria Math" w:hAnsi="Cambria Math" w:cs="Arial"/>
          </w:rPr>
          <m:t>P</m:t>
        </m:r>
        <m:r>
          <m:rPr>
            <m:sty m:val="bi"/>
          </m:rPr>
          <w:rPr>
            <w:rFonts w:ascii="Cambria Math" w:hAnsi="Cambria Math" w:cs="Arial"/>
          </w:rPr>
          <m:t>(p)</m:t>
        </m:r>
        <m:r>
          <w:rPr>
            <w:rFonts w:ascii="Cambria Math" w:hAnsi="Cambria Math" w:cs="Arial"/>
          </w:rPr>
          <m:t>~</m:t>
        </m:r>
        <m:r>
          <m:rPr>
            <m:sty m:val="p"/>
          </m:rPr>
          <w:rPr>
            <w:rFonts w:ascii="Cambria Math" w:hAnsi="Cambria Math" w:cs="Arial"/>
          </w:rPr>
          <m:t>MVN</m:t>
        </m:r>
        <m:r>
          <w:rPr>
            <w:rFonts w:ascii="Cambria Math" w:hAnsi="Cambria Math" w:cs="Arial"/>
          </w:rPr>
          <m:t>(</m:t>
        </m:r>
        <m:r>
          <m:rPr>
            <m:sty m:val="bi"/>
          </m:rPr>
          <w:rPr>
            <w:rFonts w:ascii="Cambria Math" w:hAnsi="Cambria Math" w:cs="Arial"/>
          </w:rPr>
          <m:t>p</m:t>
        </m:r>
        <m:r>
          <w:rPr>
            <w:rFonts w:ascii="Cambria Math" w:hAnsi="Cambria Math" w:cs="Arial"/>
          </w:rPr>
          <m:t>,</m:t>
        </m:r>
        <m:sSub>
          <m:sSubPr>
            <m:ctrlPr>
              <w:rPr>
                <w:rFonts w:ascii="Cambria Math" w:hAnsi="Cambria Math" w:cs="Arial"/>
                <w:b/>
                <w:i/>
              </w:rPr>
            </m:ctrlPr>
          </m:sSubPr>
          <m:e>
            <m:r>
              <m:rPr>
                <m:sty m:val="bi"/>
              </m:rPr>
              <w:rPr>
                <w:rFonts w:ascii="Cambria Math" w:hAnsi="Cambria Math" w:cs="Arial"/>
              </w:rPr>
              <m:t>m</m:t>
            </m:r>
          </m:e>
          <m:sub>
            <m:r>
              <m:rPr>
                <m:sty m:val="bi"/>
              </m:rPr>
              <w:rPr>
                <w:rFonts w:ascii="Cambria Math" w:hAnsi="Cambria Math" w:cs="Arial"/>
              </w:rPr>
              <m:t>0</m:t>
            </m:r>
          </m:sub>
        </m:sSub>
        <m:r>
          <m:rPr>
            <m:sty m:val="bi"/>
          </m:rPr>
          <w:rPr>
            <w:rFonts w:ascii="Cambria Math" w:hAnsi="Cambria Math" w:cs="Arial"/>
          </w:rPr>
          <m:t>,</m:t>
        </m:r>
        <m:sSubSup>
          <m:sSubSupPr>
            <m:ctrlPr>
              <w:rPr>
                <w:rFonts w:ascii="Cambria Math" w:hAnsi="Cambria Math" w:cs="Arial"/>
                <w:b/>
                <w:i/>
              </w:rPr>
            </m:ctrlPr>
          </m:sSubSupPr>
          <m:e>
            <m:r>
              <m:rPr>
                <m:sty m:val="b"/>
              </m:rPr>
              <w:rPr>
                <w:rFonts w:ascii="Cambria Math" w:hAnsi="Cambria Math" w:cs="Arial"/>
              </w:rPr>
              <m:t>Λ</m:t>
            </m:r>
          </m:e>
          <m:sub>
            <m:r>
              <m:rPr>
                <m:sty m:val="bi"/>
              </m:rPr>
              <w:rPr>
                <w:rFonts w:ascii="Cambria Math" w:hAnsi="Cambria Math" w:cs="Arial"/>
              </w:rPr>
              <m:t>0</m:t>
            </m:r>
          </m:sub>
          <m:sup>
            <m:r>
              <m:rPr>
                <m:sty m:val="bi"/>
              </m:rPr>
              <w:rPr>
                <w:rFonts w:ascii="Cambria Math" w:hAnsi="Cambria Math" w:cs="Arial"/>
              </w:rPr>
              <m:t>-1</m:t>
            </m:r>
          </m:sup>
        </m:sSubSup>
        <m:r>
          <w:rPr>
            <w:rFonts w:ascii="Cambria Math" w:hAnsi="Cambria Math" w:cs="Arial"/>
          </w:rPr>
          <m:t>)</m:t>
        </m:r>
      </m:oMath>
      <w:r w:rsidRPr="00975079">
        <w:tab/>
        <w:t>(5)</w:t>
      </w:r>
    </w:p>
    <w:p w14:paraId="65AC5CC2" w14:textId="58BF740D" w:rsidR="00445B6C" w:rsidRPr="00975079" w:rsidRDefault="00445B6C" w:rsidP="00445B6C">
      <w:pPr>
        <w:pStyle w:val="Equation"/>
      </w:pPr>
      <m:oMath>
        <m:r>
          <w:rPr>
            <w:rFonts w:ascii="Cambria Math" w:hAnsi="Cambria Math" w:cs="Arial"/>
          </w:rPr>
          <m:t>P</m:t>
        </m:r>
        <m:r>
          <m:rPr>
            <m:sty m:val="bi"/>
          </m:rPr>
          <w:rPr>
            <w:rFonts w:ascii="Cambria Math" w:hAnsi="Cambria Math" w:cs="Arial"/>
          </w:rPr>
          <m:t>(</m:t>
        </m:r>
        <m:r>
          <w:rPr>
            <w:rFonts w:ascii="Cambria Math" w:hAnsi="Cambria Math" w:cs="Arial"/>
          </w:rPr>
          <m:t>ϕ</m:t>
        </m:r>
        <m:r>
          <m:rPr>
            <m:sty m:val="bi"/>
          </m:rPr>
          <w:rPr>
            <w:rFonts w:ascii="Cambria Math" w:hAnsi="Cambria Math" w:cs="Arial"/>
          </w:rPr>
          <m:t>)</m:t>
        </m:r>
        <m:r>
          <w:rPr>
            <w:rFonts w:ascii="Cambria Math" w:hAnsi="Cambria Math" w:cs="Arial"/>
          </w:rPr>
          <m:t>~</m:t>
        </m:r>
        <m:r>
          <m:rPr>
            <m:sty m:val="p"/>
          </m:rPr>
          <w:rPr>
            <w:rFonts w:ascii="Cambria Math" w:hAnsi="Cambria Math" w:cs="Arial"/>
          </w:rPr>
          <m:t>Ga</m:t>
        </m:r>
        <m:r>
          <w:rPr>
            <w:rFonts w:ascii="Cambria Math" w:hAnsi="Cambria Math" w:cs="Arial"/>
          </w:rPr>
          <m:t>(ϕ,</m:t>
        </m:r>
        <m:sSub>
          <m:sSubPr>
            <m:ctrlPr>
              <w:rPr>
                <w:rFonts w:ascii="Cambria Math" w:hAnsi="Cambria Math" w:cs="Arial"/>
                <w:i/>
              </w:rPr>
            </m:ctrlPr>
          </m:sSubPr>
          <m:e>
            <m:r>
              <w:rPr>
                <w:rFonts w:ascii="Cambria Math" w:hAnsi="Cambria Math" w:cs="Arial"/>
              </w:rPr>
              <m:t>s</m:t>
            </m:r>
          </m:e>
          <m:sub>
            <m:r>
              <w:rPr>
                <w:rFonts w:ascii="Cambria Math" w:hAnsi="Cambria Math" w:cs="Arial"/>
              </w:rPr>
              <m:t>0</m:t>
            </m:r>
          </m:sub>
        </m:sSub>
        <m:r>
          <w:rPr>
            <w:rFonts w:ascii="Cambria Math" w:hAnsi="Cambria Math" w:cs="Arial"/>
          </w:rPr>
          <m:t>,</m:t>
        </m:r>
        <m:sSub>
          <m:sSubPr>
            <m:ctrlPr>
              <w:rPr>
                <w:rFonts w:ascii="Cambria Math" w:hAnsi="Cambria Math" w:cs="Arial"/>
              </w:rPr>
            </m:ctrlPr>
          </m:sSubPr>
          <m:e>
            <m:r>
              <m:rPr>
                <m:sty m:val="p"/>
              </m:rPr>
              <w:rPr>
                <w:rFonts w:ascii="Cambria Math" w:hAnsi="Cambria Math" w:cs="Arial"/>
              </w:rPr>
              <m:t>c</m:t>
            </m:r>
          </m:e>
          <m:sub>
            <m:r>
              <w:rPr>
                <w:rFonts w:ascii="Cambria Math" w:hAnsi="Cambria Math" w:cs="Arial"/>
              </w:rPr>
              <m:t>0</m:t>
            </m:r>
          </m:sub>
        </m:sSub>
        <m:r>
          <w:rPr>
            <w:rFonts w:ascii="Cambria Math" w:hAnsi="Cambria Math" w:cs="Arial"/>
          </w:rPr>
          <m:t>)</m:t>
        </m:r>
      </m:oMath>
      <w:r w:rsidRPr="00975079">
        <w:tab/>
        <w:t>(6)</w:t>
      </w:r>
    </w:p>
    <w:p w14:paraId="4468D2F2" w14:textId="28AFB3AE" w:rsidR="00445B6C" w:rsidRPr="00975079" w:rsidRDefault="00445B6C" w:rsidP="0079732D">
      <w:pPr>
        <w:pStyle w:val="Text"/>
      </w:pPr>
    </w:p>
    <w:p w14:paraId="473DBE9E" w14:textId="197C1777" w:rsidR="00445B6C" w:rsidRPr="00975079" w:rsidRDefault="00445B6C" w:rsidP="00445B6C">
      <w:pPr>
        <w:pStyle w:val="Text"/>
      </w:pPr>
      <w:r w:rsidRPr="00975079">
        <w:t xml:space="preserve">Furthermore, we used prior conjugated with the likelihood, i.e. with the same parametric form of the posterior. </w:t>
      </w:r>
    </w:p>
    <w:p w14:paraId="489CFEE8" w14:textId="77777777" w:rsidR="00445B6C" w:rsidRPr="00975079" w:rsidRDefault="00445B6C" w:rsidP="00445B6C">
      <w:pPr>
        <w:pStyle w:val="Text"/>
      </w:pPr>
    </w:p>
    <w:p w14:paraId="26C67BA2" w14:textId="0C661294" w:rsidR="00445B6C" w:rsidRPr="00975079" w:rsidRDefault="00A44CC0" w:rsidP="00445B6C">
      <w:pPr>
        <w:pStyle w:val="Equation"/>
      </w:pPr>
      <m:oMath>
        <m:sSub>
          <m:sSubPr>
            <m:ctrlPr>
              <w:rPr>
                <w:rFonts w:ascii="Cambria Math" w:eastAsiaTheme="minorHAnsi" w:hAnsi="Cambria Math" w:cs="Arial"/>
                <w:i/>
              </w:rPr>
            </m:ctrlPr>
          </m:sSubPr>
          <m:e>
            <m:r>
              <w:rPr>
                <w:rFonts w:ascii="Cambria Math" w:hAnsi="Cambria Math" w:cs="Arial"/>
              </w:rPr>
              <m:t>Q</m:t>
            </m:r>
          </m:e>
          <m:sub>
            <m:r>
              <w:rPr>
                <w:rFonts w:ascii="Cambria Math" w:hAnsi="Cambria Math" w:cs="Arial"/>
              </w:rPr>
              <m:t>p</m:t>
            </m:r>
          </m:sub>
        </m:sSub>
        <m:d>
          <m:dPr>
            <m:ctrlPr>
              <w:rPr>
                <w:rFonts w:ascii="Cambria Math" w:hAnsi="Cambria Math" w:cs="Arial"/>
                <w:i/>
              </w:rPr>
            </m:ctrlPr>
          </m:dPr>
          <m:e>
            <m:r>
              <m:rPr>
                <m:sty m:val="bi"/>
              </m:rPr>
              <w:rPr>
                <w:rFonts w:ascii="Cambria Math" w:hAnsi="Cambria Math" w:cs="Arial"/>
              </w:rPr>
              <m:t>p</m:t>
            </m:r>
            <m:r>
              <w:rPr>
                <w:rFonts w:ascii="Cambria Math" w:hAnsi="Cambria Math" w:cs="Arial"/>
              </w:rPr>
              <m:t>|</m:t>
            </m:r>
            <m:r>
              <m:rPr>
                <m:sty m:val="bi"/>
              </m:rPr>
              <w:rPr>
                <w:rFonts w:ascii="Cambria Math" w:hAnsi="Cambria Math" w:cs="Arial"/>
              </w:rPr>
              <m:t>y</m:t>
            </m:r>
          </m:e>
        </m:d>
        <m:r>
          <w:rPr>
            <w:rFonts w:ascii="Cambria Math" w:hAnsi="Cambria Math" w:cs="Arial"/>
          </w:rPr>
          <m:t>~</m:t>
        </m:r>
        <m:r>
          <m:rPr>
            <m:sty m:val="p"/>
          </m:rPr>
          <w:rPr>
            <w:rFonts w:ascii="Cambria Math" w:hAnsi="Cambria Math" w:cs="Arial"/>
          </w:rPr>
          <m:t>MVN</m:t>
        </m:r>
        <m:r>
          <w:rPr>
            <w:rFonts w:ascii="Cambria Math" w:hAnsi="Cambria Math" w:cs="Arial"/>
          </w:rPr>
          <m:t>(</m:t>
        </m:r>
        <m:r>
          <m:rPr>
            <m:sty m:val="bi"/>
          </m:rPr>
          <w:rPr>
            <w:rFonts w:ascii="Cambria Math" w:hAnsi="Cambria Math" w:cs="Arial"/>
          </w:rPr>
          <m:t>p</m:t>
        </m:r>
        <m:r>
          <w:rPr>
            <w:rFonts w:ascii="Cambria Math" w:hAnsi="Cambria Math" w:cs="Arial"/>
          </w:rPr>
          <m:t>,</m:t>
        </m:r>
        <m:r>
          <m:rPr>
            <m:sty m:val="bi"/>
          </m:rPr>
          <w:rPr>
            <w:rFonts w:ascii="Cambria Math" w:hAnsi="Cambria Math" w:cs="Arial"/>
          </w:rPr>
          <m:t>m,</m:t>
        </m:r>
        <m:sSup>
          <m:sSupPr>
            <m:ctrlPr>
              <w:rPr>
                <w:rFonts w:ascii="Cambria Math" w:hAnsi="Cambria Math" w:cs="Arial"/>
                <w:b/>
                <w:i/>
              </w:rPr>
            </m:ctrlPr>
          </m:sSupPr>
          <m:e>
            <m:r>
              <m:rPr>
                <m:sty m:val="b"/>
              </m:rPr>
              <w:rPr>
                <w:rFonts w:ascii="Cambria Math" w:hAnsi="Cambria Math" w:cs="Arial"/>
              </w:rPr>
              <m:t>Λ</m:t>
            </m:r>
          </m:e>
          <m:sup>
            <m:r>
              <m:rPr>
                <m:sty m:val="bi"/>
              </m:rPr>
              <w:rPr>
                <w:rFonts w:ascii="Cambria Math" w:hAnsi="Cambria Math" w:cs="Arial"/>
              </w:rPr>
              <m:t>-1</m:t>
            </m:r>
          </m:sup>
        </m:sSup>
        <m:r>
          <w:rPr>
            <w:rFonts w:ascii="Cambria Math" w:hAnsi="Cambria Math" w:cs="Arial"/>
          </w:rPr>
          <m:t>)</m:t>
        </m:r>
      </m:oMath>
      <w:r w:rsidR="00445B6C" w:rsidRPr="00975079">
        <w:tab/>
        <w:t>(7)</w:t>
      </w:r>
    </w:p>
    <w:p w14:paraId="2781AD3A" w14:textId="4E22C7D4" w:rsidR="00445B6C" w:rsidRPr="00975079" w:rsidRDefault="00A44CC0" w:rsidP="00445B6C">
      <w:pPr>
        <w:pStyle w:val="Equation"/>
      </w:pPr>
      <m:oMath>
        <m:sSub>
          <m:sSubPr>
            <m:ctrlPr>
              <w:rPr>
                <w:rFonts w:ascii="Cambria Math" w:eastAsiaTheme="minorHAnsi" w:hAnsi="Cambria Math" w:cs="Arial"/>
                <w:i/>
              </w:rPr>
            </m:ctrlPr>
          </m:sSubPr>
          <m:e>
            <m:r>
              <w:rPr>
                <w:rFonts w:ascii="Cambria Math" w:hAnsi="Cambria Math" w:cs="Arial"/>
              </w:rPr>
              <m:t>Q</m:t>
            </m:r>
          </m:e>
          <m:sub>
            <m:r>
              <w:rPr>
                <w:rFonts w:ascii="Cambria Math" w:hAnsi="Cambria Math" w:cs="Arial"/>
              </w:rPr>
              <m:t>ϕ</m:t>
            </m:r>
          </m:sub>
        </m:sSub>
        <m:d>
          <m:dPr>
            <m:ctrlPr>
              <w:rPr>
                <w:rFonts w:ascii="Cambria Math" w:hAnsi="Cambria Math" w:cs="Arial"/>
                <w:i/>
              </w:rPr>
            </m:ctrlPr>
          </m:dPr>
          <m:e>
            <m:r>
              <w:rPr>
                <w:rFonts w:ascii="Cambria Math" w:hAnsi="Cambria Math" w:cs="Arial"/>
              </w:rPr>
              <m:t>ϕ|</m:t>
            </m:r>
            <m:r>
              <m:rPr>
                <m:sty m:val="bi"/>
              </m:rPr>
              <w:rPr>
                <w:rFonts w:ascii="Cambria Math" w:hAnsi="Cambria Math" w:cs="Arial"/>
              </w:rPr>
              <m:t>y</m:t>
            </m:r>
          </m:e>
        </m:d>
        <m:r>
          <w:rPr>
            <w:rFonts w:ascii="Cambria Math" w:hAnsi="Cambria Math" w:cs="Arial"/>
          </w:rPr>
          <m:t>~</m:t>
        </m:r>
        <m:r>
          <m:rPr>
            <m:sty m:val="p"/>
          </m:rPr>
          <w:rPr>
            <w:rFonts w:ascii="Cambria Math" w:hAnsi="Cambria Math" w:cs="Arial"/>
          </w:rPr>
          <m:t>Ga</m:t>
        </m:r>
        <m:r>
          <w:rPr>
            <w:rFonts w:ascii="Cambria Math" w:hAnsi="Cambria Math" w:cs="Arial"/>
          </w:rPr>
          <m:t>(ϕ,s,</m:t>
        </m:r>
        <m:r>
          <m:rPr>
            <m:sty m:val="p"/>
          </m:rPr>
          <w:rPr>
            <w:rFonts w:ascii="Cambria Math" w:hAnsi="Cambria Math" w:cs="Arial"/>
          </w:rPr>
          <m:t>c</m:t>
        </m:r>
        <m:r>
          <w:rPr>
            <w:rFonts w:ascii="Cambria Math" w:hAnsi="Cambria Math" w:cs="Arial"/>
          </w:rPr>
          <m:t>)</m:t>
        </m:r>
      </m:oMath>
      <w:r w:rsidR="00445B6C" w:rsidRPr="00975079">
        <w:tab/>
        <w:t>(8)</w:t>
      </w:r>
    </w:p>
    <w:p w14:paraId="52BFD4B8" w14:textId="2BDFC218" w:rsidR="00445B6C" w:rsidRPr="00975079" w:rsidRDefault="00445B6C" w:rsidP="0079732D">
      <w:pPr>
        <w:pStyle w:val="Text"/>
      </w:pPr>
    </w:p>
    <w:p w14:paraId="4225CBD0" w14:textId="14F4973E" w:rsidR="00445B6C" w:rsidRPr="00975079" w:rsidRDefault="00445B6C" w:rsidP="0079732D">
      <w:pPr>
        <w:pStyle w:val="Text"/>
        <w:rPr>
          <w:szCs w:val="22"/>
        </w:rPr>
      </w:pPr>
      <w:r w:rsidRPr="00975079">
        <w:rPr>
          <w:szCs w:val="22"/>
        </w:rPr>
        <w:t xml:space="preserve">where </w:t>
      </w:r>
      <m:oMath>
        <m:r>
          <m:rPr>
            <m:sty m:val="bi"/>
          </m:rPr>
          <w:rPr>
            <w:rFonts w:ascii="Cambria Math" w:hAnsi="Cambria Math" w:cs="Arial"/>
            <w:szCs w:val="22"/>
          </w:rPr>
          <m:t>m</m:t>
        </m:r>
      </m:oMath>
      <w:r w:rsidRPr="00975079">
        <w:rPr>
          <w:szCs w:val="22"/>
        </w:rPr>
        <w:t xml:space="preserve"> and </w:t>
      </w:r>
      <m:oMath>
        <m:sSup>
          <m:sSupPr>
            <m:ctrlPr>
              <w:rPr>
                <w:rFonts w:ascii="Cambria Math" w:hAnsi="Cambria Math" w:cs="Arial"/>
                <w:b/>
                <w:szCs w:val="22"/>
              </w:rPr>
            </m:ctrlPr>
          </m:sSupPr>
          <m:e>
            <m:r>
              <m:rPr>
                <m:sty m:val="b"/>
              </m:rPr>
              <w:rPr>
                <w:rFonts w:ascii="Cambria Math" w:hAnsi="Cambria Math" w:cs="Arial"/>
                <w:szCs w:val="22"/>
              </w:rPr>
              <m:t>Λ</m:t>
            </m:r>
          </m:e>
          <m:sup>
            <m:r>
              <m:rPr>
                <m:sty m:val="bi"/>
              </m:rPr>
              <w:rPr>
                <w:rFonts w:ascii="Cambria Math" w:hAnsi="Cambria Math" w:cs="Arial"/>
                <w:szCs w:val="22"/>
              </w:rPr>
              <m:t>-1</m:t>
            </m:r>
          </m:sup>
        </m:sSup>
      </m:oMath>
      <w:r w:rsidRPr="00975079">
        <w:rPr>
          <w:szCs w:val="22"/>
        </w:rPr>
        <w:t xml:space="preserve"> are the mean vector and the covariance </w:t>
      </w:r>
      <w:r w:rsidR="00545A51" w:rsidRPr="00975079">
        <w:rPr>
          <w:noProof/>
          <w:lang w:val="it-IT" w:eastAsia="it-IT"/>
        </w:rPr>
        <w:lastRenderedPageBreak/>
        <mc:AlternateContent>
          <mc:Choice Requires="wps">
            <w:drawing>
              <wp:anchor distT="0" distB="0" distL="114300" distR="114300" simplePos="0" relativeHeight="251676672" behindDoc="0" locked="0" layoutInCell="0" allowOverlap="1" wp14:anchorId="1A7AC0EE" wp14:editId="35ED0BB6">
                <wp:simplePos x="0" y="0"/>
                <wp:positionH relativeFrom="margin">
                  <wp:align>right</wp:align>
                </wp:positionH>
                <wp:positionV relativeFrom="margin">
                  <wp:align>top</wp:align>
                </wp:positionV>
                <wp:extent cx="3194050" cy="1676400"/>
                <wp:effectExtent l="0" t="0" r="635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16764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F9AC6A" w14:textId="77777777" w:rsidR="00545A51" w:rsidRDefault="00545A51" w:rsidP="0082128A">
                            <w:pPr>
                              <w:pStyle w:val="TableTitle"/>
                            </w:pPr>
                            <w:r>
                              <w:t>TABLE I</w:t>
                            </w:r>
                          </w:p>
                          <w:p w14:paraId="46582DB5" w14:textId="1DA7C685" w:rsidR="00545A51" w:rsidRDefault="00545A51" w:rsidP="0082128A">
                            <w:pPr>
                              <w:pStyle w:val="TableTitle"/>
                            </w:pPr>
                            <w:r>
                              <w:t>Bayes factor interpretation table</w:t>
                            </w:r>
                          </w:p>
                          <w:tbl>
                            <w:tblPr>
                              <w:tblW w:w="4820" w:type="dxa"/>
                              <w:tblCellMar>
                                <w:left w:w="70" w:type="dxa"/>
                                <w:right w:w="70" w:type="dxa"/>
                              </w:tblCellMar>
                              <w:tblLook w:val="04A0" w:firstRow="1" w:lastRow="0" w:firstColumn="1" w:lastColumn="0" w:noHBand="0" w:noVBand="1"/>
                            </w:tblPr>
                            <w:tblGrid>
                              <w:gridCol w:w="709"/>
                              <w:gridCol w:w="992"/>
                              <w:gridCol w:w="3119"/>
                            </w:tblGrid>
                            <w:tr w:rsidR="00545A51" w:rsidRPr="00221A06" w14:paraId="57239A2D" w14:textId="77777777" w:rsidTr="0082128A">
                              <w:trPr>
                                <w:trHeight w:val="300"/>
                              </w:trPr>
                              <w:tc>
                                <w:tcPr>
                                  <w:tcW w:w="709" w:type="dxa"/>
                                  <w:tcBorders>
                                    <w:top w:val="double" w:sz="4" w:space="0" w:color="auto"/>
                                    <w:left w:val="nil"/>
                                    <w:bottom w:val="nil"/>
                                    <w:right w:val="nil"/>
                                  </w:tcBorders>
                                  <w:shd w:val="clear" w:color="auto" w:fill="auto"/>
                                  <w:noWrap/>
                                  <w:vAlign w:val="center"/>
                                  <w:hideMark/>
                                </w:tcPr>
                                <w:p w14:paraId="6AF2608B" w14:textId="29C790B7" w:rsidR="00545A51" w:rsidRPr="005E69DF" w:rsidRDefault="00545A51" w:rsidP="00221A06">
                                  <w:pPr>
                                    <w:jc w:val="center"/>
                                    <w:rPr>
                                      <w:b/>
                                      <w:color w:val="000000"/>
                                      <w:sz w:val="16"/>
                                      <w:szCs w:val="16"/>
                                      <w:lang w:val="en-GB" w:eastAsia="it-IT"/>
                                    </w:rPr>
                                  </w:pPr>
                                  <w:r w:rsidRPr="005E69DF">
                                    <w:rPr>
                                      <w:b/>
                                      <w:color w:val="000000"/>
                                      <w:sz w:val="16"/>
                                      <w:szCs w:val="16"/>
                                      <w:lang w:val="en-GB" w:eastAsia="it-IT"/>
                                    </w:rPr>
                                    <w:t>2 ln K</w:t>
                                  </w:r>
                                </w:p>
                              </w:tc>
                              <w:tc>
                                <w:tcPr>
                                  <w:tcW w:w="992" w:type="dxa"/>
                                  <w:tcBorders>
                                    <w:top w:val="double" w:sz="4" w:space="0" w:color="auto"/>
                                    <w:left w:val="nil"/>
                                    <w:bottom w:val="nil"/>
                                    <w:right w:val="nil"/>
                                  </w:tcBorders>
                                  <w:shd w:val="clear" w:color="auto" w:fill="auto"/>
                                  <w:noWrap/>
                                  <w:vAlign w:val="center"/>
                                  <w:hideMark/>
                                </w:tcPr>
                                <w:p w14:paraId="6F6EA7F5" w14:textId="04C888DB" w:rsidR="00545A51" w:rsidRPr="005E69DF" w:rsidRDefault="00545A51" w:rsidP="00221A06">
                                  <w:pPr>
                                    <w:jc w:val="center"/>
                                    <w:rPr>
                                      <w:b/>
                                      <w:color w:val="000000"/>
                                      <w:sz w:val="16"/>
                                      <w:szCs w:val="16"/>
                                      <w:lang w:val="en-GB" w:eastAsia="it-IT"/>
                                    </w:rPr>
                                  </w:pPr>
                                  <w:r w:rsidRPr="005E69DF">
                                    <w:rPr>
                                      <w:b/>
                                      <w:color w:val="000000"/>
                                      <w:sz w:val="16"/>
                                      <w:szCs w:val="16"/>
                                      <w:lang w:val="en-GB" w:eastAsia="it-IT"/>
                                    </w:rPr>
                                    <w:t>K</w:t>
                                  </w:r>
                                </w:p>
                              </w:tc>
                              <w:tc>
                                <w:tcPr>
                                  <w:tcW w:w="3119" w:type="dxa"/>
                                  <w:tcBorders>
                                    <w:top w:val="double" w:sz="4" w:space="0" w:color="auto"/>
                                    <w:left w:val="nil"/>
                                    <w:bottom w:val="nil"/>
                                    <w:right w:val="nil"/>
                                  </w:tcBorders>
                                  <w:shd w:val="clear" w:color="auto" w:fill="auto"/>
                                  <w:noWrap/>
                                  <w:vAlign w:val="center"/>
                                  <w:hideMark/>
                                </w:tcPr>
                                <w:p w14:paraId="032E5EC3" w14:textId="570B9861" w:rsidR="00545A51" w:rsidRPr="005E69DF" w:rsidRDefault="00545A51" w:rsidP="0082128A">
                                  <w:pPr>
                                    <w:jc w:val="center"/>
                                    <w:rPr>
                                      <w:b/>
                                      <w:color w:val="000000"/>
                                      <w:sz w:val="16"/>
                                      <w:szCs w:val="16"/>
                                      <w:lang w:val="en-GB" w:eastAsia="it-IT"/>
                                    </w:rPr>
                                  </w:pPr>
                                  <w:r>
                                    <w:rPr>
                                      <w:b/>
                                      <w:color w:val="000000"/>
                                      <w:sz w:val="16"/>
                                      <w:szCs w:val="16"/>
                                      <w:lang w:val="en-GB" w:eastAsia="it-IT"/>
                                    </w:rPr>
                                    <w:t>S</w:t>
                                  </w:r>
                                  <w:r w:rsidRPr="005E69DF">
                                    <w:rPr>
                                      <w:b/>
                                      <w:color w:val="000000"/>
                                      <w:sz w:val="16"/>
                                      <w:szCs w:val="16"/>
                                      <w:lang w:val="en-GB" w:eastAsia="it-IT"/>
                                    </w:rPr>
                                    <w:t>trength of evidence</w:t>
                                  </w:r>
                                </w:p>
                              </w:tc>
                            </w:tr>
                            <w:tr w:rsidR="00545A51" w:rsidRPr="00221A06" w14:paraId="0674FCD0" w14:textId="77777777" w:rsidTr="0082128A">
                              <w:trPr>
                                <w:trHeight w:val="300"/>
                              </w:trPr>
                              <w:tc>
                                <w:tcPr>
                                  <w:tcW w:w="709" w:type="dxa"/>
                                  <w:tcBorders>
                                    <w:top w:val="nil"/>
                                    <w:left w:val="nil"/>
                                    <w:bottom w:val="nil"/>
                                    <w:right w:val="nil"/>
                                  </w:tcBorders>
                                  <w:shd w:val="clear" w:color="auto" w:fill="auto"/>
                                  <w:noWrap/>
                                  <w:vAlign w:val="center"/>
                                  <w:hideMark/>
                                </w:tcPr>
                                <w:p w14:paraId="5D80DE41" w14:textId="23908707" w:rsidR="00545A51" w:rsidRPr="00221A06" w:rsidRDefault="00545A51" w:rsidP="00221A06">
                                  <w:pPr>
                                    <w:jc w:val="center"/>
                                    <w:rPr>
                                      <w:color w:val="000000"/>
                                      <w:sz w:val="16"/>
                                      <w:szCs w:val="16"/>
                                      <w:lang w:val="en-GB" w:eastAsia="it-IT"/>
                                    </w:rPr>
                                  </w:pPr>
                                  <w:r>
                                    <w:rPr>
                                      <w:color w:val="000000"/>
                                      <w:sz w:val="16"/>
                                      <w:szCs w:val="16"/>
                                      <w:lang w:val="en-GB" w:eastAsia="it-IT"/>
                                    </w:rPr>
                                    <w:t>0 to 2</w:t>
                                  </w:r>
                                </w:p>
                              </w:tc>
                              <w:tc>
                                <w:tcPr>
                                  <w:tcW w:w="992" w:type="dxa"/>
                                  <w:tcBorders>
                                    <w:top w:val="nil"/>
                                    <w:left w:val="nil"/>
                                    <w:bottom w:val="nil"/>
                                    <w:right w:val="nil"/>
                                  </w:tcBorders>
                                  <w:shd w:val="clear" w:color="auto" w:fill="auto"/>
                                  <w:noWrap/>
                                  <w:vAlign w:val="center"/>
                                  <w:hideMark/>
                                </w:tcPr>
                                <w:p w14:paraId="33DB57FA" w14:textId="2C3CA951" w:rsidR="00545A51" w:rsidRPr="00221A06" w:rsidRDefault="00545A51" w:rsidP="00221A06">
                                  <w:pPr>
                                    <w:jc w:val="center"/>
                                    <w:rPr>
                                      <w:color w:val="000000"/>
                                      <w:sz w:val="16"/>
                                      <w:szCs w:val="16"/>
                                      <w:lang w:val="en-GB" w:eastAsia="it-IT"/>
                                    </w:rPr>
                                  </w:pPr>
                                  <w:r>
                                    <w:rPr>
                                      <w:color w:val="000000"/>
                                      <w:sz w:val="16"/>
                                      <w:szCs w:val="16"/>
                                      <w:lang w:val="en-GB" w:eastAsia="it-IT"/>
                                    </w:rPr>
                                    <w:t>1 to 3</w:t>
                                  </w:r>
                                </w:p>
                              </w:tc>
                              <w:tc>
                                <w:tcPr>
                                  <w:tcW w:w="3119" w:type="dxa"/>
                                  <w:tcBorders>
                                    <w:top w:val="nil"/>
                                    <w:left w:val="nil"/>
                                    <w:bottom w:val="nil"/>
                                    <w:right w:val="nil"/>
                                  </w:tcBorders>
                                  <w:shd w:val="clear" w:color="auto" w:fill="auto"/>
                                  <w:noWrap/>
                                  <w:vAlign w:val="center"/>
                                  <w:hideMark/>
                                </w:tcPr>
                                <w:p w14:paraId="00CAEF09" w14:textId="713307D5" w:rsidR="00545A51" w:rsidRPr="00221A06" w:rsidRDefault="00545A51" w:rsidP="0082128A">
                                  <w:pPr>
                                    <w:jc w:val="center"/>
                                    <w:rPr>
                                      <w:color w:val="000000"/>
                                      <w:sz w:val="16"/>
                                      <w:szCs w:val="16"/>
                                      <w:lang w:val="en-GB" w:eastAsia="it-IT"/>
                                    </w:rPr>
                                  </w:pPr>
                                  <w:r w:rsidRPr="0082128A">
                                    <w:rPr>
                                      <w:color w:val="000000"/>
                                      <w:sz w:val="16"/>
                                      <w:szCs w:val="16"/>
                                      <w:lang w:val="en-GB" w:eastAsia="it-IT"/>
                                    </w:rPr>
                                    <w:t>not worth more than a bare mention</w:t>
                                  </w:r>
                                </w:p>
                              </w:tc>
                            </w:tr>
                            <w:tr w:rsidR="00545A51" w:rsidRPr="00221A06" w14:paraId="2CBDD9CE" w14:textId="77777777" w:rsidTr="0082128A">
                              <w:trPr>
                                <w:trHeight w:val="300"/>
                              </w:trPr>
                              <w:tc>
                                <w:tcPr>
                                  <w:tcW w:w="709" w:type="dxa"/>
                                  <w:tcBorders>
                                    <w:top w:val="nil"/>
                                    <w:left w:val="nil"/>
                                    <w:bottom w:val="nil"/>
                                    <w:right w:val="nil"/>
                                  </w:tcBorders>
                                  <w:shd w:val="clear" w:color="auto" w:fill="auto"/>
                                  <w:noWrap/>
                                  <w:vAlign w:val="center"/>
                                  <w:hideMark/>
                                </w:tcPr>
                                <w:p w14:paraId="5871F3DF" w14:textId="5223E77A" w:rsidR="00545A51" w:rsidRPr="00221A06" w:rsidRDefault="00545A51" w:rsidP="00221A06">
                                  <w:pPr>
                                    <w:jc w:val="center"/>
                                    <w:rPr>
                                      <w:color w:val="000000"/>
                                      <w:sz w:val="16"/>
                                      <w:szCs w:val="16"/>
                                      <w:lang w:val="en-GB" w:eastAsia="it-IT"/>
                                    </w:rPr>
                                  </w:pPr>
                                  <w:r>
                                    <w:rPr>
                                      <w:color w:val="000000"/>
                                      <w:sz w:val="16"/>
                                      <w:szCs w:val="16"/>
                                      <w:lang w:val="en-GB" w:eastAsia="it-IT"/>
                                    </w:rPr>
                                    <w:t>2 to 6</w:t>
                                  </w:r>
                                </w:p>
                              </w:tc>
                              <w:tc>
                                <w:tcPr>
                                  <w:tcW w:w="992" w:type="dxa"/>
                                  <w:tcBorders>
                                    <w:top w:val="nil"/>
                                    <w:left w:val="nil"/>
                                    <w:bottom w:val="nil"/>
                                    <w:right w:val="nil"/>
                                  </w:tcBorders>
                                  <w:shd w:val="clear" w:color="auto" w:fill="auto"/>
                                  <w:noWrap/>
                                  <w:vAlign w:val="center"/>
                                  <w:hideMark/>
                                </w:tcPr>
                                <w:p w14:paraId="26A59059" w14:textId="2E7C63D9" w:rsidR="00545A51" w:rsidRPr="00221A06" w:rsidRDefault="00545A51" w:rsidP="00221A06">
                                  <w:pPr>
                                    <w:jc w:val="center"/>
                                    <w:rPr>
                                      <w:color w:val="000000"/>
                                      <w:sz w:val="16"/>
                                      <w:szCs w:val="16"/>
                                      <w:lang w:val="en-GB" w:eastAsia="it-IT"/>
                                    </w:rPr>
                                  </w:pPr>
                                  <w:r>
                                    <w:rPr>
                                      <w:color w:val="000000"/>
                                      <w:sz w:val="16"/>
                                      <w:szCs w:val="16"/>
                                      <w:lang w:val="en-GB" w:eastAsia="it-IT"/>
                                    </w:rPr>
                                    <w:t>3 to 20</w:t>
                                  </w:r>
                                </w:p>
                              </w:tc>
                              <w:tc>
                                <w:tcPr>
                                  <w:tcW w:w="3119" w:type="dxa"/>
                                  <w:tcBorders>
                                    <w:top w:val="nil"/>
                                    <w:left w:val="nil"/>
                                    <w:bottom w:val="nil"/>
                                    <w:right w:val="nil"/>
                                  </w:tcBorders>
                                  <w:shd w:val="clear" w:color="auto" w:fill="auto"/>
                                  <w:noWrap/>
                                  <w:vAlign w:val="center"/>
                                  <w:hideMark/>
                                </w:tcPr>
                                <w:p w14:paraId="389F741C" w14:textId="754BD663" w:rsidR="00545A51" w:rsidRPr="00221A06" w:rsidRDefault="00545A51" w:rsidP="0082128A">
                                  <w:pPr>
                                    <w:jc w:val="center"/>
                                    <w:rPr>
                                      <w:color w:val="000000"/>
                                      <w:sz w:val="16"/>
                                      <w:szCs w:val="16"/>
                                      <w:lang w:val="en-GB" w:eastAsia="it-IT"/>
                                    </w:rPr>
                                  </w:pPr>
                                  <w:r>
                                    <w:rPr>
                                      <w:color w:val="000000"/>
                                      <w:sz w:val="16"/>
                                      <w:szCs w:val="16"/>
                                      <w:lang w:val="en-GB" w:eastAsia="it-IT"/>
                                    </w:rPr>
                                    <w:t>positive</w:t>
                                  </w:r>
                                </w:p>
                              </w:tc>
                            </w:tr>
                            <w:tr w:rsidR="00545A51" w:rsidRPr="00221A06" w14:paraId="73555005" w14:textId="77777777" w:rsidTr="0082128A">
                              <w:trPr>
                                <w:trHeight w:val="300"/>
                              </w:trPr>
                              <w:tc>
                                <w:tcPr>
                                  <w:tcW w:w="709" w:type="dxa"/>
                                  <w:tcBorders>
                                    <w:top w:val="nil"/>
                                    <w:left w:val="nil"/>
                                    <w:bottom w:val="nil"/>
                                    <w:right w:val="nil"/>
                                  </w:tcBorders>
                                  <w:shd w:val="clear" w:color="auto" w:fill="auto"/>
                                  <w:noWrap/>
                                  <w:vAlign w:val="center"/>
                                  <w:hideMark/>
                                </w:tcPr>
                                <w:p w14:paraId="0F6DBB6A" w14:textId="71CE742E" w:rsidR="00545A51" w:rsidRPr="00221A06" w:rsidRDefault="00545A51" w:rsidP="00221A06">
                                  <w:pPr>
                                    <w:jc w:val="center"/>
                                    <w:rPr>
                                      <w:color w:val="000000"/>
                                      <w:sz w:val="16"/>
                                      <w:szCs w:val="16"/>
                                      <w:lang w:eastAsia="it-IT"/>
                                    </w:rPr>
                                  </w:pPr>
                                  <w:r>
                                    <w:rPr>
                                      <w:color w:val="000000"/>
                                      <w:sz w:val="16"/>
                                      <w:szCs w:val="16"/>
                                      <w:lang w:eastAsia="it-IT"/>
                                    </w:rPr>
                                    <w:t>6 to 10</w:t>
                                  </w:r>
                                </w:p>
                              </w:tc>
                              <w:tc>
                                <w:tcPr>
                                  <w:tcW w:w="992" w:type="dxa"/>
                                  <w:tcBorders>
                                    <w:top w:val="nil"/>
                                    <w:left w:val="nil"/>
                                    <w:bottom w:val="nil"/>
                                    <w:right w:val="nil"/>
                                  </w:tcBorders>
                                  <w:shd w:val="clear" w:color="auto" w:fill="auto"/>
                                  <w:noWrap/>
                                  <w:vAlign w:val="center"/>
                                  <w:hideMark/>
                                </w:tcPr>
                                <w:p w14:paraId="7FBB7F10" w14:textId="1103D33F" w:rsidR="00545A51" w:rsidRPr="00221A06" w:rsidRDefault="00545A51" w:rsidP="00221A06">
                                  <w:pPr>
                                    <w:jc w:val="center"/>
                                    <w:rPr>
                                      <w:color w:val="000000"/>
                                      <w:sz w:val="16"/>
                                      <w:szCs w:val="16"/>
                                      <w:lang w:eastAsia="it-IT"/>
                                    </w:rPr>
                                  </w:pPr>
                                  <w:r>
                                    <w:rPr>
                                      <w:color w:val="000000"/>
                                      <w:sz w:val="16"/>
                                      <w:szCs w:val="16"/>
                                      <w:lang w:eastAsia="it-IT"/>
                                    </w:rPr>
                                    <w:t>20 to 150</w:t>
                                  </w:r>
                                </w:p>
                              </w:tc>
                              <w:tc>
                                <w:tcPr>
                                  <w:tcW w:w="3119" w:type="dxa"/>
                                  <w:tcBorders>
                                    <w:top w:val="nil"/>
                                    <w:left w:val="nil"/>
                                    <w:bottom w:val="nil"/>
                                    <w:right w:val="nil"/>
                                  </w:tcBorders>
                                  <w:shd w:val="clear" w:color="auto" w:fill="auto"/>
                                  <w:noWrap/>
                                  <w:vAlign w:val="center"/>
                                  <w:hideMark/>
                                </w:tcPr>
                                <w:p w14:paraId="5706736F" w14:textId="54B1CEAC" w:rsidR="00545A51" w:rsidRPr="00221A06" w:rsidRDefault="00545A51" w:rsidP="0082128A">
                                  <w:pPr>
                                    <w:jc w:val="center"/>
                                    <w:rPr>
                                      <w:color w:val="000000"/>
                                      <w:sz w:val="16"/>
                                      <w:szCs w:val="16"/>
                                      <w:lang w:eastAsia="it-IT"/>
                                    </w:rPr>
                                  </w:pPr>
                                  <w:r>
                                    <w:rPr>
                                      <w:color w:val="000000"/>
                                      <w:sz w:val="16"/>
                                      <w:szCs w:val="16"/>
                                      <w:lang w:eastAsia="it-IT"/>
                                    </w:rPr>
                                    <w:t>strong</w:t>
                                  </w:r>
                                </w:p>
                              </w:tc>
                            </w:tr>
                            <w:tr w:rsidR="00545A51" w:rsidRPr="00221A06" w14:paraId="12958974" w14:textId="77777777" w:rsidTr="0082128A">
                              <w:trPr>
                                <w:trHeight w:val="300"/>
                              </w:trPr>
                              <w:tc>
                                <w:tcPr>
                                  <w:tcW w:w="709" w:type="dxa"/>
                                  <w:tcBorders>
                                    <w:top w:val="nil"/>
                                    <w:left w:val="nil"/>
                                    <w:bottom w:val="double" w:sz="4" w:space="0" w:color="auto"/>
                                    <w:right w:val="nil"/>
                                  </w:tcBorders>
                                  <w:shd w:val="clear" w:color="auto" w:fill="auto"/>
                                  <w:noWrap/>
                                  <w:vAlign w:val="center"/>
                                  <w:hideMark/>
                                </w:tcPr>
                                <w:p w14:paraId="2DB936D5" w14:textId="19022B8D" w:rsidR="00545A51" w:rsidRPr="00221A06" w:rsidRDefault="00545A51" w:rsidP="00221A06">
                                  <w:pPr>
                                    <w:jc w:val="center"/>
                                    <w:rPr>
                                      <w:color w:val="000000"/>
                                      <w:sz w:val="16"/>
                                      <w:szCs w:val="16"/>
                                      <w:lang w:eastAsia="it-IT"/>
                                    </w:rPr>
                                  </w:pPr>
                                  <w:r>
                                    <w:rPr>
                                      <w:color w:val="000000"/>
                                      <w:sz w:val="16"/>
                                      <w:szCs w:val="16"/>
                                      <w:lang w:eastAsia="it-IT"/>
                                    </w:rPr>
                                    <w:t>&gt;10</w:t>
                                  </w:r>
                                </w:p>
                              </w:tc>
                              <w:tc>
                                <w:tcPr>
                                  <w:tcW w:w="992" w:type="dxa"/>
                                  <w:tcBorders>
                                    <w:top w:val="nil"/>
                                    <w:left w:val="nil"/>
                                    <w:bottom w:val="double" w:sz="4" w:space="0" w:color="auto"/>
                                    <w:right w:val="nil"/>
                                  </w:tcBorders>
                                  <w:shd w:val="clear" w:color="auto" w:fill="auto"/>
                                  <w:noWrap/>
                                  <w:vAlign w:val="center"/>
                                  <w:hideMark/>
                                </w:tcPr>
                                <w:p w14:paraId="35794C4A" w14:textId="3DB909C7" w:rsidR="00545A51" w:rsidRPr="00221A06" w:rsidRDefault="00545A51" w:rsidP="00221A06">
                                  <w:pPr>
                                    <w:jc w:val="center"/>
                                    <w:rPr>
                                      <w:color w:val="000000"/>
                                      <w:sz w:val="16"/>
                                      <w:szCs w:val="16"/>
                                      <w:lang w:eastAsia="it-IT"/>
                                    </w:rPr>
                                  </w:pPr>
                                  <w:r>
                                    <w:rPr>
                                      <w:color w:val="000000"/>
                                      <w:sz w:val="16"/>
                                      <w:szCs w:val="16"/>
                                      <w:lang w:eastAsia="it-IT"/>
                                    </w:rPr>
                                    <w:t>&gt;150</w:t>
                                  </w:r>
                                </w:p>
                              </w:tc>
                              <w:tc>
                                <w:tcPr>
                                  <w:tcW w:w="3119" w:type="dxa"/>
                                  <w:tcBorders>
                                    <w:top w:val="nil"/>
                                    <w:left w:val="nil"/>
                                    <w:bottom w:val="double" w:sz="4" w:space="0" w:color="auto"/>
                                    <w:right w:val="nil"/>
                                  </w:tcBorders>
                                  <w:shd w:val="clear" w:color="auto" w:fill="auto"/>
                                  <w:noWrap/>
                                  <w:vAlign w:val="center"/>
                                  <w:hideMark/>
                                </w:tcPr>
                                <w:p w14:paraId="09709498" w14:textId="1794A8A3" w:rsidR="00545A51" w:rsidRPr="00221A06" w:rsidRDefault="00545A51" w:rsidP="0082128A">
                                  <w:pPr>
                                    <w:jc w:val="center"/>
                                    <w:rPr>
                                      <w:color w:val="000000"/>
                                      <w:sz w:val="16"/>
                                      <w:szCs w:val="16"/>
                                      <w:lang w:eastAsia="it-IT"/>
                                    </w:rPr>
                                  </w:pPr>
                                  <w:r>
                                    <w:rPr>
                                      <w:color w:val="000000"/>
                                      <w:sz w:val="16"/>
                                      <w:szCs w:val="16"/>
                                      <w:lang w:eastAsia="it-IT"/>
                                    </w:rPr>
                                    <w:t>very strong</w:t>
                                  </w:r>
                                </w:p>
                              </w:tc>
                            </w:tr>
                          </w:tbl>
                          <w:p w14:paraId="0DC6E689" w14:textId="77777777" w:rsidR="00545A51" w:rsidRDefault="00545A51" w:rsidP="0082128A">
                            <w:pPr>
                              <w:pStyle w:val="Testonotaapidipagina"/>
                            </w:pPr>
                          </w:p>
                          <w:p w14:paraId="2286BC82" w14:textId="57E3E4DA" w:rsidR="00545A51" w:rsidRPr="00B11FAE" w:rsidRDefault="00545A51" w:rsidP="00632644">
                            <w:pPr>
                              <w:pStyle w:val="Testonotaapidipagina"/>
                            </w:pPr>
                            <w:r>
                              <w:t xml:space="preserve">Strength of evidence for the model selection for different values of Bayes Factor (K) </w:t>
                            </w:r>
                            <w:r>
                              <w:fldChar w:fldCharType="begin" w:fldLock="1"/>
                            </w:r>
                            <w:r>
                              <w:instrText>ADDIN CSL_CITATION { "citationItems" : [ { "id" : "ITEM-1", "itemData" : { "DOI" : "10.1080/01621459.1995.10476572", "ISSN" : "0162-1459", "author" : [ { "dropping-particle" : "", "family" : "Kass", "given" : "Robert E.", "non-dropping-particle" : "", "parse-names" : false, "suffix" : "" }, { "dropping-particle" : "", "family" : "Raftery", "given" : "Adrian E.", "non-dropping-particle" : "", "parse-names" : false, "suffix" : "" } ], "container-title" : "Journal of the American Statistical Association", "id" : "ITEM-1", "issue" : "430", "issued" : { "date-parts" : [ [ "1995", "6" ] ] }, "page" : "773-795", "title" : "Bayes Factors", "type" : "article-journal", "volume" : "90" }, "uris" : [ "http://www.mendeley.com/documents/?uuid=a822dda0-e6a6-4b73-8a15-afd1a7c0cc96" ] } ], "mendeley" : { "formattedCitation" : "[35]", "plainTextFormattedCitation" : "[35]", "previouslyFormattedCitation" : "[34]" }, "properties" : { "noteIndex" : 0 }, "schema" : "https://github.com/citation-style-language/schema/raw/master/csl-citation.json" }</w:instrText>
                            </w:r>
                            <w:r>
                              <w:fldChar w:fldCharType="separate"/>
                            </w:r>
                            <w:r w:rsidRPr="00E93668">
                              <w:rPr>
                                <w:noProof/>
                              </w:rPr>
                              <w:t>[35]</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7AC0EE" id="_x0000_t202" coordsize="21600,21600" o:spt="202" path="m,l,21600r21600,l21600,xe">
                <v:stroke joinstyle="miter"/>
                <v:path gradientshapeok="t" o:connecttype="rect"/>
              </v:shapetype>
              <v:shape id="Text Box 2" o:spid="_x0000_s1026" type="#_x0000_t202" style="position:absolute;left:0;text-align:left;margin-left:200.3pt;margin-top:0;width:251.5pt;height:132pt;z-index:2516766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" o:allowincell="f" stroked="f">
                <v:textbox inset="0,0,0,0">
                  <w:txbxContent>
                    <w:p w14:paraId="35F9AC6A" w14:textId="77777777" w:rsidR="00545A51" w:rsidRDefault="00545A51" w:rsidP="0082128A">
                      <w:pPr>
                        <w:pStyle w:val="TableTitle"/>
                      </w:pPr>
                      <w:r>
                        <w:t>TABLE I</w:t>
                      </w:r>
                    </w:p>
                    <w:p w14:paraId="46582DB5" w14:textId="1DA7C685" w:rsidR="00545A51" w:rsidRDefault="00545A51" w:rsidP="0082128A">
                      <w:pPr>
                        <w:pStyle w:val="TableTitle"/>
                      </w:pPr>
                      <w:r>
                        <w:t>Bayes factor interpretation table</w:t>
                      </w:r>
                    </w:p>
                    <w:tbl>
                      <w:tblPr>
                        <w:tblW w:w="4820" w:type="dxa"/>
                        <w:tblCellMar>
                          <w:left w:w="70" w:type="dxa"/>
                          <w:right w:w="70" w:type="dxa"/>
                        </w:tblCellMar>
                        <w:tblLook w:val="04A0" w:firstRow="1" w:lastRow="0" w:firstColumn="1" w:lastColumn="0" w:noHBand="0" w:noVBand="1"/>
                      </w:tblPr>
                      <w:tblGrid>
                        <w:gridCol w:w="709"/>
                        <w:gridCol w:w="992"/>
                        <w:gridCol w:w="3119"/>
                      </w:tblGrid>
                      <w:tr w:rsidR="00545A51" w:rsidRPr="00221A06" w14:paraId="57239A2D" w14:textId="77777777" w:rsidTr="0082128A">
                        <w:trPr>
                          <w:trHeight w:val="300"/>
                        </w:trPr>
                        <w:tc>
                          <w:tcPr>
                            <w:tcW w:w="709" w:type="dxa"/>
                            <w:tcBorders>
                              <w:top w:val="double" w:sz="4" w:space="0" w:color="auto"/>
                              <w:left w:val="nil"/>
                              <w:bottom w:val="nil"/>
                              <w:right w:val="nil"/>
                            </w:tcBorders>
                            <w:shd w:val="clear" w:color="auto" w:fill="auto"/>
                            <w:noWrap/>
                            <w:vAlign w:val="center"/>
                            <w:hideMark/>
                          </w:tcPr>
                          <w:p w14:paraId="6AF2608B" w14:textId="29C790B7" w:rsidR="00545A51" w:rsidRPr="005E69DF" w:rsidRDefault="00545A51" w:rsidP="00221A06">
                            <w:pPr>
                              <w:jc w:val="center"/>
                              <w:rPr>
                                <w:b/>
                                <w:color w:val="000000"/>
                                <w:sz w:val="16"/>
                                <w:szCs w:val="16"/>
                                <w:lang w:val="en-GB" w:eastAsia="it-IT"/>
                              </w:rPr>
                            </w:pPr>
                            <w:r w:rsidRPr="005E69DF">
                              <w:rPr>
                                <w:b/>
                                <w:color w:val="000000"/>
                                <w:sz w:val="16"/>
                                <w:szCs w:val="16"/>
                                <w:lang w:val="en-GB" w:eastAsia="it-IT"/>
                              </w:rPr>
                              <w:t>2 ln K</w:t>
                            </w:r>
                          </w:p>
                        </w:tc>
                        <w:tc>
                          <w:tcPr>
                            <w:tcW w:w="992" w:type="dxa"/>
                            <w:tcBorders>
                              <w:top w:val="double" w:sz="4" w:space="0" w:color="auto"/>
                              <w:left w:val="nil"/>
                              <w:bottom w:val="nil"/>
                              <w:right w:val="nil"/>
                            </w:tcBorders>
                            <w:shd w:val="clear" w:color="auto" w:fill="auto"/>
                            <w:noWrap/>
                            <w:vAlign w:val="center"/>
                            <w:hideMark/>
                          </w:tcPr>
                          <w:p w14:paraId="6F6EA7F5" w14:textId="04C888DB" w:rsidR="00545A51" w:rsidRPr="005E69DF" w:rsidRDefault="00545A51" w:rsidP="00221A06">
                            <w:pPr>
                              <w:jc w:val="center"/>
                              <w:rPr>
                                <w:b/>
                                <w:color w:val="000000"/>
                                <w:sz w:val="16"/>
                                <w:szCs w:val="16"/>
                                <w:lang w:val="en-GB" w:eastAsia="it-IT"/>
                              </w:rPr>
                            </w:pPr>
                            <w:r w:rsidRPr="005E69DF">
                              <w:rPr>
                                <w:b/>
                                <w:color w:val="000000"/>
                                <w:sz w:val="16"/>
                                <w:szCs w:val="16"/>
                                <w:lang w:val="en-GB" w:eastAsia="it-IT"/>
                              </w:rPr>
                              <w:t>K</w:t>
                            </w:r>
                          </w:p>
                        </w:tc>
                        <w:tc>
                          <w:tcPr>
                            <w:tcW w:w="3119" w:type="dxa"/>
                            <w:tcBorders>
                              <w:top w:val="double" w:sz="4" w:space="0" w:color="auto"/>
                              <w:left w:val="nil"/>
                              <w:bottom w:val="nil"/>
                              <w:right w:val="nil"/>
                            </w:tcBorders>
                            <w:shd w:val="clear" w:color="auto" w:fill="auto"/>
                            <w:noWrap/>
                            <w:vAlign w:val="center"/>
                            <w:hideMark/>
                          </w:tcPr>
                          <w:p w14:paraId="032E5EC3" w14:textId="570B9861" w:rsidR="00545A51" w:rsidRPr="005E69DF" w:rsidRDefault="00545A51" w:rsidP="0082128A">
                            <w:pPr>
                              <w:jc w:val="center"/>
                              <w:rPr>
                                <w:b/>
                                <w:color w:val="000000"/>
                                <w:sz w:val="16"/>
                                <w:szCs w:val="16"/>
                                <w:lang w:val="en-GB" w:eastAsia="it-IT"/>
                              </w:rPr>
                            </w:pPr>
                            <w:r>
                              <w:rPr>
                                <w:b/>
                                <w:color w:val="000000"/>
                                <w:sz w:val="16"/>
                                <w:szCs w:val="16"/>
                                <w:lang w:val="en-GB" w:eastAsia="it-IT"/>
                              </w:rPr>
                              <w:t>S</w:t>
                            </w:r>
                            <w:r w:rsidRPr="005E69DF">
                              <w:rPr>
                                <w:b/>
                                <w:color w:val="000000"/>
                                <w:sz w:val="16"/>
                                <w:szCs w:val="16"/>
                                <w:lang w:val="en-GB" w:eastAsia="it-IT"/>
                              </w:rPr>
                              <w:t>trength of evidence</w:t>
                            </w:r>
                          </w:p>
                        </w:tc>
                      </w:tr>
                      <w:tr w:rsidR="00545A51" w:rsidRPr="00221A06" w14:paraId="0674FCD0" w14:textId="77777777" w:rsidTr="0082128A">
                        <w:trPr>
                          <w:trHeight w:val="300"/>
                        </w:trPr>
                        <w:tc>
                          <w:tcPr>
                            <w:tcW w:w="709" w:type="dxa"/>
                            <w:tcBorders>
                              <w:top w:val="nil"/>
                              <w:left w:val="nil"/>
                              <w:bottom w:val="nil"/>
                              <w:right w:val="nil"/>
                            </w:tcBorders>
                            <w:shd w:val="clear" w:color="auto" w:fill="auto"/>
                            <w:noWrap/>
                            <w:vAlign w:val="center"/>
                            <w:hideMark/>
                          </w:tcPr>
                          <w:p w14:paraId="5D80DE41" w14:textId="23908707" w:rsidR="00545A51" w:rsidRPr="00221A06" w:rsidRDefault="00545A51" w:rsidP="00221A06">
                            <w:pPr>
                              <w:jc w:val="center"/>
                              <w:rPr>
                                <w:color w:val="000000"/>
                                <w:sz w:val="16"/>
                                <w:szCs w:val="16"/>
                                <w:lang w:val="en-GB" w:eastAsia="it-IT"/>
                              </w:rPr>
                            </w:pPr>
                            <w:r>
                              <w:rPr>
                                <w:color w:val="000000"/>
                                <w:sz w:val="16"/>
                                <w:szCs w:val="16"/>
                                <w:lang w:val="en-GB" w:eastAsia="it-IT"/>
                              </w:rPr>
                              <w:t>0 to 2</w:t>
                            </w:r>
                          </w:p>
                        </w:tc>
                        <w:tc>
                          <w:tcPr>
                            <w:tcW w:w="992" w:type="dxa"/>
                            <w:tcBorders>
                              <w:top w:val="nil"/>
                              <w:left w:val="nil"/>
                              <w:bottom w:val="nil"/>
                              <w:right w:val="nil"/>
                            </w:tcBorders>
                            <w:shd w:val="clear" w:color="auto" w:fill="auto"/>
                            <w:noWrap/>
                            <w:vAlign w:val="center"/>
                            <w:hideMark/>
                          </w:tcPr>
                          <w:p w14:paraId="33DB57FA" w14:textId="2C3CA951" w:rsidR="00545A51" w:rsidRPr="00221A06" w:rsidRDefault="00545A51" w:rsidP="00221A06">
                            <w:pPr>
                              <w:jc w:val="center"/>
                              <w:rPr>
                                <w:color w:val="000000"/>
                                <w:sz w:val="16"/>
                                <w:szCs w:val="16"/>
                                <w:lang w:val="en-GB" w:eastAsia="it-IT"/>
                              </w:rPr>
                            </w:pPr>
                            <w:r>
                              <w:rPr>
                                <w:color w:val="000000"/>
                                <w:sz w:val="16"/>
                                <w:szCs w:val="16"/>
                                <w:lang w:val="en-GB" w:eastAsia="it-IT"/>
                              </w:rPr>
                              <w:t>1 to 3</w:t>
                            </w:r>
                          </w:p>
                        </w:tc>
                        <w:tc>
                          <w:tcPr>
                            <w:tcW w:w="3119" w:type="dxa"/>
                            <w:tcBorders>
                              <w:top w:val="nil"/>
                              <w:left w:val="nil"/>
                              <w:bottom w:val="nil"/>
                              <w:right w:val="nil"/>
                            </w:tcBorders>
                            <w:shd w:val="clear" w:color="auto" w:fill="auto"/>
                            <w:noWrap/>
                            <w:vAlign w:val="center"/>
                            <w:hideMark/>
                          </w:tcPr>
                          <w:p w14:paraId="00CAEF09" w14:textId="713307D5" w:rsidR="00545A51" w:rsidRPr="00221A06" w:rsidRDefault="00545A51" w:rsidP="0082128A">
                            <w:pPr>
                              <w:jc w:val="center"/>
                              <w:rPr>
                                <w:color w:val="000000"/>
                                <w:sz w:val="16"/>
                                <w:szCs w:val="16"/>
                                <w:lang w:val="en-GB" w:eastAsia="it-IT"/>
                              </w:rPr>
                            </w:pPr>
                            <w:r w:rsidRPr="0082128A">
                              <w:rPr>
                                <w:color w:val="000000"/>
                                <w:sz w:val="16"/>
                                <w:szCs w:val="16"/>
                                <w:lang w:val="en-GB" w:eastAsia="it-IT"/>
                              </w:rPr>
                              <w:t>not worth more than a bare mention</w:t>
                            </w:r>
                          </w:p>
                        </w:tc>
                      </w:tr>
                      <w:tr w:rsidR="00545A51" w:rsidRPr="00221A06" w14:paraId="2CBDD9CE" w14:textId="77777777" w:rsidTr="0082128A">
                        <w:trPr>
                          <w:trHeight w:val="300"/>
                        </w:trPr>
                        <w:tc>
                          <w:tcPr>
                            <w:tcW w:w="709" w:type="dxa"/>
                            <w:tcBorders>
                              <w:top w:val="nil"/>
                              <w:left w:val="nil"/>
                              <w:bottom w:val="nil"/>
                              <w:right w:val="nil"/>
                            </w:tcBorders>
                            <w:shd w:val="clear" w:color="auto" w:fill="auto"/>
                            <w:noWrap/>
                            <w:vAlign w:val="center"/>
                            <w:hideMark/>
                          </w:tcPr>
                          <w:p w14:paraId="5871F3DF" w14:textId="5223E77A" w:rsidR="00545A51" w:rsidRPr="00221A06" w:rsidRDefault="00545A51" w:rsidP="00221A06">
                            <w:pPr>
                              <w:jc w:val="center"/>
                              <w:rPr>
                                <w:color w:val="000000"/>
                                <w:sz w:val="16"/>
                                <w:szCs w:val="16"/>
                                <w:lang w:val="en-GB" w:eastAsia="it-IT"/>
                              </w:rPr>
                            </w:pPr>
                            <w:r>
                              <w:rPr>
                                <w:color w:val="000000"/>
                                <w:sz w:val="16"/>
                                <w:szCs w:val="16"/>
                                <w:lang w:val="en-GB" w:eastAsia="it-IT"/>
                              </w:rPr>
                              <w:t>2 to 6</w:t>
                            </w:r>
                          </w:p>
                        </w:tc>
                        <w:tc>
                          <w:tcPr>
                            <w:tcW w:w="992" w:type="dxa"/>
                            <w:tcBorders>
                              <w:top w:val="nil"/>
                              <w:left w:val="nil"/>
                              <w:bottom w:val="nil"/>
                              <w:right w:val="nil"/>
                            </w:tcBorders>
                            <w:shd w:val="clear" w:color="auto" w:fill="auto"/>
                            <w:noWrap/>
                            <w:vAlign w:val="center"/>
                            <w:hideMark/>
                          </w:tcPr>
                          <w:p w14:paraId="26A59059" w14:textId="2E7C63D9" w:rsidR="00545A51" w:rsidRPr="00221A06" w:rsidRDefault="00545A51" w:rsidP="00221A06">
                            <w:pPr>
                              <w:jc w:val="center"/>
                              <w:rPr>
                                <w:color w:val="000000"/>
                                <w:sz w:val="16"/>
                                <w:szCs w:val="16"/>
                                <w:lang w:val="en-GB" w:eastAsia="it-IT"/>
                              </w:rPr>
                            </w:pPr>
                            <w:r>
                              <w:rPr>
                                <w:color w:val="000000"/>
                                <w:sz w:val="16"/>
                                <w:szCs w:val="16"/>
                                <w:lang w:val="en-GB" w:eastAsia="it-IT"/>
                              </w:rPr>
                              <w:t>3 to 20</w:t>
                            </w:r>
                          </w:p>
                        </w:tc>
                        <w:tc>
                          <w:tcPr>
                            <w:tcW w:w="3119" w:type="dxa"/>
                            <w:tcBorders>
                              <w:top w:val="nil"/>
                              <w:left w:val="nil"/>
                              <w:bottom w:val="nil"/>
                              <w:right w:val="nil"/>
                            </w:tcBorders>
                            <w:shd w:val="clear" w:color="auto" w:fill="auto"/>
                            <w:noWrap/>
                            <w:vAlign w:val="center"/>
                            <w:hideMark/>
                          </w:tcPr>
                          <w:p w14:paraId="389F741C" w14:textId="754BD663" w:rsidR="00545A51" w:rsidRPr="00221A06" w:rsidRDefault="00545A51" w:rsidP="0082128A">
                            <w:pPr>
                              <w:jc w:val="center"/>
                              <w:rPr>
                                <w:color w:val="000000"/>
                                <w:sz w:val="16"/>
                                <w:szCs w:val="16"/>
                                <w:lang w:val="en-GB" w:eastAsia="it-IT"/>
                              </w:rPr>
                            </w:pPr>
                            <w:r>
                              <w:rPr>
                                <w:color w:val="000000"/>
                                <w:sz w:val="16"/>
                                <w:szCs w:val="16"/>
                                <w:lang w:val="en-GB" w:eastAsia="it-IT"/>
                              </w:rPr>
                              <w:t>positive</w:t>
                            </w:r>
                          </w:p>
                        </w:tc>
                      </w:tr>
                      <w:tr w:rsidR="00545A51" w:rsidRPr="00221A06" w14:paraId="73555005" w14:textId="77777777" w:rsidTr="0082128A">
                        <w:trPr>
                          <w:trHeight w:val="300"/>
                        </w:trPr>
                        <w:tc>
                          <w:tcPr>
                            <w:tcW w:w="709" w:type="dxa"/>
                            <w:tcBorders>
                              <w:top w:val="nil"/>
                              <w:left w:val="nil"/>
                              <w:bottom w:val="nil"/>
                              <w:right w:val="nil"/>
                            </w:tcBorders>
                            <w:shd w:val="clear" w:color="auto" w:fill="auto"/>
                            <w:noWrap/>
                            <w:vAlign w:val="center"/>
                            <w:hideMark/>
                          </w:tcPr>
                          <w:p w14:paraId="0F6DBB6A" w14:textId="71CE742E" w:rsidR="00545A51" w:rsidRPr="00221A06" w:rsidRDefault="00545A51" w:rsidP="00221A06">
                            <w:pPr>
                              <w:jc w:val="center"/>
                              <w:rPr>
                                <w:color w:val="000000"/>
                                <w:sz w:val="16"/>
                                <w:szCs w:val="16"/>
                                <w:lang w:eastAsia="it-IT"/>
                              </w:rPr>
                            </w:pPr>
                            <w:r>
                              <w:rPr>
                                <w:color w:val="000000"/>
                                <w:sz w:val="16"/>
                                <w:szCs w:val="16"/>
                                <w:lang w:eastAsia="it-IT"/>
                              </w:rPr>
                              <w:t>6 to 10</w:t>
                            </w:r>
                          </w:p>
                        </w:tc>
                        <w:tc>
                          <w:tcPr>
                            <w:tcW w:w="992" w:type="dxa"/>
                            <w:tcBorders>
                              <w:top w:val="nil"/>
                              <w:left w:val="nil"/>
                              <w:bottom w:val="nil"/>
                              <w:right w:val="nil"/>
                            </w:tcBorders>
                            <w:shd w:val="clear" w:color="auto" w:fill="auto"/>
                            <w:noWrap/>
                            <w:vAlign w:val="center"/>
                            <w:hideMark/>
                          </w:tcPr>
                          <w:p w14:paraId="7FBB7F10" w14:textId="1103D33F" w:rsidR="00545A51" w:rsidRPr="00221A06" w:rsidRDefault="00545A51" w:rsidP="00221A06">
                            <w:pPr>
                              <w:jc w:val="center"/>
                              <w:rPr>
                                <w:color w:val="000000"/>
                                <w:sz w:val="16"/>
                                <w:szCs w:val="16"/>
                                <w:lang w:eastAsia="it-IT"/>
                              </w:rPr>
                            </w:pPr>
                            <w:r>
                              <w:rPr>
                                <w:color w:val="000000"/>
                                <w:sz w:val="16"/>
                                <w:szCs w:val="16"/>
                                <w:lang w:eastAsia="it-IT"/>
                              </w:rPr>
                              <w:t>20 to 150</w:t>
                            </w:r>
                          </w:p>
                        </w:tc>
                        <w:tc>
                          <w:tcPr>
                            <w:tcW w:w="3119" w:type="dxa"/>
                            <w:tcBorders>
                              <w:top w:val="nil"/>
                              <w:left w:val="nil"/>
                              <w:bottom w:val="nil"/>
                              <w:right w:val="nil"/>
                            </w:tcBorders>
                            <w:shd w:val="clear" w:color="auto" w:fill="auto"/>
                            <w:noWrap/>
                            <w:vAlign w:val="center"/>
                            <w:hideMark/>
                          </w:tcPr>
                          <w:p w14:paraId="5706736F" w14:textId="54B1CEAC" w:rsidR="00545A51" w:rsidRPr="00221A06" w:rsidRDefault="00545A51" w:rsidP="0082128A">
                            <w:pPr>
                              <w:jc w:val="center"/>
                              <w:rPr>
                                <w:color w:val="000000"/>
                                <w:sz w:val="16"/>
                                <w:szCs w:val="16"/>
                                <w:lang w:eastAsia="it-IT"/>
                              </w:rPr>
                            </w:pPr>
                            <w:r>
                              <w:rPr>
                                <w:color w:val="000000"/>
                                <w:sz w:val="16"/>
                                <w:szCs w:val="16"/>
                                <w:lang w:eastAsia="it-IT"/>
                              </w:rPr>
                              <w:t>strong</w:t>
                            </w:r>
                          </w:p>
                        </w:tc>
                      </w:tr>
                      <w:tr w:rsidR="00545A51" w:rsidRPr="00221A06" w14:paraId="12958974" w14:textId="77777777" w:rsidTr="0082128A">
                        <w:trPr>
                          <w:trHeight w:val="300"/>
                        </w:trPr>
                        <w:tc>
                          <w:tcPr>
                            <w:tcW w:w="709" w:type="dxa"/>
                            <w:tcBorders>
                              <w:top w:val="nil"/>
                              <w:left w:val="nil"/>
                              <w:bottom w:val="double" w:sz="4" w:space="0" w:color="auto"/>
                              <w:right w:val="nil"/>
                            </w:tcBorders>
                            <w:shd w:val="clear" w:color="auto" w:fill="auto"/>
                            <w:noWrap/>
                            <w:vAlign w:val="center"/>
                            <w:hideMark/>
                          </w:tcPr>
                          <w:p w14:paraId="2DB936D5" w14:textId="19022B8D" w:rsidR="00545A51" w:rsidRPr="00221A06" w:rsidRDefault="00545A51" w:rsidP="00221A06">
                            <w:pPr>
                              <w:jc w:val="center"/>
                              <w:rPr>
                                <w:color w:val="000000"/>
                                <w:sz w:val="16"/>
                                <w:szCs w:val="16"/>
                                <w:lang w:eastAsia="it-IT"/>
                              </w:rPr>
                            </w:pPr>
                            <w:r>
                              <w:rPr>
                                <w:color w:val="000000"/>
                                <w:sz w:val="16"/>
                                <w:szCs w:val="16"/>
                                <w:lang w:eastAsia="it-IT"/>
                              </w:rPr>
                              <w:t>&gt;10</w:t>
                            </w:r>
                          </w:p>
                        </w:tc>
                        <w:tc>
                          <w:tcPr>
                            <w:tcW w:w="992" w:type="dxa"/>
                            <w:tcBorders>
                              <w:top w:val="nil"/>
                              <w:left w:val="nil"/>
                              <w:bottom w:val="double" w:sz="4" w:space="0" w:color="auto"/>
                              <w:right w:val="nil"/>
                            </w:tcBorders>
                            <w:shd w:val="clear" w:color="auto" w:fill="auto"/>
                            <w:noWrap/>
                            <w:vAlign w:val="center"/>
                            <w:hideMark/>
                          </w:tcPr>
                          <w:p w14:paraId="35794C4A" w14:textId="3DB909C7" w:rsidR="00545A51" w:rsidRPr="00221A06" w:rsidRDefault="00545A51" w:rsidP="00221A06">
                            <w:pPr>
                              <w:jc w:val="center"/>
                              <w:rPr>
                                <w:color w:val="000000"/>
                                <w:sz w:val="16"/>
                                <w:szCs w:val="16"/>
                                <w:lang w:eastAsia="it-IT"/>
                              </w:rPr>
                            </w:pPr>
                            <w:r>
                              <w:rPr>
                                <w:color w:val="000000"/>
                                <w:sz w:val="16"/>
                                <w:szCs w:val="16"/>
                                <w:lang w:eastAsia="it-IT"/>
                              </w:rPr>
                              <w:t>&gt;150</w:t>
                            </w:r>
                          </w:p>
                        </w:tc>
                        <w:tc>
                          <w:tcPr>
                            <w:tcW w:w="3119" w:type="dxa"/>
                            <w:tcBorders>
                              <w:top w:val="nil"/>
                              <w:left w:val="nil"/>
                              <w:bottom w:val="double" w:sz="4" w:space="0" w:color="auto"/>
                              <w:right w:val="nil"/>
                            </w:tcBorders>
                            <w:shd w:val="clear" w:color="auto" w:fill="auto"/>
                            <w:noWrap/>
                            <w:vAlign w:val="center"/>
                            <w:hideMark/>
                          </w:tcPr>
                          <w:p w14:paraId="09709498" w14:textId="1794A8A3" w:rsidR="00545A51" w:rsidRPr="00221A06" w:rsidRDefault="00545A51" w:rsidP="0082128A">
                            <w:pPr>
                              <w:jc w:val="center"/>
                              <w:rPr>
                                <w:color w:val="000000"/>
                                <w:sz w:val="16"/>
                                <w:szCs w:val="16"/>
                                <w:lang w:eastAsia="it-IT"/>
                              </w:rPr>
                            </w:pPr>
                            <w:r>
                              <w:rPr>
                                <w:color w:val="000000"/>
                                <w:sz w:val="16"/>
                                <w:szCs w:val="16"/>
                                <w:lang w:eastAsia="it-IT"/>
                              </w:rPr>
                              <w:t>very strong</w:t>
                            </w:r>
                          </w:p>
                        </w:tc>
                      </w:tr>
                    </w:tbl>
                    <w:p w14:paraId="0DC6E689" w14:textId="77777777" w:rsidR="00545A51" w:rsidRDefault="00545A51" w:rsidP="0082128A">
                      <w:pPr>
                        <w:pStyle w:val="Testonotaapidipagina"/>
                      </w:pPr>
                    </w:p>
                    <w:p w14:paraId="2286BC82" w14:textId="57E3E4DA" w:rsidR="00545A51" w:rsidRPr="00B11FAE" w:rsidRDefault="00545A51" w:rsidP="00632644">
                      <w:pPr>
                        <w:pStyle w:val="Testonotaapidipagina"/>
                      </w:pPr>
                      <w:r>
                        <w:t xml:space="preserve">Strength of evidence for the model selection for different values of Bayes Factor (K) </w:t>
                      </w:r>
                      <w:r>
                        <w:fldChar w:fldCharType="begin" w:fldLock="1"/>
                      </w:r>
                      <w:r>
                        <w:instrText>ADDIN CSL_CITATION { "citationItems" : [ { "id" : "ITEM-1", "itemData" : { "DOI" : "10.1080/01621459.1995.10476572", "ISSN" : "0162-1459", "author" : [ { "dropping-particle" : "", "family" : "Kass", "given" : "Robert E.", "non-dropping-particle" : "", "parse-names" : false, "suffix" : "" }, { "dropping-particle" : "", "family" : "Raftery", "given" : "Adrian E.", "non-dropping-particle" : "", "parse-names" : false, "suffix" : "" } ], "container-title" : "Journal of the American Statistical Association", "id" : "ITEM-1", "issue" : "430", "issued" : { "date-parts" : [ [ "1995", "6" ] ] }, "page" : "773-795", "title" : "Bayes Factors", "type" : "article-journal", "volume" : "90" }, "uris" : [ "http://www.mendeley.com/documents/?uuid=a822dda0-e6a6-4b73-8a15-afd1a7c0cc96" ] } ], "mendeley" : { "formattedCitation" : "[35]", "plainTextFormattedCitation" : "[35]", "previouslyFormattedCitation" : "[34]" }, "properties" : { "noteIndex" : 0 }, "schema" : "https://github.com/citation-style-language/schema/raw/master/csl-citation.json" }</w:instrText>
                      </w:r>
                      <w:r>
                        <w:fldChar w:fldCharType="separate"/>
                      </w:r>
                      <w:r w:rsidRPr="00E93668">
                        <w:rPr>
                          <w:noProof/>
                        </w:rPr>
                        <w:t>[35]</w:t>
                      </w:r>
                      <w:r>
                        <w:fldChar w:fldCharType="end"/>
                      </w:r>
                      <w:r>
                        <w:t>.</w:t>
                      </w:r>
                    </w:p>
                  </w:txbxContent>
                </v:textbox>
                <w10:wrap type="square" anchorx="margin" anchory="margin"/>
              </v:shape>
            </w:pict>
          </mc:Fallback>
        </mc:AlternateContent>
      </w:r>
      <w:r w:rsidRPr="00975079">
        <w:rPr>
          <w:szCs w:val="22"/>
        </w:rPr>
        <w:t xml:space="preserve">matrix of the multivariate normal distribution (with </w:t>
      </w:r>
      <m:oMath>
        <m:sSub>
          <m:sSubPr>
            <m:ctrlPr>
              <w:rPr>
                <w:rFonts w:ascii="Cambria Math" w:hAnsi="Cambria Math" w:cs="Arial"/>
                <w:b/>
                <w:i/>
                <w:szCs w:val="22"/>
              </w:rPr>
            </m:ctrlPr>
          </m:sSubPr>
          <m:e>
            <m:r>
              <m:rPr>
                <m:sty m:val="bi"/>
              </m:rPr>
              <w:rPr>
                <w:rFonts w:ascii="Cambria Math" w:hAnsi="Cambria Math" w:cs="Arial"/>
                <w:szCs w:val="22"/>
              </w:rPr>
              <m:t>m</m:t>
            </m:r>
          </m:e>
          <m:sub>
            <m:r>
              <m:rPr>
                <m:sty m:val="bi"/>
              </m:rPr>
              <w:rPr>
                <w:rFonts w:ascii="Cambria Math" w:hAnsi="Cambria Math" w:cs="Arial"/>
                <w:szCs w:val="22"/>
              </w:rPr>
              <m:t>0</m:t>
            </m:r>
          </m:sub>
        </m:sSub>
      </m:oMath>
      <w:r w:rsidRPr="00975079">
        <w:rPr>
          <w:b/>
          <w:szCs w:val="22"/>
        </w:rPr>
        <w:t xml:space="preserve"> </w:t>
      </w:r>
      <w:r w:rsidRPr="00975079">
        <w:rPr>
          <w:szCs w:val="22"/>
        </w:rPr>
        <w:t xml:space="preserve">and </w:t>
      </w:r>
      <m:oMath>
        <m:sSubSup>
          <m:sSubSupPr>
            <m:ctrlPr>
              <w:rPr>
                <w:rFonts w:ascii="Cambria Math" w:hAnsi="Cambria Math" w:cs="Arial"/>
                <w:b/>
                <w:i/>
                <w:szCs w:val="22"/>
              </w:rPr>
            </m:ctrlPr>
          </m:sSubSupPr>
          <m:e>
            <m:r>
              <m:rPr>
                <m:sty m:val="b"/>
              </m:rPr>
              <w:rPr>
                <w:rFonts w:ascii="Cambria Math" w:hAnsi="Cambria Math" w:cs="Arial"/>
                <w:szCs w:val="22"/>
              </w:rPr>
              <m:t>Λ</m:t>
            </m:r>
          </m:e>
          <m:sub>
            <m:r>
              <m:rPr>
                <m:sty m:val="bi"/>
              </m:rPr>
              <w:rPr>
                <w:rFonts w:ascii="Cambria Math" w:hAnsi="Cambria Math" w:cs="Arial"/>
                <w:szCs w:val="22"/>
              </w:rPr>
              <m:t>0</m:t>
            </m:r>
          </m:sub>
          <m:sup>
            <m:r>
              <m:rPr>
                <m:sty m:val="bi"/>
              </m:rPr>
              <w:rPr>
                <w:rFonts w:ascii="Cambria Math" w:hAnsi="Cambria Math" w:cs="Arial"/>
                <w:szCs w:val="22"/>
              </w:rPr>
              <m:t>-1</m:t>
            </m:r>
          </m:sup>
        </m:sSubSup>
      </m:oMath>
      <w:r w:rsidRPr="00975079">
        <w:rPr>
          <w:szCs w:val="22"/>
        </w:rPr>
        <w:t xml:space="preserve"> as corresponding prior mean and covariance) and </w:t>
      </w:r>
      <m:oMath>
        <m:r>
          <w:rPr>
            <w:rFonts w:ascii="Cambria Math" w:eastAsiaTheme="minorEastAsia" w:hAnsi="Cambria Math" w:cs="Arial"/>
            <w:szCs w:val="22"/>
          </w:rPr>
          <m:t>s</m:t>
        </m:r>
      </m:oMath>
      <w:r w:rsidRPr="00975079">
        <w:rPr>
          <w:szCs w:val="22"/>
        </w:rPr>
        <w:t xml:space="preserve"> and </w:t>
      </w:r>
      <m:oMath>
        <m:r>
          <w:rPr>
            <w:rFonts w:ascii="Cambria Math" w:eastAsiaTheme="minorEastAsia" w:hAnsi="Cambria Math" w:cs="Arial"/>
            <w:szCs w:val="22"/>
          </w:rPr>
          <m:t>c</m:t>
        </m:r>
      </m:oMath>
      <w:r w:rsidRPr="00975079">
        <w:rPr>
          <w:szCs w:val="22"/>
        </w:rPr>
        <w:t xml:space="preserve"> are the shape and scale parameter of the Gamma distribution (with </w:t>
      </w:r>
      <m:oMath>
        <m:sSub>
          <m:sSubPr>
            <m:ctrlPr>
              <w:rPr>
                <w:rFonts w:ascii="Cambria Math" w:eastAsiaTheme="minorEastAsia" w:hAnsi="Cambria Math" w:cs="Arial"/>
                <w:i/>
                <w:szCs w:val="22"/>
              </w:rPr>
            </m:ctrlPr>
          </m:sSubPr>
          <m:e>
            <m:r>
              <w:rPr>
                <w:rFonts w:ascii="Cambria Math" w:eastAsiaTheme="minorEastAsia" w:hAnsi="Cambria Math" w:cs="Arial"/>
                <w:szCs w:val="22"/>
              </w:rPr>
              <m:t>s</m:t>
            </m:r>
          </m:e>
          <m:sub>
            <m:r>
              <w:rPr>
                <w:rFonts w:ascii="Cambria Math" w:eastAsiaTheme="minorEastAsia" w:hAnsi="Cambria Math" w:cs="Arial"/>
                <w:szCs w:val="22"/>
              </w:rPr>
              <m:t>0</m:t>
            </m:r>
          </m:sub>
        </m:sSub>
      </m:oMath>
      <w:r w:rsidRPr="00975079">
        <w:rPr>
          <w:szCs w:val="22"/>
        </w:rPr>
        <w:t xml:space="preserve"> and </w:t>
      </w:r>
      <m:oMath>
        <m:sSub>
          <m:sSubPr>
            <m:ctrlPr>
              <w:rPr>
                <w:rFonts w:ascii="Cambria Math" w:eastAsiaTheme="minorEastAsia" w:hAnsi="Cambria Math" w:cs="Arial"/>
                <w:i/>
                <w:szCs w:val="22"/>
              </w:rPr>
            </m:ctrlPr>
          </m:sSubPr>
          <m:e>
            <m:r>
              <w:rPr>
                <w:rFonts w:ascii="Cambria Math" w:eastAsiaTheme="minorEastAsia" w:hAnsi="Cambria Math" w:cs="Arial"/>
                <w:szCs w:val="22"/>
              </w:rPr>
              <m:t>c</m:t>
            </m:r>
          </m:e>
          <m:sub>
            <m:r>
              <w:rPr>
                <w:rFonts w:ascii="Cambria Math" w:eastAsiaTheme="minorEastAsia" w:hAnsi="Cambria Math" w:cs="Arial"/>
                <w:szCs w:val="22"/>
              </w:rPr>
              <m:t>0</m:t>
            </m:r>
          </m:sub>
        </m:sSub>
      </m:oMath>
      <w:r w:rsidRPr="00975079">
        <w:rPr>
          <w:szCs w:val="22"/>
        </w:rPr>
        <w:t xml:space="preserve"> as corresponding prior values).</w:t>
      </w:r>
    </w:p>
    <w:p w14:paraId="4D146B54" w14:textId="441FDC86" w:rsidR="00BF0C69" w:rsidRPr="00975079" w:rsidRDefault="00DD3A36" w:rsidP="0079732D">
      <w:pPr>
        <w:pStyle w:val="Text"/>
      </w:pPr>
      <w:r w:rsidRPr="00975079">
        <w:rPr>
          <w:szCs w:val="22"/>
        </w:rPr>
        <w:t>This simplifies the computation</w:t>
      </w:r>
      <w:r w:rsidRPr="00975079">
        <w:rPr>
          <w:sz w:val="18"/>
        </w:rPr>
        <w:t xml:space="preserve"> </w:t>
      </w:r>
      <w:r w:rsidRPr="00975079">
        <w:t>of the factorized posteriors, as the VB update becomes a process of updating the posterior hyper-parameters. The interested reader is referred to the original publications for a detailed derivation of the method and a full description of the parameter update and Free Energy equation</w:t>
      </w:r>
      <w:r w:rsidR="00EA4247" w:rsidRPr="00975079">
        <w:t>s</w:t>
      </w:r>
      <w:r w:rsidRPr="00975079">
        <w:t xml:space="preserve"> </w:t>
      </w:r>
      <w:r w:rsidR="007414A7" w:rsidRPr="00975079">
        <w:fldChar w:fldCharType="begin" w:fldLock="1"/>
      </w:r>
      <w:r w:rsidR="001A6F4F" w:rsidRPr="00975079">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7414A7" w:rsidRPr="00975079">
        <w:fldChar w:fldCharType="separate"/>
      </w:r>
      <w:r w:rsidR="001A6F4F" w:rsidRPr="00975079">
        <w:rPr>
          <w:noProof/>
        </w:rPr>
        <w:t>[18]</w:t>
      </w:r>
      <w:r w:rsidR="007414A7" w:rsidRPr="00975079">
        <w:fldChar w:fldCharType="end"/>
      </w:r>
      <w:r w:rsidRPr="00975079">
        <w:t>.</w:t>
      </w:r>
    </w:p>
    <w:p w14:paraId="692059A3" w14:textId="6AA0B09F" w:rsidR="00DD3A36" w:rsidRPr="00975079" w:rsidRDefault="00DD3A36" w:rsidP="0079732D">
      <w:pPr>
        <w:pStyle w:val="Titolo2"/>
        <w:jc w:val="both"/>
      </w:pPr>
      <w:r w:rsidRPr="00975079">
        <w:t xml:space="preserve">Model parameter prior setting </w:t>
      </w:r>
    </w:p>
    <w:p w14:paraId="146CACFD" w14:textId="2A679813" w:rsidR="00DD3A36" w:rsidRPr="00975079" w:rsidRDefault="00261145" w:rsidP="0079732D">
      <w:pPr>
        <w:pStyle w:val="Text"/>
      </w:pPr>
      <w:r w:rsidRPr="00975079">
        <w:t>W</w:t>
      </w:r>
      <w:r w:rsidR="00DD3A36" w:rsidRPr="00975079">
        <w:t>e developed a hierarchical approach for the empirical data-driven prior definition</w:t>
      </w:r>
      <w:r w:rsidRPr="00975079">
        <w:t xml:space="preserve"> </w:t>
      </w:r>
      <w:r w:rsidRPr="00975079">
        <w:fldChar w:fldCharType="begin" w:fldLock="1"/>
      </w:r>
      <w:r w:rsidRPr="00975079">
        <w:instrText>ADDIN CSL_CITATION { "citationItems" : [ { "id" : "ITEM-1", "itemData" : { "ISBN" : "1053-8119", "author" : [ { "dropping-particle" : "", "family" : "Rizzo", "given" : "Gaia", "non-dropping-particle" : "", "parse-names" : false, "suffix" : "" }, { "dropping-particle" : "", "family" : "Turkheimer", "given" : "Federico E", "non-dropping-particle" : "", "parse-names" : false, "suffix" : "" }, { "dropping-particle" : "", "family" : "Keihaninejad", "given" : "Shiva", "non-dropping-particle" : "", "parse-names" : false, "suffix" : "" }, { "dropping-particle" : "", "family" : "Bose", "given" : "Subrata K", "non-dropping-particle" : "", "parse-names" : false, "suffix" : "" }, { "dropping-particle" : "", "family" : "Hammers", "given" : "Alexander", "non-dropping-particle" : "", "parse-names" : false, "suffix" : "" }, { "dropping-particle" : "", "family" : "Bertoldo", "given" : "Alessandra", "non-dropping-particle" : "", "parse-names" : false, "suffix" : "" } ], "container-title" : "NeuroImage", "id" : "ITEM-1", "issue" : "3", "issued" : { "date-parts" : [ [ "2012" ] ] }, "page" : "2485-2493", "title" : "Multi-Scale hierarchical generation of PET parametric maps: Application and testing on a [&lt; sup&gt; 11&lt;/sup&gt; C] DPN study", "type" : "article-journal", "volume" : "59" }, "uris" : [ "http://www.mendeley.com/documents/?uuid=b1b33992-a338-43e0-827e-0df22ade2ef0" ] } ], "mendeley" : { "formattedCitation" : "[19]", "plainTextFormattedCitation" : "[19]", "previouslyFormattedCitation" : "[19]" }, "properties" : { "noteIndex" : 0 }, "schema" : "https://github.com/citation-style-language/schema/raw/master/csl-citation.json" }</w:instrText>
      </w:r>
      <w:r w:rsidRPr="00975079">
        <w:fldChar w:fldCharType="separate"/>
      </w:r>
      <w:r w:rsidRPr="00975079">
        <w:rPr>
          <w:noProof/>
        </w:rPr>
        <w:t>[19]</w:t>
      </w:r>
      <w:r w:rsidRPr="00975079">
        <w:fldChar w:fldCharType="end"/>
      </w:r>
      <w:r w:rsidR="00DD3A36" w:rsidRPr="00975079">
        <w:t xml:space="preserve">. We used the estimates obtained from the model quantification at the region level with nonlinear least squares (NLLS) to inform the priors at the pixel level. The model used for the region-based analysis was the same subsequently used at the pixel level (Gamma-variate or SCR). The regions of interest were defined within the synovia by </w:t>
      </w:r>
      <w:r w:rsidR="00E45C41" w:rsidRPr="00975079">
        <w:t xml:space="preserve">a </w:t>
      </w:r>
      <w:r w:rsidR="00DD3A36" w:rsidRPr="00975079">
        <w:t xml:space="preserve">functional clustering (k-means partitioning method </w:t>
      </w:r>
      <w:r w:rsidR="007414A7" w:rsidRPr="00975079">
        <w:fldChar w:fldCharType="begin" w:fldLock="1"/>
      </w:r>
      <w:r w:rsidR="00E93668" w:rsidRPr="00975079">
        <w:instrText>ADDIN CSL_CITATION { "citationItems" : [ { "id" : "ITEM-1", "itemData" : { "ISBN" : "0097-0433", "author" : [ { "dropping-particle" : "", "family" : "MacQueen", "given" : "J", "non-dropping-particle" : "", "parse-names" : false, "suffix" : "" } ], "container-title" : "Proceedings of the Fifth Berkeley Symposium on Mathematical Statistics and Probability, Volume 1: Statistics", "id" : "ITEM-1", "issued" : { "date-parts" : [ [ "1967" ] ] }, "page" : "281-297", "publisher" : "University of California Press", "publisher-place" : "Berkeley, Calif.", "title" : "Some methods for classification and analysis of multivariate observations", "type" : "paper-conference" }, "uris" : [ "http://www.mendeley.com/documents/?uuid=82509458-98db-4d26-86c1-0df1fa0aa2b0" ] } ], "mendeley" : { "formattedCitation" : "[30]", "plainTextFormattedCitation" : "[30]", "previouslyFormattedCitation" : "[29]" }, "properties" : { "noteIndex" : 0 }, "schema" : "https://github.com/citation-style-language/schema/raw/master/csl-citation.json" }</w:instrText>
      </w:r>
      <w:r w:rsidR="007414A7" w:rsidRPr="00975079">
        <w:fldChar w:fldCharType="separate"/>
      </w:r>
      <w:r w:rsidR="00E93668" w:rsidRPr="00975079">
        <w:rPr>
          <w:noProof/>
        </w:rPr>
        <w:t>[30]</w:t>
      </w:r>
      <w:r w:rsidR="007414A7" w:rsidRPr="00975079">
        <w:fldChar w:fldCharType="end"/>
      </w:r>
      <w:r w:rsidR="00DD3A36" w:rsidRPr="00975079">
        <w:t xml:space="preserve">, Euclidean distance, 6 clusters) to detect the main kinetic behaviors of CEUS data as previously presented in </w:t>
      </w:r>
      <w:r w:rsidR="007414A7" w:rsidRPr="00975079">
        <w:fldChar w:fldCharType="begin" w:fldLock="1"/>
      </w:r>
      <w:r w:rsidR="00E93668" w:rsidRPr="00975079">
        <w:instrText>ADDIN CSL_CITATION { "citationItems" : [ { "id" : "ITEM-1", "itemData" : { "DOI" : "10.1007/978-3-319-13909-8_3", "ISBN" : "978-3-319-13908-1",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"Stramare", "given" : "Roberto", "non-dropping-particle" : "", "parse-names" : false, "suffix" : "" }, { "dropping-particle" : "", "family" : "Grisan", "given" : "Enrico", "non-dropping-particle" : "", "parse-names" : false, "suffix" : "" } ], "chapter-number" : "3", "container-title" : "Clinical Image-Based Procedures. Translational Research in Medical Imaging", "editor" : [ { "dropping-particle" : "", "family" : "Linguraru", "given" : "Marius George", "non-dropping-particle" : "", "parse-names" : false, "suffix" : "" }, { "dropping-particle" : "", "family" : "Oyarzun Laura", "given" : "Cristina", "non-dropping-particle" : "", "parse-names" : false, "suffix" : "" }, { "dropping-particle" : "", "family" : "Shekhar", "given" : "Raj", "non-dropping-particle" : "", "parse-names" : false, "suffix" : "" }, { "dropping-particle" : "", "family" : "Wesarg", "given" : "Stefan", "non-dropping-particle" : "", "parse-names" : false, "suffix" : "" }, { "dropping-particle" : "", "family" : "Gonz\u00e1lez Ballester", "given" : "Miguel \u00c1ngel", "non-dropping-particle" : "", "parse-names" : false, "suffix" : "" }, { "dropping-particle" : "", "family" : "Drechsler", "given" : "Klaus", "non-dropping-particle" : "", "parse-names" : false, "suffix" : "" }, { "dropping-particle" : "", "family" : "Sato", "given" : "Yoshinobu", "non-dropping-particle" : "", "parse-names" : false, "suffix" : "" }, { "dropping-particle" : "", "family" : "Erdt", "given" : "Marius", "non-dropping-particle" : "", "parse-names" : false, "suffix" : "" } ], "id" : "ITEM-1", "issued" : { "date-parts" : [ [ "2014" ] ] }, "language" : "English", "page" : "17-24", "publisher" : "Springer International Publishing", "title" : "Data-Driven Learning to Detect Characteristic Kinetics in Ultrasound Images of Arthritis", "type" : "chapter" }, "uris" : [ "http://www.mendeley.com/documents/?uuid=a2f80f17-fc15-4e82-819b-5a0c7fd5aac9" ] } ], "mendeley" : { "formattedCitation" : "[31]", "plainTextFormattedCitation" : "[31]", "previouslyFormattedCitation" : "[30]" }, "properties" : { "noteIndex" : 0 }, "schema" : "https://github.com/citation-style-language/schema/raw/master/csl-citation.json" }</w:instrText>
      </w:r>
      <w:r w:rsidR="007414A7" w:rsidRPr="00975079">
        <w:fldChar w:fldCharType="separate"/>
      </w:r>
      <w:r w:rsidR="00E93668" w:rsidRPr="00975079">
        <w:rPr>
          <w:noProof/>
        </w:rPr>
        <w:t>[31]</w:t>
      </w:r>
      <w:r w:rsidR="007414A7" w:rsidRPr="00975079">
        <w:fldChar w:fldCharType="end"/>
      </w:r>
      <w:r w:rsidR="00DD3A36" w:rsidRPr="00975079">
        <w:t xml:space="preserve">. The clustering was applied on the parametrized CEUS kinetics as previously presented in </w:t>
      </w:r>
      <w:r w:rsidR="007414A7" w:rsidRPr="00975079">
        <w:fldChar w:fldCharType="begin" w:fldLock="1"/>
      </w:r>
      <w:r w:rsidR="00E93668" w:rsidRPr="00975079">
        <w:instrText>ADDIN CSL_CITATION { "citationItems" : [ { "id" : "ITEM-1", "itemData" : { "DOI" : "10.1016/j.neuroimage.2012.11.045", "ISSN" : "1095-9572", "PMID" : "23220428", "abstract" : "This paper investigates a new hierarchical method to apply basis function to mono- and multi-compartmental models (Hierarchical-Basis Function Method, H-BFM) at a voxel level. This method identifies the parameters of the compartmental model in its nonlinearized version, integrating information derived at the region of interest (ROI) level by segmenting the cerebral volume based on anatomical definition or functional clustering. We present the results obtained by using a two tissue-four rate constant model with two different tracers ([(11)C]FLB457 and [carbonyl-(11)C]WAY100635), one of the most complex models used in receptor studies, especially at the voxel level. H-BFM is robust and its application on both [(11)C]FLB457 and [carbonyl-(11)C]WAY100635 allows accurate and precise parameter estimates, good quality parametric maps and a low percentage of voxels out of physiological bound (&lt;8%). The computational time depends on the number of basis functions selected and can be compatible with clinical use (~6h for a single subject analysis). The novel method is a robust approach for PET quantification by using compartmental modeling at the voxel level. In particular, different from other proposed approaches, this method can also be used when the linearization of the model is not appropriate. We expect that applying it to clinical data will generate reliable parametric maps.", "author" : [ { "dropping-particle" : "", "family" : "Rizzo", "given" : "G", "non-dropping-particle" : "", "parse-names" : false, "suffix" : "" }, { "dropping-particle" : "", "family" : "Turkheimer", "given" : "F E", "non-dropping-particle" : "", "parse-names" : false, "suffix" : "" }, { "dropping-particle" : "", "family" : "Bertoldo", "given" : "a", "non-dropping-particle" : "", "parse-names" : false, "suffix" : "" } ], "container-title" : "NeuroImage", "id" : "ITEM-1", "issued" : { "date-parts" : [ [ "2013" ] ] }, "page" : "344-53", "title" : "Multi-scale hierarchical approach for parametric mapping: assessment on multi-compartmental models.", "type" : "article-journal", "volume" : "67" }, "uris" : [ "http://www.mendeley.com/documents/?uuid=ea6272c9-ed90-4759-a32d-a20d8b080c8c" ] } ], "mendeley" : { "formattedCitation" : "[32]", "plainTextFormattedCitation" : "[32]", "previouslyFormattedCitation" : "[31]" }, "properties" : { "noteIndex" : 0 }, "schema" : "https://github.com/citation-style-language/schema/raw/master/csl-citation.json" }</w:instrText>
      </w:r>
      <w:r w:rsidR="007414A7" w:rsidRPr="00975079">
        <w:fldChar w:fldCharType="separate"/>
      </w:r>
      <w:r w:rsidR="00E93668" w:rsidRPr="00975079">
        <w:rPr>
          <w:noProof/>
        </w:rPr>
        <w:t>[32]</w:t>
      </w:r>
      <w:r w:rsidR="007414A7" w:rsidRPr="00975079">
        <w:fldChar w:fldCharType="end"/>
      </w:r>
      <w:r w:rsidR="00DD3A36" w:rsidRPr="00975079">
        <w:t xml:space="preserve"> and the parameters used to characterize the pixel concentration curves were the area under the curve, the time to peak and the slope of the initial and the last part of the curve (i.e. the first and the last 10 points). All these parameters were derived from the raw pixel time activity curves through linear interpolation. The resulting centroids were then </w:t>
      </w:r>
      <w:r w:rsidR="00623D54" w:rsidRPr="00975079">
        <w:t>fitted</w:t>
      </w:r>
      <w:r w:rsidR="00DD3A36" w:rsidRPr="00975079">
        <w:t xml:space="preserve"> with the model under study solved with NLLS. </w:t>
      </w:r>
    </w:p>
    <w:p w14:paraId="283527B3" w14:textId="44E867E5" w:rsidR="00DD3A36" w:rsidRPr="00975079" w:rsidRDefault="00DD3A36" w:rsidP="00687EF5">
      <w:pPr>
        <w:pStyle w:val="Text"/>
      </w:pPr>
      <w:r w:rsidRPr="00975079">
        <w:t>In particular, NLLS regional estimates were used as the multivariate Gaussian prior mean of the model parameters for all the pixels composing the selected region. As regard the prior variance</w:t>
      </w:r>
      <w:r w:rsidR="00623D54" w:rsidRPr="00975079">
        <w:t xml:space="preserve"> </w:t>
      </w:r>
      <m:oMath>
        <m:sSub>
          <m:sSubPr>
            <m:ctrlPr>
              <w:rPr>
                <w:rFonts w:ascii="Cambria Math" w:eastAsiaTheme="minorEastAsia" w:hAnsi="Cambria Math" w:cs="Arial"/>
                <w:b/>
                <w:i/>
                <w:iCs/>
                <w:szCs w:val="24"/>
              </w:rPr>
            </m:ctrlPr>
          </m:sSubPr>
          <m:e>
            <m:r>
              <m:rPr>
                <m:sty m:val="bi"/>
              </m:rPr>
              <w:rPr>
                <w:rFonts w:ascii="Cambria Math" w:eastAsiaTheme="minorEastAsia" w:hAnsi="Cambria Math" w:cs="Arial"/>
                <w:szCs w:val="24"/>
              </w:rPr>
              <m:t>Λ</m:t>
            </m:r>
          </m:e>
          <m:sub>
            <m:r>
              <m:rPr>
                <m:sty m:val="bi"/>
              </m:rPr>
              <w:rPr>
                <w:rFonts w:ascii="Cambria Math" w:eastAsiaTheme="minorEastAsia" w:hAnsi="Cambria Math" w:cs="Arial"/>
                <w:szCs w:val="24"/>
              </w:rPr>
              <m:t>0</m:t>
            </m:r>
          </m:sub>
        </m:sSub>
      </m:oMath>
      <w:r w:rsidRPr="00975079">
        <w:t xml:space="preserve">, we set it based on the region-wise NLLS estimates, multiplied by a constant factor </w:t>
      </w:r>
      <m:oMath>
        <m:r>
          <w:rPr>
            <w:rFonts w:ascii="Cambria Math" w:hAnsi="Cambria Math"/>
          </w:rPr>
          <m:t>λ</m:t>
        </m:r>
      </m:oMath>
      <w:r w:rsidRPr="00975079">
        <w:t>, which gives a measure of the estimates variability across the synovia</w:t>
      </w:r>
      <w:r w:rsidR="00623D54" w:rsidRPr="00975079">
        <w:t xml:space="preserve"> as </w:t>
      </w:r>
      <m:oMath>
        <m:r>
          <m:rPr>
            <m:sty m:val="p"/>
          </m:rPr>
          <w:rPr>
            <w:rFonts w:ascii="Cambria Math" w:hAnsi="Cambria Math" w:cs="Arial"/>
          </w:rPr>
          <w:br/>
        </m:r>
        <m:sSub>
          <m:sSubPr>
            <m:ctrlPr>
              <w:rPr>
                <w:rFonts w:ascii="Cambria Math" w:hAnsi="Cambria Math" w:cs="Arial"/>
                <w:b/>
                <w:i/>
                <w:iCs/>
              </w:rPr>
            </m:ctrlPr>
          </m:sSubPr>
          <m:e>
            <m:r>
              <m:rPr>
                <m:sty m:val="bi"/>
              </m:rPr>
              <w:rPr>
                <w:rFonts w:ascii="Cambria Math" w:hAnsi="Cambria Math" w:cs="Arial"/>
              </w:rPr>
              <m:t>Λ</m:t>
            </m:r>
          </m:e>
          <m:sub>
            <m:r>
              <m:rPr>
                <m:sty m:val="bi"/>
              </m:rPr>
              <w:rPr>
                <w:rFonts w:ascii="Cambria Math" w:hAnsi="Cambria Math" w:cs="Arial"/>
              </w:rPr>
              <m:t>0</m:t>
            </m:r>
          </m:sub>
        </m:sSub>
        <m:r>
          <w:rPr>
            <w:rFonts w:ascii="Cambria Math" w:hAnsi="Cambria Math" w:cs="Arial"/>
          </w:rPr>
          <m:t xml:space="preserve">= </m:t>
        </m:r>
        <m:f>
          <m:fPr>
            <m:type m:val="lin"/>
            <m:ctrlPr>
              <w:rPr>
                <w:rFonts w:ascii="Cambria Math" w:hAnsi="Cambria Math" w:cs="Arial"/>
                <w:i/>
                <w:iCs/>
              </w:rPr>
            </m:ctrlPr>
          </m:fPr>
          <m:num>
            <m:r>
              <w:rPr>
                <w:rFonts w:ascii="Cambria Math" w:hAnsi="Cambria Math" w:cs="Arial"/>
              </w:rPr>
              <m:t>1</m:t>
            </m:r>
          </m:num>
          <m:den>
            <m:sSup>
              <m:sSupPr>
                <m:ctrlPr>
                  <w:rPr>
                    <w:rFonts w:ascii="Cambria Math" w:hAnsi="Cambria Math" w:cs="Arial"/>
                    <w:i/>
                    <w:iCs/>
                  </w:rPr>
                </m:ctrlPr>
              </m:sSupPr>
              <m:e>
                <m:r>
                  <w:rPr>
                    <w:rFonts w:ascii="Cambria Math" w:hAnsi="Cambria Math" w:cs="Arial"/>
                  </w:rPr>
                  <m:t>(λ</m:t>
                </m:r>
                <m:sSub>
                  <m:sSubPr>
                    <m:ctrlPr>
                      <w:rPr>
                        <w:rFonts w:ascii="Cambria Math" w:hAnsi="Cambria Math" w:cs="Arial"/>
                        <w:b/>
                        <w:i/>
                        <w:iCs/>
                      </w:rPr>
                    </m:ctrlPr>
                  </m:sSubPr>
                  <m:e>
                    <m:r>
                      <m:rPr>
                        <m:sty m:val="bi"/>
                      </m:rPr>
                      <w:rPr>
                        <w:rFonts w:ascii="Cambria Math" w:hAnsi="Cambria Math" w:cs="Arial"/>
                      </w:rPr>
                      <m:t xml:space="preserve"> m</m:t>
                    </m:r>
                  </m:e>
                  <m:sub>
                    <m:r>
                      <m:rPr>
                        <m:sty m:val="bi"/>
                      </m:rPr>
                      <w:rPr>
                        <w:rFonts w:ascii="Cambria Math" w:hAnsi="Cambria Math" w:cs="Arial"/>
                      </w:rPr>
                      <m:t>0</m:t>
                    </m:r>
                  </m:sub>
                </m:sSub>
                <m:r>
                  <w:rPr>
                    <w:rFonts w:ascii="Cambria Math" w:hAnsi="Cambria Math" w:cs="Arial"/>
                  </w:rPr>
                  <m:t>)</m:t>
                </m:r>
              </m:e>
              <m:sup>
                <m:r>
                  <w:rPr>
                    <w:rFonts w:ascii="Cambria Math" w:hAnsi="Cambria Math" w:cs="Arial"/>
                  </w:rPr>
                  <m:t>2</m:t>
                </m:r>
              </m:sup>
            </m:sSup>
          </m:den>
        </m:f>
      </m:oMath>
      <w:r w:rsidRPr="00975079">
        <w:t xml:space="preserve">. We set </w:t>
      </w:r>
      <m:oMath>
        <m:r>
          <w:rPr>
            <w:rFonts w:ascii="Cambria Math" w:hAnsi="Cambria Math"/>
          </w:rPr>
          <m:t>λ</m:t>
        </m:r>
      </m:oMath>
      <w:r w:rsidRPr="00975079">
        <w:t xml:space="preserve"> to 50%. </w:t>
      </w:r>
      <w:r w:rsidR="00687EF5" w:rsidRPr="00975079">
        <w:t xml:space="preserve">This value was set based on previous studies </w:t>
      </w:r>
      <w:r w:rsidR="00687EF5" w:rsidRPr="00975079">
        <w:fldChar w:fldCharType="begin" w:fldLock="1"/>
      </w:r>
      <w:r w:rsidR="00E93668" w:rsidRPr="00975079">
        <w:instrText>ADDIN CSL_CITATION { "citationItems" : [ { "id" : "ITEM-1", "itemData" : { "DOI" : "10.1007/s11307-016-0969-2", "author" : [ { "dropping-particle" : "", "family" : "Rizzo", "given" : "Gaia", "non-dropping-particle" : "", "parse-names" : false, "suffix" : "" }, { "dropping-particle" : "", "family" : "Tonietto", "given" : "Matteo", "non-dropping-particle" : "", "parse-names" : false, "suffix" : "" }, { "dropping-particle" : "", "family" : "Zanoni", "given" : "Simone", "non-dropping-particle" : "", "parse-names" : false, "suffix" : "" }, { "dropping-particle" : "", "family" : "Chappell", "given" : "Michael A", "non-dropping-particle" : "", "parse-names" : false, "suffix" : "" }, { "dropping-particle" : "", "family" : "Castellaro", "given" : "Marco", "non-dropping-particle" : "", "parse-names" : false, "suffix" : "" }, { "dropping-particle" : "", "family" : "Bertoldo", "given" : "Alessandra", "non-dropping-particle" : "", "parse-names" : false, "suffix" : "" } ], "container-title" : "Molecular Imaging and Biology", "id" : "ITEM-1", "issue" : "Suppl 1", "issued" : { "date-parts" : [ [ "2015" ] ] }, "page" : "S602-S603", "title" : "Use of a Variational Bayesian inference approach for the quantification of brain PET data at the voxel level", "type" : "article-journal", "volume" : "18" }, "uris" : [ "http://www.mendeley.com/documents/?uuid=4f53019d-ec74-394a-8f88-a6acb112e3db" ] } ], "mendeley" : { "formattedCitation" : "[33]", "plainTextFormattedCitation" : "[33]", "previouslyFormattedCitation" : "[32]" }, "properties" : { "noteIndex" : 0 }, "schema" : "https://github.com/citation-style-language/schema/raw/master/csl-citation.json" }</w:instrText>
      </w:r>
      <w:r w:rsidR="00687EF5" w:rsidRPr="00975079">
        <w:fldChar w:fldCharType="separate"/>
      </w:r>
      <w:r w:rsidR="00E93668" w:rsidRPr="00975079">
        <w:rPr>
          <w:noProof/>
        </w:rPr>
        <w:t>[33]</w:t>
      </w:r>
      <w:r w:rsidR="00687EF5" w:rsidRPr="00975079">
        <w:fldChar w:fldCharType="end"/>
      </w:r>
      <w:r w:rsidR="00687EF5" w:rsidRPr="00975079">
        <w:t>.</w:t>
      </w:r>
    </w:p>
    <w:p w14:paraId="1A40C3F0" w14:textId="34635CAD" w:rsidR="00DD3A36" w:rsidRPr="00975079" w:rsidRDefault="00DD3A36" w:rsidP="0079732D">
      <w:pPr>
        <w:pStyle w:val="Text"/>
      </w:pPr>
      <w:r w:rsidRPr="00975079">
        <w:t>We also incorporated the Automatic Relevance Determination (ARD)</w:t>
      </w:r>
      <w:r w:rsidR="00690144" w:rsidRPr="00975079">
        <w:t xml:space="preserve"> </w:t>
      </w:r>
      <w:r w:rsidR="008C5311" w:rsidRPr="00975079">
        <w:fldChar w:fldCharType="begin" w:fldLock="1"/>
      </w:r>
      <w:r w:rsidR="0065204A" w:rsidRPr="00975079">
        <w:instrText>ADDIN CSL_CITATION { "citationItems" : [ { "id" : "ITEM-1", "itemData" : { "DOI" : "10.1088/0954-898X/6/3/011", "ISSN" : "0954-898X", "author" : [ { "dropping-particle" : "", "family" : "Mackay", "given" : "David", "non-dropping-particle" : "", "parse-names" : false, "suffix" : "" } ], "container-title" : "Network: Computation in Neural Systems", "id" : "ITEM-1", "issue" : "3", "issued" : { "date-parts" : [ [ "1995", "8", "1" ] ] }, "page" : "469-505", "title" : "Probable networks and plausible predictions \u2014 a review of practical Bayesian methods for supervised neural networks", "type" : "article-journal", "volume" : "6" }, "uris" : [ "http://www.mendeley.com/documents/?uuid=e3d0bc61-9f5b-4736-a842-8b884c99ecdd" ] }, { "id" : "ITEM-2", "itemData" : { "DOI" : "10.1162/15324430152748236", "ISBN" : "9783540231226", "ISSN" : "15324435", "abstract" : "This paper introduces a general Bayesian framework for obtaining sparse solutions to re- gression and classi? cation tasks utilising models linear in the parameters. Although this framework is fully general, we illustrate our approach with a particular specialisation that we denote the `relevance vector machine\u2019 (RVM), a model of identical functional form to the popular and state-of-the-art `support vector machine\u2019 (SVM).We demonstrate that by exploiting a probabilistic Bayesian learning framework, we can derive accurate prediction models which typically utilise dramatically fewer basis functions than a comparable SVM while o\u00acering a number of additional advantages. These include the bene? ts of probabilis- tic predictions, automatic estimation of `nuisance\u2019 parameters, and the facility to utilise arbitrary basis functions (e.g. non-`Mercer\u2019 kernels). We detail the Bayesian framework and associated learning algorithm for the RVM, and give some illustrative examples of its application along with some comparative benchmarks. We o\u00acer some explanation for the exceptional degree of sparsity obtained, and discuss and demonstrate some of the advantageous features, and potential extensions, of Bayesian relevance learning. 1.", "author" : [ { "dropping-particle" : "", "family" : "Tipping", "given" : "Michael E", "non-dropping-particle" : "", "parse-names" : false, "suffix" : "" } ], "container-title" : "Journal of Machine Learning Research", "id" : "ITEM-2", "issued" : { "date-parts" : [ [ "2001" ] ] }, "page" : "211-245", "title" : "Sparse Bayesian Learning and the Relevance Vector Machine", "type" : "article-journal", "volume" : "1" }, "uris" : [ "http://www.mendeley.com/documents/?uuid=96a9f8c6-459b-47a8-8567-624f61c3b4a2" ] } ], "mendeley" : { "formattedCitation" : "[20,21]", "plainTextFormattedCitation" : "[20,21]", "previouslyFormattedCitation" : "[20,21]" }, "properties" : { "noteIndex" : 0 }, "schema" : "https://github.com/citation-style-language/schema/raw/master/csl-citation.json" }</w:instrText>
      </w:r>
      <w:r w:rsidR="008C5311" w:rsidRPr="00975079">
        <w:fldChar w:fldCharType="separate"/>
      </w:r>
      <w:r w:rsidR="0065204A" w:rsidRPr="00975079">
        <w:rPr>
          <w:noProof/>
        </w:rPr>
        <w:t>[20,21]</w:t>
      </w:r>
      <w:r w:rsidR="008C5311" w:rsidRPr="00975079">
        <w:fldChar w:fldCharType="end"/>
      </w:r>
      <w:r w:rsidRPr="00975079">
        <w:t xml:space="preserve"> within the algorithm to allow for the automated reduction of model complexity (from SCR to Gamma-variate model). This was achieved by using a shrinkage prior for the parameter to be subjected to ARD, that in our case was the amplitude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t xml:space="preserve"> of the irreversible component. The prior distribution for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t xml:space="preserve"> was Gaussian with zero mean and unknown variance (set initially very large, i.e. </w:t>
      </w:r>
      <w:r w:rsidR="00410D22" w:rsidRPr="00975079">
        <w:rPr>
          <w:rFonts w:eastAsia="Cambria Math"/>
        </w:rPr>
        <w:t>10</w:t>
      </w:r>
      <w:r w:rsidR="00410D22" w:rsidRPr="00975079">
        <w:rPr>
          <w:vertAlign w:val="superscript"/>
        </w:rPr>
        <w:t>6</w:t>
      </w:r>
      <w:r w:rsidR="00623D54" w:rsidRPr="00975079">
        <w:t>) with a Gamma</w:t>
      </w:r>
      <w:r w:rsidRPr="00975079">
        <w:t xml:space="preserve"> hyper-prior on the </w:t>
      </w:r>
      <w:r w:rsidR="00623D54" w:rsidRPr="00975079">
        <w:t>variance</w:t>
      </w:r>
      <w:r w:rsidRPr="00975079">
        <w:t xml:space="preserve"> of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t xml:space="preserve"> to be estimated from the data. The ARD variance becomes very small if the data does not support the extra complexity introduced by this parameter</w:t>
      </w:r>
      <w:r w:rsidR="0038363C" w:rsidRPr="00975079">
        <w:t>,</w:t>
      </w:r>
      <w:r w:rsidRPr="00975079">
        <w:t xml:space="preserve"> </w:t>
      </w:r>
      <w:r w:rsidR="0038363C" w:rsidRPr="00975079">
        <w:t xml:space="preserve">so that </w:t>
      </w:r>
      <w:r w:rsidRPr="00975079">
        <w:t xml:space="preserve">the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1</m:t>
            </m:r>
          </m:sub>
        </m:sSub>
      </m:oMath>
      <w:r w:rsidRPr="00975079">
        <w:t xml:space="preserve"> is set to zero as the model collapses to the simple Gamma-variate. </w:t>
      </w:r>
    </w:p>
    <w:p w14:paraId="68AB1538" w14:textId="47103D61" w:rsidR="00690144" w:rsidRPr="00975079" w:rsidRDefault="00DD3A36" w:rsidP="00690144">
      <w:pPr>
        <w:pStyle w:val="Text"/>
      </w:pPr>
      <w:r w:rsidRPr="00975079">
        <w:t xml:space="preserve">In short, the </w:t>
      </w:r>
      <w:r w:rsidR="00623D54" w:rsidRPr="00975079">
        <w:t xml:space="preserve">VB estimation with the </w:t>
      </w:r>
      <w:r w:rsidRPr="00975079">
        <w:t xml:space="preserve">inclusion of ARD </w:t>
      </w:r>
      <w:r w:rsidR="00623D54" w:rsidRPr="00975079">
        <w:t>implies</w:t>
      </w:r>
      <w:r w:rsidRPr="00975079">
        <w:t xml:space="preserve"> the quantification of CEUS data with a </w:t>
      </w:r>
      <w:r w:rsidR="00350E78" w:rsidRPr="00975079">
        <w:t>Gamma-variate</w:t>
      </w:r>
      <w:r w:rsidRPr="00975079">
        <w:t xml:space="preserve"> model at the region level to determine the prior distributions for the other parameters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oMath>
      <w:r w:rsidR="00623D54" w:rsidRPr="00975079">
        <w:t>).</w:t>
      </w:r>
      <w:r w:rsidRPr="00975079">
        <w:t xml:space="preserve"> </w:t>
      </w:r>
      <w:r w:rsidR="00623D54" w:rsidRPr="00975079">
        <w:t>T</w:t>
      </w:r>
      <w:r w:rsidRPr="00975079">
        <w:t>hen the SCR model is solved at the pixel level, with the additional shrinkage prior that allows for the identification of a simpler model.</w:t>
      </w:r>
    </w:p>
    <w:p w14:paraId="62AC9828" w14:textId="0A78C314" w:rsidR="00690144" w:rsidRPr="00975079" w:rsidRDefault="00690144" w:rsidP="00690144">
      <w:pPr>
        <w:pStyle w:val="Text"/>
      </w:pPr>
      <w:r w:rsidRPr="00975079">
        <w:t xml:space="preserve">A summary of the models included in the analysis and their relationships along with the quantification methods is presented in Supplementary Figure 1. </w:t>
      </w:r>
    </w:p>
    <w:p w14:paraId="6780DD29" w14:textId="029122E7" w:rsidR="00DD3A36" w:rsidRPr="00975079" w:rsidRDefault="00DD3A36" w:rsidP="0079732D">
      <w:pPr>
        <w:pStyle w:val="Titolo2"/>
        <w:jc w:val="both"/>
      </w:pPr>
      <w:r w:rsidRPr="00975079">
        <w:t xml:space="preserve">Statistical assessment </w:t>
      </w:r>
    </w:p>
    <w:p w14:paraId="3BF65480" w14:textId="430012EE" w:rsidR="00DD3A36" w:rsidRPr="00975079" w:rsidRDefault="00821408" w:rsidP="0079732D">
      <w:pPr>
        <w:pStyle w:val="Text"/>
      </w:pPr>
      <w:r w:rsidRPr="00975079">
        <w:t xml:space="preserve">First, </w:t>
      </w:r>
      <w:r w:rsidR="00DD3A36" w:rsidRPr="00975079">
        <w:t xml:space="preserve">Bayesian model selection (BMS) was employed to compare the performance of Gamma-variate and SCR models to quantify CEUS kinetics. </w:t>
      </w:r>
      <w:r w:rsidR="00623D54" w:rsidRPr="00975079">
        <w:t xml:space="preserve">We used the </w:t>
      </w:r>
      <w:r w:rsidR="00DD3A36" w:rsidRPr="00975079">
        <w:t xml:space="preserve">Free Energy obtained from the VB algorithm as approximation of the </w:t>
      </w:r>
      <w:r w:rsidR="0038363C" w:rsidRPr="00975079">
        <w:t>log-</w:t>
      </w:r>
      <w:r w:rsidR="00DD3A36" w:rsidRPr="00975079">
        <w:t xml:space="preserve">model evidence (lower bound) </w:t>
      </w:r>
      <w:r w:rsidR="007414A7" w:rsidRPr="00975079">
        <w:fldChar w:fldCharType="begin" w:fldLock="1"/>
      </w:r>
      <w:r w:rsidR="00E93668" w:rsidRPr="00975079">
        <w:instrText>ADDIN CSL_CITATION { "citationItems" : [ { "id" : "ITEM-1", "itemData" : { "DOI" : "10.1016/j.neuroimage.2011.07.039", "ISSN" : "1053-8119", "abstract" : "In neuroimaging it is now becoming standard practise to fit multiple models to data and compare them using a model selection criterion. This is especially prevalent in the analysis of brain connectivity. This paper describes a simulation study which compares the relative merits of three model selection criteria (i) Akaike's Information Criterion (AIC), (ii) the Bayesian Information Criterion (BIC) and (iii) the variational Free Energy. Differences in performance are examined in the context of General Linear Models (GLMs) and Dynamic Causal Models (DCMs). We find that the Free Energy has the best model selection ability and recommend it be used for comparison of DCMs.", "author" : [ { "dropping-particle" : "", "family" : "Penny", "given" : "W D", "non-dropping-particle" : "", "parse-names" : false, "suffix" : "" } ], "container-title" : "Neuroimage", "id" : "ITEM-1", "issue" : "1", "issued" : { "date-parts" : [ [ "2012" ] ] }, "page" : "319-330", "title" : "Comparing Dynamic Causal Models using AIC, BIC and Free Energy", "type" : "article-journal", "volume" : "59" }, "uris" : [ "http://www.mendeley.com/documents/?uuid=0f40bd30-431b-4404-8563-bd30cfcb2c6d" ] } ], "mendeley" : { "formattedCitation" : "[34]", "plainTextFormattedCitation" : "[34]", "previouslyFormattedCitation" : "[33]" }, "properties" : { "noteIndex" : 0 }, "schema" : "https://github.com/citation-style-language/schema/raw/master/csl-citation.json" }</w:instrText>
      </w:r>
      <w:r w:rsidR="007414A7" w:rsidRPr="00975079">
        <w:fldChar w:fldCharType="separate"/>
      </w:r>
      <w:r w:rsidR="00E93668" w:rsidRPr="00975079">
        <w:rPr>
          <w:noProof/>
        </w:rPr>
        <w:t>[34]</w:t>
      </w:r>
      <w:r w:rsidR="007414A7" w:rsidRPr="00975079">
        <w:fldChar w:fldCharType="end"/>
      </w:r>
      <w:r w:rsidR="00623D54" w:rsidRPr="00975079">
        <w:t>.</w:t>
      </w:r>
      <w:r w:rsidR="00DD3A36" w:rsidRPr="00975079">
        <w:t xml:space="preserve"> We assumed equal prior probabilities for the models and we computed the log of the Bayes Factor</w:t>
      </w:r>
      <w:r w:rsidR="0038363C" w:rsidRPr="00975079">
        <w:t>,</w:t>
      </w:r>
      <w:r w:rsidR="00DD3A36" w:rsidRPr="00975079">
        <w:t xml:space="preserve"> approximated as the difference of the Free Energ</w:t>
      </w:r>
      <w:r w:rsidR="0038363C" w:rsidRPr="00975079">
        <w:t>ies</w:t>
      </w:r>
      <w:r w:rsidR="00DD3A36" w:rsidRPr="00975079">
        <w:t xml:space="preserve"> calculated for the two models in competition (SCR and </w:t>
      </w:r>
      <w:r w:rsidR="00350E78" w:rsidRPr="00975079">
        <w:t>Gamma-variate</w:t>
      </w:r>
      <w:r w:rsidR="00DD3A36" w:rsidRPr="00975079">
        <w:t xml:space="preserve"> model). From the Bayes Factor it is possible to determine the strength of evidence (from weak to very strong) that one particular model generated the data for the population, following the scale of interpretation proposed by </w:t>
      </w:r>
      <w:r w:rsidR="007414A7" w:rsidRPr="00975079">
        <w:fldChar w:fldCharType="begin" w:fldLock="1"/>
      </w:r>
      <w:r w:rsidR="00E93668" w:rsidRPr="00975079">
        <w:instrText>ADDIN CSL_CITATION { "citationItems" : [ { "id" : "ITEM-1", "itemData" : { "DOI" : "10.1080/01621459.1995.10476572", "ISSN" : "0162-1459", "author" : [ { "dropping-particle" : "", "family" : "Kass", "given" : "Robert E.", "non-dropping-particle" : "", "parse-names" : false, "suffix" : "" }, { "dropping-particle" : "", "family" : "Raftery", "given" : "Adrian E.", "non-dropping-particle" : "", "parse-names" : false, "suffix" : "" } ], "container-title" : "Journal of the American Statistical Association", "id" : "ITEM-1", "issue" : "430", "issued" : { "date-parts" : [ [ "1995", "6" ] ] }, "page" : "773-795", "title" : "Bayes Factors", "type" : "article-journal", "volume" : "90" }, "uris" : [ "http://www.mendeley.com/documents/?uuid=a822dda0-e6a6-4b73-8a15-afd1a7c0cc96" ] } ], "mendeley" : { "formattedCitation" : "[35]", "plainTextFormattedCitation" : "[35]", "previouslyFormattedCitation" : "[34]" }, "properties" : { "noteIndex" : 0 }, "schema" : "https://github.com/citation-style-language/schema/raw/master/csl-citation.json" }</w:instrText>
      </w:r>
      <w:r w:rsidR="007414A7" w:rsidRPr="00975079">
        <w:fldChar w:fldCharType="separate"/>
      </w:r>
      <w:r w:rsidR="00E93668" w:rsidRPr="00975079">
        <w:rPr>
          <w:noProof/>
        </w:rPr>
        <w:t>[35]</w:t>
      </w:r>
      <w:r w:rsidR="007414A7" w:rsidRPr="00975079">
        <w:fldChar w:fldCharType="end"/>
      </w:r>
      <w:r w:rsidR="0082128A" w:rsidRPr="00975079">
        <w:t xml:space="preserve"> (Table 1)</w:t>
      </w:r>
      <w:r w:rsidR="00DD3A36" w:rsidRPr="00975079">
        <w:t>.</w:t>
      </w:r>
    </w:p>
    <w:p w14:paraId="7414764F" w14:textId="14590000" w:rsidR="00DD3A36" w:rsidRPr="00975079" w:rsidRDefault="00DD3A36" w:rsidP="0079732D">
      <w:pPr>
        <w:pStyle w:val="Text"/>
      </w:pPr>
      <w:r w:rsidRPr="00975079">
        <w:t>We performed the analysis on all pixels together regardless the subject they belong to, but excluding pixels for which at least one model failed to give physiological or reliable estimates (failure</w:t>
      </w:r>
      <w:r w:rsidR="0003614B" w:rsidRPr="00975079">
        <w:t xml:space="preserve"> or outliers</w:t>
      </w:r>
      <w:r w:rsidRPr="00975079">
        <w:t xml:space="preserve">). Failures were defined as non-physiological (null estimates) or unreliable </w:t>
      </w:r>
      <w:r w:rsidR="0038363C" w:rsidRPr="00975079">
        <w:t xml:space="preserve">values </w:t>
      </w:r>
      <w:r w:rsidRPr="00975079">
        <w:t>(coefficient of variation &gt; 200%) or pixels where the VB algorithm reached the maximum number of iterations without convergence</w:t>
      </w:r>
      <w:r w:rsidR="00821408" w:rsidRPr="00975079">
        <w:t>. We also</w:t>
      </w:r>
      <w:r w:rsidRPr="00975079">
        <w:t xml:space="preserve"> </w:t>
      </w:r>
      <w:r w:rsidR="00821408" w:rsidRPr="00975079">
        <w:t>tested the randomness of the residuals</w:t>
      </w:r>
      <w:r w:rsidRPr="00975079">
        <w:t>, hypothesized to follow</w:t>
      </w:r>
      <w:r w:rsidR="00821408" w:rsidRPr="00975079">
        <w:t xml:space="preserve"> a standard normal distribution, with a Kolmogorov-Smirnov test</w:t>
      </w:r>
      <w:r w:rsidRPr="00975079">
        <w:t xml:space="preserve">. </w:t>
      </w:r>
    </w:p>
    <w:p w14:paraId="7F57D485" w14:textId="2DE16D34" w:rsidR="00DD3A36" w:rsidRPr="00975079" w:rsidRDefault="00DD3A36" w:rsidP="0079732D">
      <w:pPr>
        <w:pStyle w:val="Text"/>
      </w:pPr>
      <w:r w:rsidRPr="00975079">
        <w:t>Computational time was also taken into account in the model comparison.</w:t>
      </w:r>
      <w:r w:rsidR="008C5311" w:rsidRPr="00975079">
        <w:t xml:space="preserve"> Both models were implemented with no parallelism using MATLAB Release 2015b, The MathWorks, Inc., Natick, Massachusetts, </w:t>
      </w:r>
      <w:r w:rsidR="006B01AC" w:rsidRPr="00975079">
        <w:t>USA</w:t>
      </w:r>
      <w:r w:rsidR="008C5311" w:rsidRPr="00975079">
        <w:t>. The analysis was carried out on a quad core Intel Xeon E5-1620 Processor (3.50 GHz).</w:t>
      </w:r>
    </w:p>
    <w:p w14:paraId="2D951623" w14:textId="07220C4C" w:rsidR="00821408" w:rsidRPr="00975079" w:rsidRDefault="0038363C" w:rsidP="0079732D">
      <w:pPr>
        <w:pStyle w:val="Text"/>
      </w:pPr>
      <w:r w:rsidRPr="00975079">
        <w:t xml:space="preserve">After assessing the presence and performance of the two models separately, </w:t>
      </w:r>
      <w:r w:rsidR="00821408" w:rsidRPr="00975079">
        <w:t>we included ARD in the VB algorithm</w:t>
      </w:r>
      <w:r w:rsidRPr="00975079">
        <w:t>.</w:t>
      </w:r>
      <w:r w:rsidR="00821408" w:rsidRPr="00975079">
        <w:t xml:space="preserve"> </w:t>
      </w:r>
      <w:r w:rsidRPr="00975079">
        <w:t>W</w:t>
      </w:r>
      <w:r w:rsidR="00821408" w:rsidRPr="00975079">
        <w:t>e present</w:t>
      </w:r>
      <w:r w:rsidR="00A50613" w:rsidRPr="00975079">
        <w:t xml:space="preserve"> the </w:t>
      </w:r>
      <w:r w:rsidRPr="00975079">
        <w:t xml:space="preserve">corresponding </w:t>
      </w:r>
      <w:r w:rsidR="00A50613" w:rsidRPr="00975079">
        <w:t xml:space="preserve">results in terms of failure percentage (as defined above), computational time, and model complexity ratio, i.e. the percentage of pixels where ARD identified a </w:t>
      </w:r>
      <w:r w:rsidR="00350E78" w:rsidRPr="00975079">
        <w:t>Gamma-variate</w:t>
      </w:r>
      <w:r w:rsidR="00A50613" w:rsidRPr="00975079">
        <w:t xml:space="preserve"> or a SCR model.</w:t>
      </w:r>
    </w:p>
    <w:p w14:paraId="497D6E24" w14:textId="7499295B" w:rsidR="00C31039" w:rsidRPr="00975079" w:rsidRDefault="00B325EC" w:rsidP="00C31039">
      <w:pPr>
        <w:pStyle w:val="Titolo2"/>
        <w:jc w:val="both"/>
      </w:pPr>
      <w:r w:rsidRPr="00975079">
        <w:t>Classification</w:t>
      </w:r>
    </w:p>
    <w:p w14:paraId="1D527456" w14:textId="2CAE681F" w:rsidR="00E93668" w:rsidRPr="00975079" w:rsidRDefault="00C31039" w:rsidP="002A6B67">
      <w:pPr>
        <w:pStyle w:val="Text"/>
      </w:pPr>
      <w:r w:rsidRPr="00975079">
        <w:t xml:space="preserve">In order to test the ability of the estimated parameters to distinguish different perfusion patterns, we trained a supervised classifier on the estimated parameter statistics (features). </w:t>
      </w:r>
      <w:r w:rsidR="00E93668" w:rsidRPr="00975079">
        <w:t xml:space="preserve">We trained two different classifiers in order to assess the discriminant power of the perfusion parameters obtained with Gamma and SCR model. In particular, we considered the 11 </w:t>
      </w:r>
      <w:r w:rsidR="00E93668" w:rsidRPr="00975079">
        <w:lastRenderedPageBreak/>
        <w:t xml:space="preserve">synovial perfusion parameters obtained with Gamma model solved with VB and the 12 synovial parameters obtained with SCR model solved with VB including ARD, plus the percentage of pixels where ARD detected a slow component, and the ratio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0</m:t>
                </m:r>
              </m:sub>
            </m:sSub>
          </m:den>
        </m:f>
      </m:oMath>
      <w:r w:rsidR="00E93668" w:rsidRPr="00975079">
        <w:t>, as measure of the relative importance of the slow component on the CEUS kinetic. We also included for both classifiers the percentage of active pixels in the synovia. For each parameter distribution we considered several statistical descriptors (mean, standard deviation, 25th percentile and 75th percentile), to explore the importance of both the mean perfusion pattern in the synovia and its variability.</w:t>
      </w:r>
    </w:p>
    <w:p w14:paraId="4560069B" w14:textId="518294CB" w:rsidR="00E93668" w:rsidRPr="00975079" w:rsidRDefault="00E93668" w:rsidP="00E93668">
      <w:pPr>
        <w:pStyle w:val="Text"/>
      </w:pPr>
      <w:r w:rsidRPr="00975079">
        <w:t xml:space="preserve">We sought to discriminate RA versus non-RA patients, in order to assess whether the identification of the apparent trapping can help distinguish this aggressive arthritis type. Subjects with less than 100 pixels were discarded from the analysis (12 non-RA and 2 RA patients), in order to maintain robust descriptors of the parameters for the classification. The dataset for the classification therefore comprised 54 RA and 40 non-RA patients. </w:t>
      </w:r>
    </w:p>
    <w:p w14:paraId="3C694082" w14:textId="544E0B43" w:rsidR="00E93668" w:rsidRPr="00975079" w:rsidRDefault="00E93668" w:rsidP="00E93668">
      <w:pPr>
        <w:pStyle w:val="Text"/>
      </w:pPr>
      <w:r w:rsidRPr="00975079">
        <w:t xml:space="preserve">Additionally, we built in the same way a classifier to discriminate RA and RA-like PSA from all other types of arthritis. In this case the dataset comprised 68 patients in the RA and RA-like PSA class, and 40 in the other arthritis class. </w:t>
      </w:r>
    </w:p>
    <w:p w14:paraId="27018B52" w14:textId="4530F291" w:rsidR="00E93668" w:rsidRPr="00975079" w:rsidRDefault="00545A51" w:rsidP="00E93668">
      <w:pPr>
        <w:pStyle w:val="Text"/>
      </w:pPr>
      <w:r w:rsidRPr="00975079">
        <w:rPr>
          <w:noProof/>
          <w:lang w:val="it-IT" w:eastAsia="it-IT"/>
        </w:rPr>
        <mc:AlternateContent>
          <mc:Choice Requires="wps">
            <w:drawing>
              <wp:anchor distT="0" distB="0" distL="114300" distR="114300" simplePos="0" relativeHeight="251664384" behindDoc="0" locked="0" layoutInCell="1" allowOverlap="1" wp14:anchorId="4A95DF09" wp14:editId="517395D7">
                <wp:simplePos x="0" y="0"/>
                <wp:positionH relativeFrom="margin">
                  <wp:align>left</wp:align>
                </wp:positionH>
                <wp:positionV relativeFrom="margin">
                  <wp:align>bottom</wp:align>
                </wp:positionV>
                <wp:extent cx="6572250" cy="4714875"/>
                <wp:effectExtent l="0" t="0" r="0" b="9525"/>
                <wp:wrapSquare wrapText="bothSides"/>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471487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5C692D4" w14:textId="3EED5632" w:rsidR="00545A51" w:rsidRDefault="00545A51" w:rsidP="00CC610C">
                            <w:pPr>
                              <w:pStyle w:val="Testonotaapidipagina"/>
                              <w:ind w:firstLine="0"/>
                            </w:pPr>
                            <w:r>
                              <w:rPr>
                                <w:noProof/>
                                <w:lang w:val="it-IT" w:eastAsia="it-IT"/>
                              </w:rPr>
                              <w:drawing>
                                <wp:inline distT="0" distB="0" distL="0" distR="0" wp14:anchorId="32109D59" wp14:editId="7916FCF3">
                                  <wp:extent cx="6572250" cy="39611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_BMS_SCR_vs_Gamma_def.tif"/>
                                          <pic:cNvPicPr/>
                                        </pic:nvPicPr>
                                        <pic:blipFill>
                                          <a:blip r:embed="rId8">
                                            <a:extLst>
                                              <a:ext uri="{28A0092B-C50C-407E-A947-70E740481C1C}">
                                                <a14:useLocalDpi xmlns:a14="http://schemas.microsoft.com/office/drawing/2010/main" val="0"/>
                                              </a:ext>
                                            </a:extLst>
                                          </a:blip>
                                          <a:stretch>
                                            <a:fillRect/>
                                          </a:stretch>
                                        </pic:blipFill>
                                        <pic:spPr>
                                          <a:xfrm>
                                            <a:off x="0" y="0"/>
                                            <a:ext cx="6572250" cy="3961130"/>
                                          </a:xfrm>
                                          <a:prstGeom prst="rect">
                                            <a:avLst/>
                                          </a:prstGeom>
                                        </pic:spPr>
                                      </pic:pic>
                                    </a:graphicData>
                                  </a:graphic>
                                </wp:inline>
                              </w:drawing>
                            </w:r>
                          </w:p>
                          <w:p w14:paraId="6DFBA9C0" w14:textId="11143B49" w:rsidR="00545A51" w:rsidRDefault="00545A51" w:rsidP="00CC610C">
                            <w:pPr>
                              <w:pStyle w:val="Testonotaapidipagina"/>
                              <w:ind w:firstLine="0"/>
                            </w:pPr>
                            <w:r>
                              <w:t xml:space="preserve">Fig. 1.  </w:t>
                            </w:r>
                            <w:r w:rsidRPr="00CC610C">
                              <w:t>Bayesian model selection</w:t>
                            </w:r>
                            <w:r>
                              <w:t xml:space="preserve">. </w:t>
                            </w:r>
                            <w:r w:rsidRPr="00CC610C">
                              <w:t>Random effect analysis on SCR versus Gamma model estimated with VB. For each panel, the histogram distribution describing the strength of evidence (weak, positive, strong, very strong) of the SCR model versus the Gamma model across all the pixels in A) all subjects (group analysis), B-D) three representative subjects. The white and black bars represent the percentage of pixels of SCR or Gamma model (respectively) being a more likely model than the alternative to describe the data y. From the global analysis (A), SCR resulted as much a probable model in the population as the Gamma model. This heterogeneity is evident also at the single subject level, where the Gamma model was by far the most probable in panel B, far less probable than the SCR model in panel C and equally probable in the last panel D.</w:t>
                            </w:r>
                          </w:p>
                          <w:p w14:paraId="6AAC29AD" w14:textId="77777777" w:rsidR="00545A51" w:rsidRDefault="00545A51" w:rsidP="00CC610C">
                            <w:pPr>
                              <w:pStyle w:val="Testonotaapidipagina"/>
                              <w:ind w:firstLine="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5DF09" id="Text Box 5" o:spid="_x0000_s1027" type="#_x0000_t202" style="position:absolute;left:0;text-align:left;margin-left:0;margin-top:0;width:517.5pt;height:371.25pt;z-index:251664384;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" stroked="f">
                <v:textbox inset="0,0,0,0">
                  <w:txbxContent>
                    <w:p w14:paraId="45C692D4" w14:textId="3EED5632" w:rsidR="00545A51" w:rsidRDefault="00545A51" w:rsidP="00CC610C">
                      <w:pPr>
                        <w:pStyle w:val="FootnoteText"/>
                        <w:ind w:firstLine="0"/>
                      </w:pPr>
                      <w:r>
                        <w:rPr>
                          <w:noProof/>
                          <w:lang w:val="it-IT" w:eastAsia="it-IT"/>
                        </w:rPr>
                        <w:drawing>
                          <wp:inline distT="0" distB="0" distL="0" distR="0" wp14:anchorId="32109D59" wp14:editId="7916FCF3">
                            <wp:extent cx="6572250" cy="39611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_BMS_SCR_vs_Gamma_def.tif"/>
                                    <pic:cNvPicPr/>
                                  </pic:nvPicPr>
                                  <pic:blipFill>
                                    <a:blip r:embed="rId9">
                                      <a:extLst>
                                        <a:ext uri="{28A0092B-C50C-407E-A947-70E740481C1C}">
                                          <a14:useLocalDpi xmlns:a14="http://schemas.microsoft.com/office/drawing/2010/main" val="0"/>
                                        </a:ext>
                                      </a:extLst>
                                    </a:blip>
                                    <a:stretch>
                                      <a:fillRect/>
                                    </a:stretch>
                                  </pic:blipFill>
                                  <pic:spPr>
                                    <a:xfrm>
                                      <a:off x="0" y="0"/>
                                      <a:ext cx="6572250" cy="3961130"/>
                                    </a:xfrm>
                                    <a:prstGeom prst="rect">
                                      <a:avLst/>
                                    </a:prstGeom>
                                  </pic:spPr>
                                </pic:pic>
                              </a:graphicData>
                            </a:graphic>
                          </wp:inline>
                        </w:drawing>
                      </w:r>
                    </w:p>
                    <w:p w14:paraId="6DFBA9C0" w14:textId="11143B49" w:rsidR="00545A51" w:rsidRDefault="00545A51" w:rsidP="00CC610C">
                      <w:pPr>
                        <w:pStyle w:val="FootnoteText"/>
                        <w:ind w:firstLine="0"/>
                      </w:pPr>
                      <w:r>
                        <w:t xml:space="preserve">Fig. 1.  </w:t>
                      </w:r>
                      <w:r w:rsidRPr="00CC610C">
                        <w:t>Bayesian model selection</w:t>
                      </w:r>
                      <w:r>
                        <w:t xml:space="preserve">. </w:t>
                      </w:r>
                      <w:r w:rsidRPr="00CC610C">
                        <w:t>Random effect analysis on SCR versus Gamma model estimated with VB. For each panel, the histogram distribution describing the strength of evidence (weak, positive, strong, very strong) of the SCR model versus the Gamma model across all the pixels in A) all subjects (group analysis), B-D) three representative subjects. The white and black bars represent the percentage of pixels of SCR or Gamma model (respectively) being a more likely model than the alternative to describe the data y. From the global analysis (A), SCR resulted as much a probable model in the population as the Gamma model. This heterogeneity is evident also at the single subject level, where the Gamma model was by far the most probable in panel B, far less probable than the SCR model in panel C and equally probable in the last panel D.</w:t>
                      </w:r>
                    </w:p>
                    <w:p w14:paraId="6AAC29AD" w14:textId="77777777" w:rsidR="00545A51" w:rsidRDefault="00545A51" w:rsidP="00CC610C">
                      <w:pPr>
                        <w:pStyle w:val="FootnoteText"/>
                        <w:ind w:firstLine="0"/>
                      </w:pPr>
                      <w:r>
                        <w:t xml:space="preserve"> </w:t>
                      </w:r>
                    </w:p>
                  </w:txbxContent>
                </v:textbox>
                <w10:wrap type="square" anchorx="margin" anchory="margin"/>
              </v:shape>
            </w:pict>
          </mc:Fallback>
        </mc:AlternateContent>
      </w:r>
      <w:r w:rsidR="00E93668" w:rsidRPr="00975079">
        <w:t xml:space="preserve">Since we have an unbalanced representation of the classes, the classifiers were validated using an hold-out scheme, by randomly selecting 70% of dataset as training set, but enforcing </w:t>
      </w:r>
      <w:r w:rsidR="00E93668" w:rsidRPr="00975079">
        <w:t>a balanced representation of the two classes in the training set (500 random samplings). Sensitivity, specificity and balanced accuracy (to take into account the unbalanced number of representatives for the two classes in the testing set) were used as performance indexes.</w:t>
      </w:r>
    </w:p>
    <w:p w14:paraId="59EB763E" w14:textId="66192C6D" w:rsidR="00932E1E" w:rsidRPr="00975079" w:rsidRDefault="00E93668" w:rsidP="00E93668">
      <w:pPr>
        <w:pStyle w:val="Text"/>
      </w:pPr>
      <w:r w:rsidRPr="00975079">
        <w:t>A backward feature selection was applied to discard non-informative features, and identify those more relevant for the classification.</w:t>
      </w:r>
    </w:p>
    <w:p w14:paraId="2366501B" w14:textId="7005E05C" w:rsidR="00E97B99" w:rsidRPr="00975079" w:rsidRDefault="00DD3A36" w:rsidP="0079732D">
      <w:pPr>
        <w:pStyle w:val="Titolo1"/>
        <w:jc w:val="both"/>
      </w:pPr>
      <w:r w:rsidRPr="00975079">
        <w:t>Results</w:t>
      </w:r>
    </w:p>
    <w:p w14:paraId="74642D3A" w14:textId="7F9A73CF" w:rsidR="00E97B99" w:rsidRPr="00975079" w:rsidRDefault="00DD3A36" w:rsidP="0079732D">
      <w:pPr>
        <w:pStyle w:val="Titolo2"/>
        <w:jc w:val="both"/>
      </w:pPr>
      <w:r w:rsidRPr="00975079">
        <w:t xml:space="preserve">Comparison </w:t>
      </w:r>
      <w:r w:rsidR="00350E78" w:rsidRPr="00975079">
        <w:t>Gamma-variate</w:t>
      </w:r>
      <w:r w:rsidRPr="00975079">
        <w:t xml:space="preserve"> and SCR model</w:t>
      </w:r>
    </w:p>
    <w:p w14:paraId="79B09D5C" w14:textId="59C91883" w:rsidR="00DD3A36" w:rsidRPr="00975079" w:rsidRDefault="00DD3A36" w:rsidP="0079732D">
      <w:pPr>
        <w:pStyle w:val="Text"/>
      </w:pPr>
      <w:r w:rsidRPr="00975079">
        <w:t>Gamma-variate model solved with VB took 0.0</w:t>
      </w:r>
      <w:r w:rsidR="0047677E" w:rsidRPr="00975079">
        <w:t>6 ± 0.02</w:t>
      </w:r>
      <w:r w:rsidRPr="00975079">
        <w:t xml:space="preserve"> seconds per pixel, for an average of </w:t>
      </w:r>
      <w:r w:rsidR="00DF513B" w:rsidRPr="00975079">
        <w:t>1.8</w:t>
      </w:r>
      <w:r w:rsidRPr="00975079">
        <w:t xml:space="preserve"> minutes analysis per subject. The </w:t>
      </w:r>
      <w:r w:rsidR="008E0CA5" w:rsidRPr="00975079">
        <w:t>median</w:t>
      </w:r>
      <w:r w:rsidRPr="00975079">
        <w:t xml:space="preserve"> failure rate for Gamma-variate model across subjects was </w:t>
      </w:r>
      <w:r w:rsidR="00DF513B" w:rsidRPr="00975079">
        <w:t>9% ± 1</w:t>
      </w:r>
      <w:r w:rsidR="008E0CA5" w:rsidRPr="00975079">
        <w:t>4</w:t>
      </w:r>
      <w:r w:rsidRPr="00975079">
        <w:t xml:space="preserve">%, among which </w:t>
      </w:r>
      <w:r w:rsidR="00DF513B" w:rsidRPr="00975079">
        <w:t>6</w:t>
      </w:r>
      <w:r w:rsidRPr="00975079">
        <w:t xml:space="preserve">% of outliers were due to pixels where </w:t>
      </w:r>
      <m:oMath>
        <m:sSub>
          <m:sSubPr>
            <m:ctrlPr>
              <w:rPr>
                <w:rFonts w:ascii="Cambria Math" w:hAnsi="Cambria Math" w:cs="Arial"/>
                <w:i/>
                <w:szCs w:val="24"/>
              </w:rPr>
            </m:ctrlPr>
          </m:sSubPr>
          <m:e>
            <m:r>
              <w:rPr>
                <w:rFonts w:ascii="Cambria Math" w:hAnsi="Cambria Math" w:cs="Arial"/>
                <w:szCs w:val="24"/>
              </w:rPr>
              <m:t>β</m:t>
            </m:r>
          </m:e>
          <m:sub>
            <m:r>
              <w:rPr>
                <w:rFonts w:ascii="Cambria Math" w:hAnsi="Cambria Math" w:cs="Arial"/>
                <w:szCs w:val="24"/>
              </w:rPr>
              <m:t>0</m:t>
            </m:r>
          </m:sub>
        </m:sSub>
      </m:oMath>
      <w:r w:rsidRPr="00975079">
        <w:t xml:space="preserve"> was estimated unrealistically high (&gt; 1000), </w:t>
      </w:r>
      <w:r w:rsidR="0038363C" w:rsidRPr="00975079">
        <w:t>indicating</w:t>
      </w:r>
      <w:r w:rsidRPr="00975079">
        <w:t xml:space="preserve"> a very slow washout of the kinetics.</w:t>
      </w:r>
      <w:r w:rsidR="008E0CA5" w:rsidRPr="00975079">
        <w:t xml:space="preserve"> </w:t>
      </w:r>
      <w:r w:rsidRPr="00975079">
        <w:t>The computational time required by VB to solve a more complex model such SCR did not increase</w:t>
      </w:r>
      <w:r w:rsidR="0038363C" w:rsidRPr="00975079">
        <w:t xml:space="preserve"> significantly</w:t>
      </w:r>
      <w:r w:rsidRPr="00975079">
        <w:t xml:space="preserve"> (</w:t>
      </w:r>
      <w:r w:rsidR="006C7E61" w:rsidRPr="00975079">
        <w:t xml:space="preserve">elapsed time, </w:t>
      </w:r>
      <w:r w:rsidR="00DF513B" w:rsidRPr="00975079">
        <w:t>0.</w:t>
      </w:r>
      <w:r w:rsidRPr="00975079">
        <w:t>0</w:t>
      </w:r>
      <w:r w:rsidR="00182678" w:rsidRPr="00975079">
        <w:t>7</w:t>
      </w:r>
      <w:r w:rsidRPr="00975079">
        <w:t xml:space="preserve"> ± 0.0</w:t>
      </w:r>
      <w:r w:rsidR="00DF513B" w:rsidRPr="00975079">
        <w:t>3</w:t>
      </w:r>
      <w:r w:rsidRPr="00975079">
        <w:t xml:space="preserve"> seconds per pixel, for an average of </w:t>
      </w:r>
      <w:r w:rsidR="00182678" w:rsidRPr="00975079">
        <w:t>1.8</w:t>
      </w:r>
      <w:r w:rsidRPr="00975079">
        <w:t xml:space="preserve"> minutes per subject). The </w:t>
      </w:r>
      <w:r w:rsidR="002019F4" w:rsidRPr="00975079">
        <w:t>median</w:t>
      </w:r>
      <w:r w:rsidRPr="00975079">
        <w:t xml:space="preserve"> failure rate was </w:t>
      </w:r>
      <w:r w:rsidR="00182678" w:rsidRPr="00975079">
        <w:t>slightly higher</w:t>
      </w:r>
      <w:r w:rsidRPr="00975079">
        <w:t xml:space="preserve"> for SCR model</w:t>
      </w:r>
      <w:r w:rsidR="00FD6CBE" w:rsidRPr="00975079">
        <w:t xml:space="preserve"> (</w:t>
      </w:r>
      <w:r w:rsidR="00DF513B" w:rsidRPr="00975079">
        <w:t>1</w:t>
      </w:r>
      <w:r w:rsidR="00182678" w:rsidRPr="00975079">
        <w:t>6</w:t>
      </w:r>
      <w:r w:rsidRPr="00975079">
        <w:t xml:space="preserve">% ± </w:t>
      </w:r>
      <w:r w:rsidR="00182678" w:rsidRPr="00975079">
        <w:t>21</w:t>
      </w:r>
      <w:r w:rsidRPr="00975079">
        <w:t>%</w:t>
      </w:r>
      <w:r w:rsidR="0038363C" w:rsidRPr="00975079">
        <w:t xml:space="preserve">) </w:t>
      </w:r>
      <w:r w:rsidRPr="00975079">
        <w:t>mostly due to pixels were the algorithm did not converge to a reliable solution.</w:t>
      </w:r>
      <w:r w:rsidR="00DC2750" w:rsidRPr="00975079">
        <w:t xml:space="preserve"> </w:t>
      </w:r>
    </w:p>
    <w:p w14:paraId="75DACA87" w14:textId="0D574831" w:rsidR="00DC2750" w:rsidRPr="00975079" w:rsidRDefault="00DC2750" w:rsidP="0079732D">
      <w:pPr>
        <w:pStyle w:val="Text"/>
      </w:pPr>
      <w:r w:rsidRPr="00975079">
        <w:t xml:space="preserve">When we compared Gamma-variate and SCR model performance in the group analysis (i.e. considering all the pixels </w:t>
      </w:r>
      <w:r w:rsidRPr="00975079">
        <w:lastRenderedPageBreak/>
        <w:t xml:space="preserve">together), there was positive evidence for SCR to be the model of choice in </w:t>
      </w:r>
      <w:r w:rsidR="00182678" w:rsidRPr="00975079">
        <w:t>5</w:t>
      </w:r>
      <w:r w:rsidR="00DF513B" w:rsidRPr="00975079">
        <w:t>1</w:t>
      </w:r>
      <w:r w:rsidRPr="00975079">
        <w:t xml:space="preserve">% of pixels (Fig. 1A). </w:t>
      </w:r>
      <w:r w:rsidR="0038363C" w:rsidRPr="00975079">
        <w:t xml:space="preserve">The </w:t>
      </w:r>
      <w:r w:rsidRPr="00975079">
        <w:t xml:space="preserve">Gamma-variate model probability was important as well, with positive evidence in </w:t>
      </w:r>
      <w:r w:rsidR="00545A51" w:rsidRPr="00975079">
        <w:rPr>
          <w:noProof/>
          <w:lang w:val="it-IT" w:eastAsia="it-IT"/>
        </w:rPr>
        <mc:AlternateContent>
          <mc:Choice Requires="wps">
            <w:drawing>
              <wp:anchor distT="0" distB="0" distL="114300" distR="114300" simplePos="0" relativeHeight="251670528" behindDoc="0" locked="0" layoutInCell="1" allowOverlap="1" wp14:anchorId="4E5333E7" wp14:editId="0BD3A2AA">
                <wp:simplePos x="0" y="0"/>
                <wp:positionH relativeFrom="margin">
                  <wp:align>right</wp:align>
                </wp:positionH>
                <wp:positionV relativeFrom="margin">
                  <wp:align>bottom</wp:align>
                </wp:positionV>
                <wp:extent cx="3190875" cy="8143875"/>
                <wp:effectExtent l="0" t="0" r="9525" b="9525"/>
                <wp:wrapSquare wrapText="bothSides"/>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814387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1CB135" w14:textId="1690437B" w:rsidR="00545A51" w:rsidRDefault="00545A51" w:rsidP="0087056B">
                            <w:pPr>
                              <w:pStyle w:val="Testonotaapidipagina"/>
                              <w:ind w:firstLine="0"/>
                              <w:jc w:val="center"/>
                            </w:pPr>
                            <w:r>
                              <w:rPr>
                                <w:noProof/>
                                <w:lang w:val="it-IT" w:eastAsia="it-IT"/>
                              </w:rPr>
                              <w:drawing>
                                <wp:inline distT="0" distB="0" distL="0" distR="0" wp14:anchorId="377975F0" wp14:editId="77C20535">
                                  <wp:extent cx="3116911" cy="682688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3_parametricARD_v2.tif"/>
                                          <pic:cNvPicPr/>
                                        </pic:nvPicPr>
                                        <pic:blipFill rotWithShape="1">
                                          <a:blip r:embed="rId10">
                                            <a:extLst>
                                              <a:ext uri="{28A0092B-C50C-407E-A947-70E740481C1C}">
                                                <a14:useLocalDpi xmlns:a14="http://schemas.microsoft.com/office/drawing/2010/main" val="0"/>
                                              </a:ext>
                                            </a:extLst>
                                          </a:blip>
                                          <a:srcRect r="2318"/>
                                          <a:stretch/>
                                        </pic:blipFill>
                                        <pic:spPr bwMode="auto">
                                          <a:xfrm>
                                            <a:off x="0" y="0"/>
                                            <a:ext cx="3116911" cy="6826885"/>
                                          </a:xfrm>
                                          <a:prstGeom prst="rect">
                                            <a:avLst/>
                                          </a:prstGeom>
                                          <a:ln>
                                            <a:noFill/>
                                          </a:ln>
                                          <a:extLst>
                                            <a:ext uri="{53640926-AAD7-44D8-BBD7-CCE9431645EC}">
                                              <a14:shadowObscured xmlns:a14="http://schemas.microsoft.com/office/drawing/2010/main"/>
                                            </a:ext>
                                          </a:extLst>
                                        </pic:spPr>
                                      </pic:pic>
                                    </a:graphicData>
                                  </a:graphic>
                                </wp:inline>
                              </w:drawing>
                            </w:r>
                          </w:p>
                          <w:p w14:paraId="0EC72DFA" w14:textId="371B0ECF" w:rsidR="00545A51" w:rsidRDefault="00545A51" w:rsidP="00347F82">
                            <w:pPr>
                              <w:pStyle w:val="Testonotaapidipagina"/>
                              <w:ind w:firstLine="0"/>
                            </w:pPr>
                            <w:r>
                              <w:t xml:space="preserve">Fig. 3.  </w:t>
                            </w:r>
                            <w:r w:rsidRPr="009F64F6">
                              <w:t xml:space="preserve">Heterogeneity of kinetic patterns and model complexity map in a </w:t>
                            </w:r>
                            <w:r w:rsidRPr="00D62618">
                              <w:rPr>
                                <w:color w:val="000000" w:themeColor="text1"/>
                              </w:rPr>
                              <w:t xml:space="preserve">representative RA-like PSA subject. A) Cluster map obtained with k-means partitioning method (Euclidean distance, six clusters) shows heterogeneity of perfusion kinetics. B) Model complexity map (1, green, where the best model is the single Gamma and 2, red, where the best model is the SCR). Note that the model complexity does not simply overlap </w:t>
                            </w:r>
                            <w:r w:rsidRPr="009F64F6">
                              <w:t>cluster boundaries. C) Map of the amplitude of the irreversible component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t>, [a.u.]</w:t>
                            </w:r>
                            <w:r w:rsidRPr="009F64F6">
                              <w:t xml:space="preserve">). Even if the SCR model is the model of choice in most of the synovia for this subject, the value of the irreversible amplitude is not homogeneous in the region of interest, but shows a gradient independent from the model complexity and the clustering boundaries. </w:t>
                            </w:r>
                            <w:r w:rsidRPr="00922A1E">
                              <w:t xml:space="preserve"> </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333E7" id="_x0000_s1028" type="#_x0000_t202" style="position:absolute;left:0;text-align:left;margin-left:200.05pt;margin-top:0;width:251.25pt;height:641.25pt;z-index:251670528;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" stroked="f">
                <v:textbox inset="0,0,0,0">
                  <w:txbxContent>
                    <w:p w14:paraId="531CB135" w14:textId="1690437B" w:rsidR="00545A51" w:rsidRDefault="00545A51" w:rsidP="0087056B">
                      <w:pPr>
                        <w:pStyle w:val="FootnoteText"/>
                        <w:ind w:firstLine="0"/>
                        <w:jc w:val="center"/>
                      </w:pPr>
                      <w:r>
                        <w:rPr>
                          <w:noProof/>
                          <w:lang w:val="it-IT" w:eastAsia="it-IT"/>
                        </w:rPr>
                        <w:drawing>
                          <wp:inline distT="0" distB="0" distL="0" distR="0" wp14:anchorId="377975F0" wp14:editId="77C20535">
                            <wp:extent cx="3116911" cy="682688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3_parametricARD_v2.tif"/>
                                    <pic:cNvPicPr/>
                                  </pic:nvPicPr>
                                  <pic:blipFill rotWithShape="1">
                                    <a:blip r:embed="rId11">
                                      <a:extLst>
                                        <a:ext uri="{28A0092B-C50C-407E-A947-70E740481C1C}">
                                          <a14:useLocalDpi xmlns:a14="http://schemas.microsoft.com/office/drawing/2010/main" val="0"/>
                                        </a:ext>
                                      </a:extLst>
                                    </a:blip>
                                    <a:srcRect r="2318"/>
                                    <a:stretch/>
                                  </pic:blipFill>
                                  <pic:spPr bwMode="auto">
                                    <a:xfrm>
                                      <a:off x="0" y="0"/>
                                      <a:ext cx="3116911" cy="6826885"/>
                                    </a:xfrm>
                                    <a:prstGeom prst="rect">
                                      <a:avLst/>
                                    </a:prstGeom>
                                    <a:ln>
                                      <a:noFill/>
                                    </a:ln>
                                    <a:extLst>
                                      <a:ext uri="{53640926-AAD7-44D8-BBD7-CCE9431645EC}">
                                        <a14:shadowObscured xmlns:a14="http://schemas.microsoft.com/office/drawing/2010/main"/>
                                      </a:ext>
                                    </a:extLst>
                                  </pic:spPr>
                                </pic:pic>
                              </a:graphicData>
                            </a:graphic>
                          </wp:inline>
                        </w:drawing>
                      </w:r>
                    </w:p>
                    <w:p w14:paraId="0EC72DFA" w14:textId="371B0ECF" w:rsidR="00545A51" w:rsidRDefault="00545A51" w:rsidP="00347F82">
                      <w:pPr>
                        <w:pStyle w:val="FootnoteText"/>
                        <w:ind w:firstLine="0"/>
                      </w:pPr>
                      <w:r>
                        <w:t xml:space="preserve">Fig. 3.  </w:t>
                      </w:r>
                      <w:r w:rsidRPr="009F64F6">
                        <w:t xml:space="preserve">Heterogeneity of kinetic patterns and model complexity map in a </w:t>
                      </w:r>
                      <w:r w:rsidRPr="00D62618">
                        <w:rPr>
                          <w:color w:val="000000" w:themeColor="text1"/>
                        </w:rPr>
                        <w:t xml:space="preserve">representative RA-like PSA subject. A) Cluster map obtained with k-means partitioning method (Euclidean distance, six clusters) shows heterogeneity of perfusion kinetics. B) Model complexity map (1, green, where the best model is the single Gamma and 2, red, where the best model is the SCR). Note that the model complexity does not simply overlap </w:t>
                      </w:r>
                      <w:r w:rsidRPr="009F64F6">
                        <w:t>cluster boundaries. C) Map of the amplitude of the irreversible component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t>, [a.u.]</w:t>
                      </w:r>
                      <w:r w:rsidRPr="009F64F6">
                        <w:t xml:space="preserve">). Even if the SCR model is the model of choice in most of the synovia for this subject, the value of the irreversible amplitude is not homogeneous in the region of interest, but shows a gradient independent from the model complexity and the clustering boundaries. </w:t>
                      </w:r>
                      <w:r w:rsidRPr="00922A1E">
                        <w:t xml:space="preserve"> </w:t>
                      </w:r>
                      <w:r>
                        <w:t xml:space="preserve"> </w:t>
                      </w:r>
                    </w:p>
                  </w:txbxContent>
                </v:textbox>
                <w10:wrap type="square" anchorx="margin" anchory="margin"/>
              </v:shape>
            </w:pict>
          </mc:Fallback>
        </mc:AlternateContent>
      </w:r>
      <w:r w:rsidR="00182678" w:rsidRPr="00975079">
        <w:t>44</w:t>
      </w:r>
      <w:r w:rsidRPr="00975079">
        <w:t xml:space="preserve">% of pixels. This result held also at the single subject level, where </w:t>
      </w:r>
      <w:r w:rsidR="00CA5C0B" w:rsidRPr="00975079">
        <w:t xml:space="preserve">all possible combinations were found: in some patients, </w:t>
      </w:r>
      <w:r w:rsidR="00350E78" w:rsidRPr="00975079">
        <w:t xml:space="preserve">Gamma-variate </w:t>
      </w:r>
      <w:r w:rsidRPr="00975079">
        <w:t xml:space="preserve">model </w:t>
      </w:r>
      <w:r w:rsidR="00CA5C0B" w:rsidRPr="00975079">
        <w:t>was</w:t>
      </w:r>
      <w:r w:rsidRPr="00975079">
        <w:t xml:space="preserve"> more probable </w:t>
      </w:r>
      <w:r w:rsidR="00CA5C0B" w:rsidRPr="00975079">
        <w:t>than SCR model, in others it was</w:t>
      </w:r>
      <w:r w:rsidRPr="00975079">
        <w:t xml:space="preserve"> far less probable than SCR model</w:t>
      </w:r>
      <w:r w:rsidR="00CA5C0B" w:rsidRPr="00975079">
        <w:t>, in other cases</w:t>
      </w:r>
      <w:r w:rsidRPr="00975079">
        <w:t xml:space="preserve"> </w:t>
      </w:r>
      <w:r w:rsidR="00CA5C0B" w:rsidRPr="00975079">
        <w:t>it was</w:t>
      </w:r>
      <w:r w:rsidRPr="00975079">
        <w:t xml:space="preserve"> equally probable</w:t>
      </w:r>
      <w:r w:rsidR="00CA5C0B" w:rsidRPr="00975079">
        <w:t>,</w:t>
      </w:r>
      <w:r w:rsidRPr="00975079">
        <w:t xml:space="preserve"> depending on the subject considered (Fig. 1B-D).</w:t>
      </w:r>
      <w:r w:rsidR="00612C6F" w:rsidRPr="00975079">
        <w:t xml:space="preserve"> </w:t>
      </w:r>
    </w:p>
    <w:p w14:paraId="6F68DA00" w14:textId="77A6CC38" w:rsidR="001E20A6" w:rsidRPr="00975079" w:rsidRDefault="006B01AC" w:rsidP="001E20A6">
      <w:pPr>
        <w:pStyle w:val="Text"/>
      </w:pPr>
      <w:r w:rsidRPr="00975079">
        <w:rPr>
          <w:noProof/>
          <w:lang w:val="en-GB" w:eastAsia="it-IT"/>
        </w:rPr>
        <w:t>These</w:t>
      </w:r>
      <w:r w:rsidR="001E20A6" w:rsidRPr="00975079">
        <w:t xml:space="preserve"> results supported the implementation of ARD, </w:t>
      </w:r>
      <w:r w:rsidR="0038363C" w:rsidRPr="00975079">
        <w:t xml:space="preserve">to automatically infer </w:t>
      </w:r>
      <w:r w:rsidR="001E20A6" w:rsidRPr="00975079">
        <w:t>the model complexity from the data.</w:t>
      </w:r>
    </w:p>
    <w:p w14:paraId="2480185B" w14:textId="1A2788A6" w:rsidR="001E20A6" w:rsidRPr="00975079" w:rsidRDefault="001E20A6" w:rsidP="001E20A6">
      <w:pPr>
        <w:pStyle w:val="Titolo2"/>
        <w:jc w:val="both"/>
      </w:pPr>
      <w:r w:rsidRPr="00975079">
        <w:t>On-line model selection with ARD</w:t>
      </w:r>
    </w:p>
    <w:p w14:paraId="61331EB8" w14:textId="063D2228" w:rsidR="001E20A6" w:rsidRPr="00975079" w:rsidRDefault="001E20A6" w:rsidP="001E20A6">
      <w:pPr>
        <w:pStyle w:val="Text"/>
      </w:pPr>
      <w:r w:rsidRPr="00975079">
        <w:t>VB including ARD took 0.</w:t>
      </w:r>
      <w:r w:rsidR="00DF513B" w:rsidRPr="00975079">
        <w:t>08 ± 0.03</w:t>
      </w:r>
      <w:r w:rsidRPr="00975079">
        <w:t xml:space="preserve"> seconds per pixel</w:t>
      </w:r>
      <w:r w:rsidR="006C7E61" w:rsidRPr="00975079">
        <w:t xml:space="preserve"> (median ± median absolute deviation, MAD)</w:t>
      </w:r>
      <w:r w:rsidRPr="00975079">
        <w:t xml:space="preserve">, for an average of </w:t>
      </w:r>
      <w:r w:rsidR="00DF513B" w:rsidRPr="00975079">
        <w:t>2.</w:t>
      </w:r>
      <w:r w:rsidR="00182678" w:rsidRPr="00975079">
        <w:t>2</w:t>
      </w:r>
      <w:r w:rsidRPr="00975079">
        <w:t xml:space="preserve"> minutes analysis per subject. The median failure rate across subjects for VB with ARD was </w:t>
      </w:r>
      <w:r w:rsidR="00DF513B" w:rsidRPr="00975079">
        <w:t>1</w:t>
      </w:r>
      <w:r w:rsidR="00182678" w:rsidRPr="00975079">
        <w:t>7</w:t>
      </w:r>
      <w:r w:rsidRPr="00975079">
        <w:t xml:space="preserve">% ± </w:t>
      </w:r>
      <w:r w:rsidR="00DF513B" w:rsidRPr="00975079">
        <w:t>17</w:t>
      </w:r>
      <w:r w:rsidRPr="00975079">
        <w:t>%.</w:t>
      </w:r>
    </w:p>
    <w:p w14:paraId="141CD698" w14:textId="6D2D032A" w:rsidR="001E20A6" w:rsidRPr="00975079" w:rsidRDefault="001E20A6" w:rsidP="001E20A6">
      <w:pPr>
        <w:pStyle w:val="Text"/>
      </w:pPr>
      <w:r w:rsidRPr="00975079">
        <w:t xml:space="preserve">When we applied VB including ARD to describe CEUS kinetics, the algorithm selected the SCR model in </w:t>
      </w:r>
      <w:r w:rsidR="00182678" w:rsidRPr="00975079">
        <w:t>47</w:t>
      </w:r>
      <w:r w:rsidRPr="00975079">
        <w:t xml:space="preserve">% of pixels, while the Gamma-variate was </w:t>
      </w:r>
      <w:r w:rsidR="006B01AC" w:rsidRPr="00975079">
        <w:t>chosen</w:t>
      </w:r>
      <w:r w:rsidRPr="00975079">
        <w:t xml:space="preserve"> in the other </w:t>
      </w:r>
      <w:r w:rsidR="00182678" w:rsidRPr="00975079">
        <w:t>53</w:t>
      </w:r>
      <w:r w:rsidRPr="00975079">
        <w:t xml:space="preserve">%, confirming the results of the Bayesian model selection. </w:t>
      </w:r>
    </w:p>
    <w:p w14:paraId="0D89D29E" w14:textId="06855077" w:rsidR="001E20A6" w:rsidRPr="00975079" w:rsidRDefault="00545A51" w:rsidP="001E20A6">
      <w:pPr>
        <w:pStyle w:val="Text"/>
      </w:pPr>
      <w:r w:rsidRPr="00975079">
        <w:rPr>
          <w:noProof/>
          <w:lang w:val="it-IT" w:eastAsia="it-IT"/>
        </w:rPr>
        <mc:AlternateContent>
          <mc:Choice Requires="wps">
            <w:drawing>
              <wp:anchor distT="0" distB="0" distL="114300" distR="114300" simplePos="0" relativeHeight="251678720" behindDoc="0" locked="0" layoutInCell="1" allowOverlap="1" wp14:anchorId="0F3418AA" wp14:editId="17338C47">
                <wp:simplePos x="0" y="0"/>
                <wp:positionH relativeFrom="column">
                  <wp:align>right</wp:align>
                </wp:positionH>
                <wp:positionV relativeFrom="margin">
                  <wp:align>bottom</wp:align>
                </wp:positionV>
                <wp:extent cx="3195955" cy="4412615"/>
                <wp:effectExtent l="0" t="0" r="4445" b="6985"/>
                <wp:wrapSquare wrapText="bothSides"/>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44126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E5B9E9F" w14:textId="543A4E25" w:rsidR="00545A51" w:rsidRDefault="00545A51" w:rsidP="001E20A6">
                            <w:pPr>
                              <w:pStyle w:val="Testonotaapidipagina"/>
                              <w:ind w:firstLine="0"/>
                            </w:pPr>
                            <w:r>
                              <w:rPr>
                                <w:noProof/>
                                <w:lang w:val="it-IT" w:eastAsia="it-IT"/>
                              </w:rPr>
                              <w:drawing>
                                <wp:inline distT="0" distB="0" distL="0" distR="0" wp14:anchorId="5BD4D31B" wp14:editId="71A78FDB">
                                  <wp:extent cx="3195955" cy="3058160"/>
                                  <wp:effectExtent l="0" t="0" r="444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2_voxelfit.tif"/>
                                          <pic:cNvPicPr/>
                                        </pic:nvPicPr>
                                        <pic:blipFill>
                                          <a:blip r:embed="rId12">
                                            <a:extLst>
                                              <a:ext uri="{28A0092B-C50C-407E-A947-70E740481C1C}">
                                                <a14:useLocalDpi xmlns:a14="http://schemas.microsoft.com/office/drawing/2010/main" val="0"/>
                                              </a:ext>
                                            </a:extLst>
                                          </a:blip>
                                          <a:stretch>
                                            <a:fillRect/>
                                          </a:stretch>
                                        </pic:blipFill>
                                        <pic:spPr>
                                          <a:xfrm>
                                            <a:off x="0" y="0"/>
                                            <a:ext cx="3195955" cy="3058160"/>
                                          </a:xfrm>
                                          <a:prstGeom prst="rect">
                                            <a:avLst/>
                                          </a:prstGeom>
                                        </pic:spPr>
                                      </pic:pic>
                                    </a:graphicData>
                                  </a:graphic>
                                </wp:inline>
                              </w:drawing>
                            </w:r>
                          </w:p>
                          <w:p w14:paraId="6BE0F016" w14:textId="7BEA64B5" w:rsidR="00545A51" w:rsidRPr="00256A9F" w:rsidRDefault="00545A51" w:rsidP="001E20A6">
                            <w:pPr>
                              <w:pStyle w:val="Testonotaapidipagina"/>
                              <w:ind w:firstLine="0"/>
                            </w:pPr>
                            <w:r w:rsidRPr="00D62618">
                              <w:rPr>
                                <w:color w:val="000000" w:themeColor="text1"/>
                              </w:rPr>
                              <w:t xml:space="preserve">Fig. 2.  Gamma and SCR model fit at region and pixel level. Gamma (solid green line) and SCR model fits (solid red line) are compared in a cluster time intensity curve of a representative subject (panel A). The two components of SCR model (dotted and dashed orange lines) are also reported, representing the fastest flow and the slowest passage of contrast (apparent trapping) respectively. For this cluster, region-wise data are best described by SCR. In panel B and C two single representative pixel curves of the same cluster are reported. Despite belonging to the same region, different models </w:t>
                            </w:r>
                            <w:r w:rsidRPr="00922A1E">
                              <w:t>are identified: Gamma model for the pixel of panel B (solid green line) and SCR for the pixel of panel C (solid red line for the model fit, dotted and dashed lines for the single components</w:t>
                            </w:r>
                            <w:r w:rsidRPr="00256A9F">
                              <w:t xml:space="preserve">, representing the faster flow and the slowest passage of contrast.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418AA" id="_x0000_s1029" type="#_x0000_t202" style="position:absolute;left:0;text-align:left;margin-left:200.45pt;margin-top:0;width:251.65pt;height:347.45pt;z-index:251678720;visibility:visible;mso-wrap-style:square;mso-width-percent:0;mso-height-percent:0;mso-wrap-distance-left:9pt;mso-wrap-distance-top:0;mso-wrap-distance-right:9pt;mso-wrap-distance-bottom:0;mso-position-horizontal:right;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" stroked="f">
                <v:textbox inset="0,0,0,0">
                  <w:txbxContent>
                    <w:p w14:paraId="0E5B9E9F" w14:textId="543A4E25" w:rsidR="00545A51" w:rsidRDefault="00545A51" w:rsidP="001E20A6">
                      <w:pPr>
                        <w:pStyle w:val="FootnoteText"/>
                        <w:ind w:firstLine="0"/>
                      </w:pPr>
                      <w:r>
                        <w:rPr>
                          <w:noProof/>
                          <w:lang w:val="it-IT" w:eastAsia="it-IT"/>
                        </w:rPr>
                        <w:drawing>
                          <wp:inline distT="0" distB="0" distL="0" distR="0" wp14:anchorId="5BD4D31B" wp14:editId="71A78FDB">
                            <wp:extent cx="3195955" cy="3058160"/>
                            <wp:effectExtent l="0" t="0" r="444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2_voxelfit.tif"/>
                                    <pic:cNvPicPr/>
                                  </pic:nvPicPr>
                                  <pic:blipFill>
                                    <a:blip r:embed="rId13">
                                      <a:extLst>
                                        <a:ext uri="{28A0092B-C50C-407E-A947-70E740481C1C}">
                                          <a14:useLocalDpi xmlns:a14="http://schemas.microsoft.com/office/drawing/2010/main" val="0"/>
                                        </a:ext>
                                      </a:extLst>
                                    </a:blip>
                                    <a:stretch>
                                      <a:fillRect/>
                                    </a:stretch>
                                  </pic:blipFill>
                                  <pic:spPr>
                                    <a:xfrm>
                                      <a:off x="0" y="0"/>
                                      <a:ext cx="3195955" cy="3058160"/>
                                    </a:xfrm>
                                    <a:prstGeom prst="rect">
                                      <a:avLst/>
                                    </a:prstGeom>
                                  </pic:spPr>
                                </pic:pic>
                              </a:graphicData>
                            </a:graphic>
                          </wp:inline>
                        </w:drawing>
                      </w:r>
                    </w:p>
                    <w:p w14:paraId="6BE0F016" w14:textId="7BEA64B5" w:rsidR="00545A51" w:rsidRPr="00256A9F" w:rsidRDefault="00545A51" w:rsidP="001E20A6">
                      <w:pPr>
                        <w:pStyle w:val="FootnoteText"/>
                        <w:ind w:firstLine="0"/>
                      </w:pPr>
                      <w:r w:rsidRPr="00D62618">
                        <w:rPr>
                          <w:color w:val="000000" w:themeColor="text1"/>
                        </w:rPr>
                        <w:t xml:space="preserve">Fig. 2.  Gamma and SCR model fit at region and pixel level. Gamma (solid green line) and SCR model fits (solid red line) are compared in a cluster time intensity curve of a representative subject (panel A). The two components of SCR model (dotted and dashed orange lines) are also reported, representing the fastest flow and the slowest passage of contrast (apparent trapping) respectively. For this cluster, region-wise data are best described by SCR. In panel B and C two single representative pixel curves of the same cluster are reported. Despite belonging to the same region, different models </w:t>
                      </w:r>
                      <w:r w:rsidRPr="00922A1E">
                        <w:t>are identified: Gamma model for the pixel of panel B (solid green line) and SCR for the pixel of panel C (solid red line for the model fit, dotted and dashed lines for the single components</w:t>
                      </w:r>
                      <w:r w:rsidRPr="00256A9F">
                        <w:t xml:space="preserve">, representing the faster flow and the slowest passage of contrast.  </w:t>
                      </w:r>
                    </w:p>
                  </w:txbxContent>
                </v:textbox>
                <w10:wrap type="square" anchory="margin"/>
              </v:shape>
            </w:pict>
          </mc:Fallback>
        </mc:AlternateContent>
      </w:r>
      <w:r w:rsidR="001E20A6" w:rsidRPr="00975079">
        <w:t xml:space="preserve">When we analyzed separately the different disease types in a group analysis, the algorithm identified </w:t>
      </w:r>
      <w:r w:rsidR="00350E78" w:rsidRPr="00975079">
        <w:t>Gamma-variate</w:t>
      </w:r>
      <w:r w:rsidR="001E20A6" w:rsidRPr="00975079">
        <w:t xml:space="preserve"> and SCR model almost in the same percentage of pixels for RA, dpPSA and CTD. Interestingly, </w:t>
      </w:r>
      <w:r w:rsidR="00350E78" w:rsidRPr="00975079">
        <w:t>Gamma-variate</w:t>
      </w:r>
      <w:r w:rsidR="001E20A6" w:rsidRPr="00975079">
        <w:t xml:space="preserve"> was identified by ARD as the model of choice in </w:t>
      </w:r>
      <w:r w:rsidR="00DF513B" w:rsidRPr="00975079">
        <w:t>8</w:t>
      </w:r>
      <w:r w:rsidR="00182678" w:rsidRPr="00975079">
        <w:t>6</w:t>
      </w:r>
      <w:r w:rsidR="001E20A6" w:rsidRPr="00975079">
        <w:t xml:space="preserve">% of pixels for uSPA and SCR was the best model in </w:t>
      </w:r>
      <w:r w:rsidR="00DF513B" w:rsidRPr="00975079">
        <w:t>61</w:t>
      </w:r>
      <w:r w:rsidR="001E20A6" w:rsidRPr="00975079">
        <w:t xml:space="preserve">% of pixels </w:t>
      </w:r>
      <w:r w:rsidR="006C7E61" w:rsidRPr="00975079">
        <w:t>in</w:t>
      </w:r>
      <w:r w:rsidR="001E20A6" w:rsidRPr="00975079">
        <w:t xml:space="preserve"> RA-like </w:t>
      </w:r>
      <w:r w:rsidR="006C7E61" w:rsidRPr="00975079">
        <w:t>patients</w:t>
      </w:r>
      <w:r w:rsidR="001E20A6" w:rsidRPr="00975079">
        <w:t xml:space="preserve">. </w:t>
      </w:r>
      <w:r w:rsidR="000D5E95" w:rsidRPr="00975079">
        <w:t xml:space="preserve">Despite the slow component was found thoroughly in all </w:t>
      </w:r>
      <w:r w:rsidR="000D5E95" w:rsidRPr="00975079">
        <w:t xml:space="preserve">patients, its amplitude changed significantly across different types of arthritis. </w:t>
      </w:r>
      <w:r w:rsidR="004F5452" w:rsidRPr="00975079">
        <w:t>Mean v</w:t>
      </w:r>
      <w:r w:rsidR="000D5E95" w:rsidRPr="00975079">
        <w:t xml:space="preserve">alues of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000D5E95" w:rsidRPr="00975079">
        <w:t xml:space="preserve"> and its variability were statistically higher in RA patients</w:t>
      </w:r>
      <w:r w:rsidR="00947878" w:rsidRPr="00975079">
        <w:t xml:space="preserve"> (1</w:t>
      </w:r>
      <w:r w:rsidR="00EB4275" w:rsidRPr="00975079">
        <w:t>68</w:t>
      </w:r>
      <w:r w:rsidR="00947878" w:rsidRPr="00975079">
        <w:t>% increase in mean, p</w:t>
      </w:r>
      <w:r w:rsidR="000D5E95" w:rsidRPr="00975079">
        <w:t xml:space="preserve"> = 0.</w:t>
      </w:r>
      <w:r w:rsidR="00EB4275" w:rsidRPr="00975079">
        <w:t>002</w:t>
      </w:r>
      <w:r w:rsidR="000B077A" w:rsidRPr="00975079">
        <w:t xml:space="preserve"> and </w:t>
      </w:r>
      <w:r w:rsidR="00CE7334" w:rsidRPr="00975079">
        <w:t>140</w:t>
      </w:r>
      <w:r w:rsidR="00947878" w:rsidRPr="00975079">
        <w:t xml:space="preserve">% increase in standard deviation, </w:t>
      </w:r>
      <w:r w:rsidR="004F5452" w:rsidRPr="00975079">
        <w:t>p</w:t>
      </w:r>
      <w:r w:rsidR="000B077A" w:rsidRPr="00975079">
        <w:t xml:space="preserve"> = 0.0</w:t>
      </w:r>
      <w:r w:rsidR="00EB4275" w:rsidRPr="00975079">
        <w:t>01</w:t>
      </w:r>
      <w:r w:rsidR="000B077A" w:rsidRPr="00975079">
        <w:t xml:space="preserve"> </w:t>
      </w:r>
      <w:r w:rsidR="000B077A" w:rsidRPr="00975079">
        <w:lastRenderedPageBreak/>
        <w:t>respectively</w:t>
      </w:r>
      <w:r w:rsidR="00947878" w:rsidRPr="00975079">
        <w:t>)</w:t>
      </w:r>
      <w:r w:rsidR="000B077A" w:rsidRPr="00975079">
        <w:t xml:space="preserve">. </w:t>
      </w:r>
    </w:p>
    <w:p w14:paraId="0791BC13" w14:textId="1E094CD3" w:rsidR="00DD3A36" w:rsidRPr="00975079" w:rsidRDefault="001E20A6" w:rsidP="001E20A6">
      <w:pPr>
        <w:pStyle w:val="Text"/>
      </w:pPr>
      <w:r w:rsidRPr="00975079">
        <w:t>An example of the utility of the application of VB with ARD is presented in Fig. 2, where CEUS kinetics are best described by the SCR model at the region level (panel A), according</w:t>
      </w:r>
      <w:r w:rsidR="00872C04" w:rsidRPr="00975079">
        <w:t xml:space="preserve"> to</w:t>
      </w:r>
      <w:r w:rsidRPr="00975079">
        <w:t xml:space="preserve"> </w:t>
      </w:r>
      <w:r w:rsidR="00F53CA2" w:rsidRPr="00975079">
        <w:t xml:space="preserve">all  </w:t>
      </w:r>
      <w:r w:rsidRPr="00975079">
        <w:t>parsimony criteria</w:t>
      </w:r>
      <w:r w:rsidR="00F53CA2" w:rsidRPr="00975079">
        <w:t xml:space="preserve"> </w:t>
      </w:r>
      <w:r w:rsidR="00297736" w:rsidRPr="00975079">
        <w:t>considered</w:t>
      </w:r>
      <w:r w:rsidR="00F53CA2" w:rsidRPr="00975079">
        <w:t xml:space="preserve"> (</w:t>
      </w:r>
      <w:r w:rsidR="00297736" w:rsidRPr="00975079">
        <w:t xml:space="preserve">BMS, </w:t>
      </w:r>
      <w:r w:rsidR="00F53CA2" w:rsidRPr="00975079">
        <w:t>AIC, BIC)</w:t>
      </w:r>
      <w:r w:rsidR="00110A21" w:rsidRPr="00975079">
        <w:t xml:space="preserve"> </w:t>
      </w:r>
      <w:r w:rsidR="00110A21" w:rsidRPr="00975079">
        <w:fldChar w:fldCharType="begin" w:fldLock="1"/>
      </w:r>
      <w:r w:rsidR="00E93668" w:rsidRPr="00975079">
        <w:instrText>ADDIN CSL_CITATION { "citationItems" : [ { "id" : "ITEM-1", "itemData" : { "author" : [ { "dropping-particle" : "", "family" : "Hirotugu", "given" : "Akaike", "non-dropping-particle" : "", "parse-names" : false, "suffix" : "" } ], "container-title" : "Engineering approach to computer control", "id" : "ITEM-1", "issued" : { "date-parts" : [ [ "1971" ] ] }, "title" : "On a decision procedure for system identification", "type" : "article-journal" }, "uris" : [ "http://www.mendeley.com/documents/?uuid=440ee5f1-b92e-4f40-b161-76d41a31917c" ] }, { "id" : "ITEM-2", "itemData" : { "DOI" : "10.1214/aos/1176344136", "ISSN" : "0090-5364", "author" : [ { "dropping-particle" : "", "family" : "Schwarz", "given" : "Gideon", "non-dropping-particle" : "", "parse-names" : false, "suffix" : "" } ], "container-title" : "The Annals of Statistics", "id" : "ITEM-2", "issue" : "2", "issued" : { "date-parts" : [ [ "1978", "3" ] ] }, "page" : "461-464", "title" : "Estimating the Dimension of a Model", "type" : "article-journal", "volume" : "6" }, "uris" : [ "http://www.mendeley.com/documents/?uuid=2bc3d77f-8f27-4123-ab25-8ab7e3bb9f3d" ] } ], "mendeley" : { "formattedCitation" : "[36,37]", "plainTextFormattedCitation" : "[36,37]", "previouslyFormattedCitation" : "[35,36]" }, "properties" : { "noteIndex" : 0 }, "schema" : "https://github.com/citation-style-language/schema/raw/master/csl-citation.json" }</w:instrText>
      </w:r>
      <w:r w:rsidR="00110A21" w:rsidRPr="00975079">
        <w:fldChar w:fldCharType="separate"/>
      </w:r>
      <w:r w:rsidR="00E93668" w:rsidRPr="00975079">
        <w:rPr>
          <w:noProof/>
        </w:rPr>
        <w:t>[36,37]</w:t>
      </w:r>
      <w:r w:rsidR="00110A21" w:rsidRPr="00975079">
        <w:fldChar w:fldCharType="end"/>
      </w:r>
      <w:r w:rsidRPr="00975079">
        <w:t xml:space="preserve">. Within the same cluster, there is a variety of kinetics, some best described by </w:t>
      </w:r>
      <w:r w:rsidR="00350E78" w:rsidRPr="00975079">
        <w:t>Gamma-variate</w:t>
      </w:r>
      <w:r w:rsidRPr="00975079">
        <w:t xml:space="preserve"> model (an example is presented in panel B), others by SCR model (panel C).</w:t>
      </w:r>
    </w:p>
    <w:p w14:paraId="7E45DF9F" w14:textId="32BD435B" w:rsidR="00DD3A36" w:rsidRPr="00975079" w:rsidRDefault="001E20A6" w:rsidP="00666823">
      <w:pPr>
        <w:pStyle w:val="Text"/>
      </w:pPr>
      <w:r w:rsidRPr="00975079">
        <w:t>T</w:t>
      </w:r>
      <w:r w:rsidR="00DD3A36" w:rsidRPr="00975079">
        <w:t>he information on model complexity returned by ARD can also be used to visually confirm the kinetic heterogeneity of CEUS data in the synovia</w:t>
      </w:r>
      <w:r w:rsidR="00872C04" w:rsidRPr="00975079">
        <w:t>,</w:t>
      </w:r>
      <w:r w:rsidR="00DD3A36" w:rsidRPr="00975079">
        <w:t xml:space="preserve"> </w:t>
      </w:r>
      <w:r w:rsidR="00872C04" w:rsidRPr="00975079">
        <w:t xml:space="preserve">as </w:t>
      </w:r>
      <w:r w:rsidR="00DD3A36" w:rsidRPr="00975079">
        <w:t>can be clearly seen by the cluster analysis results to derive the regions of interest (</w:t>
      </w:r>
      <w:r w:rsidR="0068470B" w:rsidRPr="00975079">
        <w:t>Fig.</w:t>
      </w:r>
      <w:r w:rsidR="00DD3A36" w:rsidRPr="00975079">
        <w:t xml:space="preserve"> </w:t>
      </w:r>
      <w:r w:rsidR="00586365" w:rsidRPr="00975079">
        <w:t>3</w:t>
      </w:r>
      <w:r w:rsidR="00DD3A36" w:rsidRPr="00975079">
        <w:t>A). By considering the parametric map of ARD results, i.e. the map representing for each pixel whether the best model was the Gamma-variate or SCR one, we found that in general the Gamma-variate model is identified at the boundaries of the synovia (</w:t>
      </w:r>
      <w:r w:rsidR="0068470B" w:rsidRPr="00975079">
        <w:t>Fig.</w:t>
      </w:r>
      <w:r w:rsidR="00586365" w:rsidRPr="00975079">
        <w:t xml:space="preserve"> 3</w:t>
      </w:r>
      <w:r w:rsidR="00DD3A36" w:rsidRPr="00975079">
        <w:t>B</w:t>
      </w:r>
      <w:r w:rsidR="00872C04" w:rsidRPr="00975079">
        <w:t xml:space="preserve">). Moreover, </w:t>
      </w:r>
      <w:r w:rsidR="00DD3A36" w:rsidRPr="00975079">
        <w:t xml:space="preserve">it is interesting to note that the model complexity does not overlap with the cluster boundaries, thus it is not dependent on the prior definition. Another important aspect is related to the amplitude of the trapping component, </w:t>
      </w:r>
      <m:oMath>
        <m:sSub>
          <m:sSubPr>
            <m:ctrlPr>
              <w:rPr>
                <w:rFonts w:ascii="Cambria Math" w:hAnsi="Cambria Math" w:cs="Arial"/>
                <w:i/>
                <w:szCs w:val="24"/>
              </w:rPr>
            </m:ctrlPr>
          </m:sSubPr>
          <m:e>
            <m:r>
              <w:rPr>
                <w:rFonts w:ascii="Cambria Math" w:hAnsi="Cambria Math" w:cs="Arial"/>
                <w:szCs w:val="24"/>
              </w:rPr>
              <m:t>a</m:t>
            </m:r>
          </m:e>
          <m:sub>
            <m:r>
              <w:rPr>
                <w:rFonts w:ascii="Cambria Math" w:hAnsi="Cambria Math" w:cs="Arial"/>
                <w:szCs w:val="24"/>
              </w:rPr>
              <m:t>1</m:t>
            </m:r>
          </m:sub>
        </m:sSub>
      </m:oMath>
      <w:r w:rsidR="00DD3A36" w:rsidRPr="00975079">
        <w:t>: the spatial distribution of this parameter reflects an important heterogeneity in the synovia (</w:t>
      </w:r>
      <w:r w:rsidR="0068470B" w:rsidRPr="00975079">
        <w:t>Fig.</w:t>
      </w:r>
      <w:r w:rsidR="00DD3A36" w:rsidRPr="00975079">
        <w:t xml:space="preserve"> </w:t>
      </w:r>
      <w:r w:rsidR="00586365" w:rsidRPr="00975079">
        <w:t>3</w:t>
      </w:r>
      <w:r w:rsidR="00DD3A36" w:rsidRPr="00975079">
        <w:t>C).</w:t>
      </w:r>
    </w:p>
    <w:p w14:paraId="5E2184C6" w14:textId="68B4DB73" w:rsidR="001C4642" w:rsidRPr="00975079" w:rsidRDefault="001C4642" w:rsidP="001C4642">
      <w:pPr>
        <w:pStyle w:val="Titolo2"/>
        <w:jc w:val="both"/>
      </w:pPr>
      <w:r w:rsidRPr="00975079">
        <w:t>Classification</w:t>
      </w:r>
    </w:p>
    <w:p w14:paraId="5B760ED9" w14:textId="594673F4" w:rsidR="00E93668" w:rsidRPr="00975079" w:rsidRDefault="00E93668" w:rsidP="00FA48EC">
      <w:pPr>
        <w:pStyle w:val="Text"/>
      </w:pPr>
      <w:r w:rsidRPr="00975079">
        <w:t>The SVM classifier trained to detect RA patients versus non-RA patients with synovial perfusion parameters obtained with VB and ARD (</w:t>
      </w:r>
      <m:oMath>
        <m:sSub>
          <m:sSubPr>
            <m:ctrlPr>
              <w:rPr>
                <w:rFonts w:ascii="Cambria Math" w:hAnsi="Cambria Math"/>
                <w:i/>
              </w:rPr>
            </m:ctrlPr>
          </m:sSubPr>
          <m:e>
            <m:r>
              <w:rPr>
                <w:rFonts w:ascii="Cambria Math" w:hAnsi="Cambria Math"/>
              </w:rPr>
              <m:t>SVM</m:t>
            </m:r>
          </m:e>
          <m:sub>
            <m:r>
              <w:rPr>
                <w:rFonts w:ascii="Cambria Math" w:hAnsi="Cambria Math"/>
              </w:rPr>
              <m:t>ARD</m:t>
            </m:r>
          </m:sub>
        </m:sSub>
      </m:oMath>
      <w:r w:rsidRPr="00975079">
        <w:t xml:space="preserve">) achieved a balanced accuracy of 87%, with a sensitivity of 88% and a specificity of 86%, with 24 features selected. The reduced set of 24 features included the percentage of pixels where ARD selected SCR model, the mean and variability of the amplitude of the slow component and the mean and variability of the ratio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0</m:t>
                </m:r>
              </m:sub>
            </m:sSub>
          </m:den>
        </m:f>
      </m:oMath>
      <w:r w:rsidRPr="00975079">
        <w:t xml:space="preserve">. The presence of the additional irreversible component is therefore fundamental to distinguish RA patients. </w:t>
      </w:r>
    </w:p>
    <w:p w14:paraId="5D8D8A8D" w14:textId="43C4C3FF" w:rsidR="00E93668" w:rsidRPr="00975079" w:rsidRDefault="00E93668" w:rsidP="00E93668">
      <w:pPr>
        <w:pStyle w:val="Text"/>
      </w:pPr>
      <w:r w:rsidRPr="00975079">
        <w:t>On the contrary, the SVM classifier trained with perfusion estimates obtained from Gamma model (</w:t>
      </w:r>
      <m:oMath>
        <m:sSub>
          <m:sSubPr>
            <m:ctrlPr>
              <w:rPr>
                <w:rFonts w:ascii="Cambria Math" w:hAnsi="Cambria Math"/>
                <w:i/>
              </w:rPr>
            </m:ctrlPr>
          </m:sSubPr>
          <m:e>
            <m:r>
              <w:rPr>
                <w:rFonts w:ascii="Cambria Math" w:hAnsi="Cambria Math"/>
              </w:rPr>
              <m:t>SVM</m:t>
            </m:r>
          </m:e>
          <m:sub>
            <m:r>
              <w:rPr>
                <w:rFonts w:ascii="Cambria Math" w:hAnsi="Cambria Math"/>
              </w:rPr>
              <m:t>Gamma</m:t>
            </m:r>
          </m:sub>
        </m:sSub>
      </m:oMath>
      <w:r w:rsidRPr="00975079">
        <w:t xml:space="preserve">) achieved a balanced accuracy of 81%, a specificity of 94% but a sensitivity of only 68%, with 12 features selected. The reduced set of 12 features included the mean and variability of the wash-out time and the blood flow index. When setting the operating point of the </w:t>
      </w:r>
      <m:oMath>
        <m:sSub>
          <m:sSubPr>
            <m:ctrlPr>
              <w:rPr>
                <w:rFonts w:ascii="Cambria Math" w:hAnsi="Cambria Math"/>
                <w:i/>
              </w:rPr>
            </m:ctrlPr>
          </m:sSubPr>
          <m:e>
            <m:r>
              <w:rPr>
                <w:rFonts w:ascii="Cambria Math" w:hAnsi="Cambria Math"/>
              </w:rPr>
              <m:t>SVM</m:t>
            </m:r>
          </m:e>
          <m:sub>
            <m:r>
              <w:rPr>
                <w:rFonts w:ascii="Cambria Math" w:hAnsi="Cambria Math"/>
              </w:rPr>
              <m:t>ARD</m:t>
            </m:r>
          </m:sub>
        </m:sSub>
      </m:oMath>
      <w:r w:rsidRPr="00975079">
        <w:t xml:space="preserve"> classifer to 81% accuracy to match that of </w:t>
      </w:r>
      <m:oMath>
        <m:sSub>
          <m:sSubPr>
            <m:ctrlPr>
              <w:rPr>
                <w:rFonts w:ascii="Cambria Math" w:hAnsi="Cambria Math"/>
                <w:i/>
              </w:rPr>
            </m:ctrlPr>
          </m:sSubPr>
          <m:e>
            <m:r>
              <w:rPr>
                <w:rFonts w:ascii="Cambria Math" w:hAnsi="Cambria Math"/>
              </w:rPr>
              <m:t>SVM</m:t>
            </m:r>
          </m:e>
          <m:sub>
            <m:r>
              <w:rPr>
                <w:rFonts w:ascii="Cambria Math" w:hAnsi="Cambria Math"/>
              </w:rPr>
              <m:t>Gamma</m:t>
            </m:r>
          </m:sub>
        </m:sSub>
      </m:oMath>
      <w:r w:rsidRPr="00975079">
        <w:t xml:space="preserve">, only 7 perfusion features where necessary, and those selected included the mean of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Pr="00975079">
        <w:t xml:space="preserve"> and the standard deviation and 75</w:t>
      </w:r>
      <w:r w:rsidRPr="00975079">
        <w:rPr>
          <w:vertAlign w:val="superscript"/>
        </w:rPr>
        <w:t>th</w:t>
      </w:r>
      <w:r w:rsidRPr="00975079">
        <w:t xml:space="preserve"> percentile of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a</m:t>
                </m:r>
              </m:e>
              <m:sub>
                <m:r>
                  <w:rPr>
                    <w:rFonts w:ascii="Cambria Math" w:hAnsi="Cambria Math"/>
                  </w:rPr>
                  <m:t>0</m:t>
                </m:r>
              </m:sub>
            </m:sSub>
          </m:den>
        </m:f>
      </m:oMath>
      <w:r w:rsidRPr="00975079">
        <w:t>.</w:t>
      </w:r>
    </w:p>
    <w:p w14:paraId="127AFB16" w14:textId="072D1CFB" w:rsidR="003F5F79" w:rsidRPr="00975079" w:rsidRDefault="00E93668" w:rsidP="00E93668">
      <w:pPr>
        <w:pStyle w:val="Text"/>
      </w:pPr>
      <w:r w:rsidRPr="00975079">
        <w:t>When evaluating the SVM classifier to distinguish between RA and RA-like PSA from the other forms of arthritis, the one making use of the perfusion parameters obtained with the SCR model and ARD selection achieved 100% balanced accuracy, versus 83% of the SVM trained on the parameters obtained by the Gamma model.</w:t>
      </w:r>
    </w:p>
    <w:p w14:paraId="20DD1D60" w14:textId="0D54E80F" w:rsidR="00E97B99" w:rsidRPr="00975079" w:rsidRDefault="00DD3A36" w:rsidP="0079732D">
      <w:pPr>
        <w:pStyle w:val="Titolo1"/>
        <w:jc w:val="both"/>
      </w:pPr>
      <w:r w:rsidRPr="00975079">
        <w:t>Discussion</w:t>
      </w:r>
    </w:p>
    <w:p w14:paraId="3457E3BF" w14:textId="4036A55D" w:rsidR="00DD3A36" w:rsidRPr="00975079" w:rsidRDefault="00DD3A36" w:rsidP="0079732D">
      <w:pPr>
        <w:pStyle w:val="Titolo2"/>
        <w:jc w:val="both"/>
      </w:pPr>
      <w:r w:rsidRPr="00975079">
        <w:t>Gamma-variate and SCR model</w:t>
      </w:r>
    </w:p>
    <w:p w14:paraId="6F4AB42A" w14:textId="1266ACD7" w:rsidR="003F5F79" w:rsidRPr="00975079" w:rsidRDefault="000D7C50" w:rsidP="003F5F79">
      <w:pPr>
        <w:pStyle w:val="Text"/>
      </w:pPr>
      <w:r w:rsidRPr="00975079">
        <w:t xml:space="preserve">Gamma-variate model has been shown to be a more appropriate model to describe the CEUS perfusion curves compared to the simple mono-exponential or logarithmic model </w:t>
      </w:r>
      <w:r w:rsidR="00EC5F37" w:rsidRPr="00975079">
        <w:fldChar w:fldCharType="begin" w:fldLock="1"/>
      </w:r>
      <w:r w:rsidR="00E93668" w:rsidRPr="00975079">
        <w:instrText>ADDIN CSL_CITATION { "citationItems" : [ { "id" : "ITEM-1", "itemData" : { "DOI" : "10.1109/tuffc.2010.1550", "ISBN" : "0885-3010", "PMID" : "20529706", "abstract" : "Indicator dilution methods have a long history in the quantification of both macro- and microvascular blood flow in many clinical applications. Various models have been employed in the past to isolate the primary pass of an indicator after an intravenous bolus injection. The use of indicator dilution techniques allows for the estimation of hemodynamic parameters of a tumor or organ and thus may lead to useful diagnostic and therapy monitoring information. In this paper, we review and discuss the properties of the lognormal function, the gamma variate function, the diffusion with drift models, and the lagged normal function, which have been used to model indicator dilution curves in different fields of medicine. We fit these models to contrast-enhanced ultrasound time-intensity curves from liver metastases and the ovine corpora lutea. We evaluate the models' performance on the image data and compare their predictions for hemodynamic-related parameters such as the area under the curve, the mean transit time, the full-width at half-maximum, the time to the peak intensity, and wash-in time. The models that best fit the experimental data are the lognormal function and the diffusion with drift.", "author" : [ { "dropping-particle" : "", "family" : "Strouthos", "given" : "C", "non-dropping-particle" : "", "parse-names" : false, "suffix" : "" }, { "dropping-particle" : "", "family" : "Lampaskis", "given" : "M", "non-dropping-particle" : "", "parse-names" : false, "suffix" : "" }, { "dropping-particle" : "", "family" : "Sboros", "given" : "V", "non-dropping-particle" : "", "parse-names" : false, "suffix" : "" }, { "dropping-particle" : "", "family" : "McNeilly", "given" : "A", "non-dropping-particle" : "", "parse-names" : false, "suffix" : "" }, { "dropping-particle" : "", "family" : "Averkiou", "given" : "M", "non-dropping-particle" : "", "parse-names" : false, "suffix" : "" } ], "container-title" : "IEEE Trans Ultrason Ferroelectr Freq Control", "edition" : "2010/06/10", "id" : "ITEM-1", "issue" : "6", "issued" : { "date-parts" : [ [ "2010" ] ] }, "language" : "eng", "note" : "1525-8955\nStrouthos, Costas\nLampaskis, Marios\nSboros, Vassilis\nMcNeilly, Alan\nAverkiou, Michalakis\nG0800896/Medical Research Council/United Kingdom\nJournal Article\nReview\nUnited States\nIEEE Trans Ultrason Ferroelectr Freq Control. 2010 Jun;57(6):1296-310. doi: 10.1109/TUFFC.2010.1550.", "page" : "1296-1310", "title" : "Indicator dilution models for the quantification of microvascular blood flow with bolus administration of ultrasound contrast agents", "type" : "article-journal", "volume" : "57" }, "uris" : [ "http://www.mendeley.com/documents/?uuid=e674142c-6c0c-4cb1-9221-e4e95e943eb0" ] }, { "id" : "ITEM-2", "itemData" : { "ISBN" : "0740-3194 (Print) 0740-3194", "PMID" : "8916022", "abstract" : "The authors review the theoretical basis of determination of cerebral blood flow (CBF) using dynamic measurements of nondiffusible contrast agents, and demonstrate how parametric and nonparametric deconvolution techniques can be modified for the special requirements of CBF determination using dynamic MRI. Using Monte Carlo modeling, the use of simple, analytical residue models is shown to introduce large errors in flow estimates when actual, underlying vascular characteristics are not sufficiently described by the chosen function. The determination of the shape of the residue function on a regional basis is shown to be possible only at high signal-to-noise ratio. Comparison of several nonparametric deconvolution techniques showed that a nonparametric deconvolution technique (singular value decomposition) allows estimation of flow relatively independent of underlying vascular structure and volume even at low signal-to-noise ratio associated with pixel-by-pixel deconvolution.", "author" : [ { "dropping-particle" : "", "family" : "Ostergaard", "given" : "L", "non-dropping-particle" : "", "parse-names" : false, "suffix" : "" }, { "dropping-particle" : "", "family" : "Weisskoff", "given" : "R M", "non-dropping-particle" : "", "parse-names" : false, "suffix" : "" }, { "dropping-particle" : "", "family" : "Chesler", "given" : "D A", "non-dropping-particle" : "", "parse-names" : false, "suffix" : "" }, { "dropping-particle" : "", "family" : "Gyldensted", "given" : "C", "non-dropping-particle" : "", "parse-names" : false, "suffix" : "" }, { "dropping-particle" : "", "family" : "Rosen", "given" : "B R", "non-dropping-particle" : "", "parse-names" : false, "suffix" : "" } ], "container-title" : "Magn Reson Med", "id" : "ITEM-2", "issue" : "5", "issued" : { "date-parts" : [ [ "1996" ] ] }, "note" : "Ostergaard, L\nWeisskoff, R M\nChesler, D A\nGyldensted, C\nRosen, B R\nR01-CA40303/CA/NCI NIH HHS/United States\nR01-CA66072/CA/NCI NIH HHS/United States\nR01-HL39810/HL/NHLBI NIH HHS/United States\netc.\nComparative Study\nJournal Article\nResearch Support, Non-U.S. Gov't\nResearch Support, U.S. Gov't, P.H.S.\nUnited states\nMagn Reson Med. 1996 Nov;36(5):715-25.", "page" : "715-725", "title" : "High resolution measurement of cerebral blood flow using intravascular tracer bolus passages. Part I: Mathematical approach and statistical analysis", "type" : "article-journal", "volume" : "36" }, "uris" : [ "http://www.mendeley.com/documents/?uuid=28d99743-6001-4f48-8caf-0c21d0be67a2" ] } ], "mendeley" : { "formattedCitation" : "[9,38]", "plainTextFormattedCitation" : "[9,38]", "previouslyFormattedCitation" : "[9,37]" }, "properties" : { "noteIndex" : 0 }, "schema" : "https://github.com/citation-style-language/schema/raw/master/csl-citation.json" }</w:instrText>
      </w:r>
      <w:r w:rsidR="00EC5F37" w:rsidRPr="00975079">
        <w:fldChar w:fldCharType="separate"/>
      </w:r>
      <w:r w:rsidR="00E93668" w:rsidRPr="00975079">
        <w:rPr>
          <w:noProof/>
        </w:rPr>
        <w:t>[9,38]</w:t>
      </w:r>
      <w:r w:rsidR="00EC5F37" w:rsidRPr="00975079">
        <w:fldChar w:fldCharType="end"/>
      </w:r>
      <w:r w:rsidRPr="00975079">
        <w:t xml:space="preserve"> and it has been applied both at the region and pixel level </w:t>
      </w:r>
      <w:r w:rsidR="00EC5F37" w:rsidRPr="00975079">
        <w:fldChar w:fldCharType="begin" w:fldLock="1"/>
      </w:r>
      <w:r w:rsidR="00E93668" w:rsidRPr="00975079">
        <w:instrText>ADDIN CSL_CITATION { "citationItems" : [ { "id" : "ITEM-1", "itemData" : { "DOI" : "10.1117/2.1201506.006000", "ISSN" : "18182259", "author" : [ { "dropping-particle" : "", "family" : "Grisan", "given" : "Enrico", "non-dropping-particle" : "", "parse-names" : false, "suffix" : "" }, { "dropping-particle" : "", "family" : "Rizzo", "given" : "Gaia", "non-dropping-particle" : "", "parse-names" : false, "suffix" : "" }, { "dropping-particle" : "", "family" : "Coran", "given" : "Alessandro", "non-dropping-particle" : "", "parse-names" : false, "suffix" : "" }, { "dropping-particle" : "", "family" : "Raffeiner", "given" : "Bernd", "non-dropping-particle" : "", "parse-names" : false, "suffix" : "" }, { "dropping-particle" : "", "family" : "Stramare", "given" : "Roberto Stramare", "non-dropping-particle" : "", "parse-names" : false, "suffix" : "" } ], "container-title" : "SPIE Newsroom", "id" : "ITEM-1", "issued" : { "date-parts" : [ [ "2015", "7", "6" ] ] }, "title" : "Quantitative ultrasound for diagnosis and assessment of rheumatoid arthritis", "type" : "article-journal" }, "uris" : [ "http://www.mendeley.com/documents/?uuid=034dd427-7fa3-4046-b1bd-b697cfcdd095" ] }, { "id" : "ITEM-2", "itemData" : { "DOI" : "doi: 10.1117/12.2042801", "abstract" : "Inflammatory rheumatic diseases are leading causes of disability and constitute a frequent medical disorder, leading to inability to work, high comorbidity and increased mortality. The gold-standard for diagnosing and differentiating arthritis is based on patient conditions and radiographic findings, as joint erosions or decalcification. However, early signs of arthritis are joint effusion, hypervascularization and synovial hypertrophy. In particular, vascularization has been shown to correlate with arthritis\u2019 destructive behavior, more than clinical assessment. Contrast Enhanced Ultrasound (CEUS) examination of the small joints is emerging as a sensitive tool for assessing vascularization and disease activity. The evaluation of perfusion pattern rely on subjective semi-quantitative scales, that are able to capture the macroscopic degree of vascularization, but are unable to detect the subtler differences in kinetics perfusion parameters that might lead to a deeper understanding of disease progression and a better management of patients. Quantitative assessment is mostly performed by means of the Qontrast software package, that requires the user to define a region of interest, whose mean intensity curve is fitted with an exponential function. We show that using a more physiologically motivated perfusion curve, and by estimating the kinetics parameters separately pixel per pixel, the quantitative information gathered is able to differentiate more effectively different perfusion patterns. In particular, we will show that a pixel-based analysis is able to provide significant markers differentiating rheumatoid arthritis from simil-rheumatoid psoriatic arthritis, that have non-significant differences in clinical evaluation (DAS28), serological markers, or region-based parameters.", "author" : [ { "dropping-particle" : "", "family" : "Grisan", "given" : "E", "non-dropping-particle" : "", "parse-names" : false, "suffix" : "" }, { "dropping-particle" : "", "family" : "Raffeiner", "given" : "B", "non-dropping-particle" : "", "parse-names" : false, "suffix" : "" }, { "dropping-particle" : "", "family" : "Coran", "given" : "A", "non-dropping-particle" : "", "parse-names" : false, "suffix" : "" }, { "dropping-particle" : "", "family" : "Rizzo", "given" : "G", "non-dropping-particle" : "", "parse-names" : false, "suffix" : "" }, { "dropping-particle" : "", "family" : "Ciprian", "given" : "L", "non-dropping-particle" : "", "parse-names" : false, "suffix" : "" }, { "dropping-particle" : "", "family" : "Stramare", "given" : "R", "non-dropping-particle" : "", "parse-names" : false, "suffix" : "" } ], "container-title" : "SPIE Medical Imaging", "id" : "ITEM-2", "issued" : { "date-parts" : [ [ "2014" ] ] }, "note" : "10.1117/12.2042801", "page" : "90400F-90400F-6", "publisher" : "International Society for Optics and Photonics", "title" : "A comparison of region-based and pixel-based CEUS kinetics parameters in the assessment of arthritis", "type" : "paper-conference", "volume" : "9040" }, "uris" : [ "http://www.mendeley.com/documents/?uuid=c52014ac-c50e-4eb0-961f-ce9e8f3f676c" ] }, { "id" : "ITEM-3", "itemData" : { "DOI" : "10.1117/12.2042964", "abstract" : "Inflammatory rheumatic diseases are leading causes of disability and constitute a frequent medical disorder, leading to inability to work, high comorbidity and increased mortality. The gold-standard for diagnosing and differentiating arthritis is based on patient conditions and radiographic findings, as joint erosions or decalcification. However, early signs of arthritis are joint effusion, hypervascularization and synovial hypertrophy. In particular, vascularization has been shown to correlate with arthritis\u2019 destructive behavior, more than clinical assessment. Contrast Enhanced Ultrasound (CEUS) examination of the small joints is emerging as a sensitive tool for assessing vascularization and disease activity. The evaluation of perfusion pattern rely on subjective semiquantitative scales, that are able to capture the macroscopic degree of vascularization, but are unable to detect the subtler differences in kinetics perfusion parameters that might lead to a deeper understanding of disease progression and a better management of patients. We show that after a kinetic analysis of contrast agent appearance, providing the quantitative features characterizing the perfusion pattern of the joint, it is possible to accurately discriminate RA from PSA by building a random forest classifier on the computed features. We compare its accuracy with the assessment performed by expert radiologist blinded of the diagnosis.", "author" : [ { "dropping-particle" : "", "family" : "Grisan", "given" : "Enrico",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"Rizzo", "given" : "Gaia", "non-dropping-particle" : "", "parse-names" : false, "suffix" : "" }, { "dropping-particle" : "", "family" : "Ciprian", "given" : "Luca", "non-dropping-particle" : "", "parse-names" : false, "suffix" : "" }, { "dropping-particle" : "", "family" : "Stramare", "given" : "Roberto", "non-dropping-particle" : "", "parse-names" : false, "suffix" : "" } ], "container-title" : "SPIE Medical Imaging 2014", "id" : "ITEM-3", "issued" : { "date-parts" : [ [ "2014" ] ] }, "note" : "10.1117/12.2042964", "page" : "903514-903516", "publisher" : "SPIE Proceedings", "publisher-place" : "San Diego (CA, USA)", "title" : "Dynamic automated synovial imaging (DASI) for differential diagnosis of rheumatoid arthritis", "type" : "paper-conference", "volume" : "SPIE Proce" }, "uris" : [ "http://www.mendeley.com/documents/?uuid=9954c369-eaa3-477e-9cb3-6926395842a8" ] }, { "id" : "ITEM-4", "itemData" : { "DOI" : "10.1117/1.JMI.2.3.034503", "ISBN" : "2329-4302", "abstract" : "Abstract.\u00a0 Inflammatory rheumatic diseases are the leading causes of disability and constitute a frequent medical disorder, leading to inability to work, high comorbidity, and increased mortality. The standard for diagnosing and differentiating arthritis is based on clinical examination, laboratory exams, and imaging findings, such as synovitis, bone edema, or joint erosions. Contrast-enhanced ultrasound (CEUS) examination of the small joints is emerging as a sensitive tool for assessing vascularization and disease activity. Quantitative assessment is mostly performed at the region of interest level, where the mean intensity curve is fitted with an exponential function. We showed that using a more physiologically motivated perfusion curve, and by estimating the kinetic parameters separately pixel by pixel, the quantitative information gathered is able to more effectively characterize the different perfusion patterns. In particular, we demonstrated that a random forest classifier based on pixelwise quantification of the kinetic contrast agent perfusion features can discriminate rheumatoid arthritis from different arthritis forms (psoriatic arthritis, spondyloarthritis, and arthritis in connective tissue disease) with an average accuracy of 97%. On the contrary, clinical evaluation (DAS28), semiquantitative CEUS assessment, serological markers, or region-based parameters do not allow such a high diagnostic accuracy.",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"Ciprian", "given" : "Luca", "non-dropping-particle" : "", "parse-names" : false, "suffix" : "" }, { "dropping-particle" : "", "family" : "Fiocco", "given" : "Ugo", "non-dropping-particle" : "", "parse-names" : false, "suffix" : "" }, { "dropping-particle" : "", "family" : "Botsios", "given" : "Costantino", "non-dropping-particle" : "", "parse-names" : false, "suffix" : "" }, { "dropping-particle" : "", "family" : "Stramare", "given" : "Roberto", "non-dropping-particle" : "", "parse-names" : false, "suffix" : "" }, { "dropping-particle" : "", "family" : "Grisan", "given" : "Enrico", "non-dropping-particle" : "", "parse-names" : false, "suffix" : "" } ], "container-title" : "Journal of Medical Imaging", "id" : "ITEM-4", "issue" : "3", "issued" : { "date-parts" : [ [ "2015" ] ] }, "note" : "10.1117/1.JMI.2.3.034503", "page" : "34503", "title" : "Pixel-based approach to assess contrast-enhanced ultrasound kinetics parameters for differential diagnosis of rheumatoid arthritis", "type" : "article-journal", "volume" : "2" }, "uris" : [ "http://www.mendeley.com/documents/?uuid=fe7efcac-238b-4211-9dc7-30ef04172b3a" ] } ], "mendeley" : { "formattedCitation" : "[4,8,39,40]", "plainTextFormattedCitation" : "[4,8,39,40]", "previouslyFormattedCitation" : "[4,8,38,39]" }, "properties" : { "noteIndex" : 0 }, "schema" : "https://github.com/citation-style-language/schema/raw/master/csl-citation.json" }</w:instrText>
      </w:r>
      <w:r w:rsidR="00EC5F37" w:rsidRPr="00975079">
        <w:fldChar w:fldCharType="separate"/>
      </w:r>
      <w:r w:rsidR="00E93668" w:rsidRPr="00975079">
        <w:rPr>
          <w:noProof/>
        </w:rPr>
        <w:t>[4,8,39,40]</w:t>
      </w:r>
      <w:r w:rsidR="00EC5F37" w:rsidRPr="00975079">
        <w:fldChar w:fldCharType="end"/>
      </w:r>
      <w:r w:rsidRPr="00975079">
        <w:t xml:space="preserve">. </w:t>
      </w:r>
      <w:r w:rsidR="00B03AE6" w:rsidRPr="00975079">
        <w:t xml:space="preserve">In fact, even though the mono-exponential can accurately describe CEUS kinetics at the region level, it lacks the flexibility to proper follow the pixel-wise CEUS time courses (Supplementary Figure </w:t>
      </w:r>
      <w:r w:rsidR="00DB15D8" w:rsidRPr="00975079">
        <w:t>2A</w:t>
      </w:r>
      <w:r w:rsidR="00B03AE6" w:rsidRPr="00975079">
        <w:t xml:space="preserve">), especially when the data present an important wash-out (Supplementary Figure </w:t>
      </w:r>
      <w:r w:rsidR="00CA0BAF" w:rsidRPr="00975079">
        <w:t>2</w:t>
      </w:r>
      <w:r w:rsidR="00B03AE6" w:rsidRPr="00975079">
        <w:t xml:space="preserve">B). </w:t>
      </w:r>
      <w:r w:rsidRPr="00975079">
        <w:t xml:space="preserve">However, </w:t>
      </w:r>
      <w:r w:rsidR="00872C04" w:rsidRPr="00975079">
        <w:t xml:space="preserve">the </w:t>
      </w:r>
      <w:r w:rsidRPr="00975079">
        <w:t>heterogeneity of CEUS kinetics can be such that even Gamma-variate model is unable to fully describe the behavio</w:t>
      </w:r>
      <w:r w:rsidR="00872C04" w:rsidRPr="00975079">
        <w:t>u</w:t>
      </w:r>
      <w:r w:rsidRPr="00975079">
        <w:t xml:space="preserve">r of the tracer during the scan </w:t>
      </w:r>
      <w:r w:rsidR="00872C04" w:rsidRPr="00975079">
        <w:t xml:space="preserve">time </w:t>
      </w:r>
      <w:r w:rsidRPr="00975079">
        <w:t xml:space="preserve">length. For this reason, we propose the use of the SCR model to describe CEUS data in order to take into account the irreversible component in the data, generally considered negligible. The SCR model consists in </w:t>
      </w:r>
      <w:r w:rsidR="00872C04" w:rsidRPr="00975079">
        <w:t xml:space="preserve">a </w:t>
      </w:r>
      <w:r w:rsidRPr="00975079">
        <w:t xml:space="preserve">single Gamma-variate plus an additional component (the integral of the Gamma), originally proposed to describe the recirculation of the </w:t>
      </w:r>
      <w:r w:rsidR="00A56825" w:rsidRPr="00975079">
        <w:t>contrast within the vasculature</w:t>
      </w:r>
      <w:r w:rsidRPr="00975079">
        <w:t>. The integral component of the SCR model could also describe the microbubbles behavior in the neovascularized syn</w:t>
      </w:r>
      <w:r w:rsidR="00D71BC1" w:rsidRPr="00975079">
        <w:t>ovial area in arthritis disease.</w:t>
      </w:r>
      <w:r w:rsidRPr="00975079">
        <w:t xml:space="preserve"> </w:t>
      </w:r>
      <w:r w:rsidR="00D71BC1" w:rsidRPr="00975079">
        <w:t xml:space="preserve">In fact </w:t>
      </w:r>
      <w:r w:rsidRPr="00975079">
        <w:t xml:space="preserve">newly formed vessels are characterized by high tortuosity </w:t>
      </w:r>
      <w:r w:rsidR="00EC5F37" w:rsidRPr="00975079">
        <w:fldChar w:fldCharType="begin" w:fldLock="1"/>
      </w:r>
      <w:r w:rsidR="00B03AE6" w:rsidRPr="00975079">
        <w:instrText>ADDIN CSL_CITATION { "citationItems" : [ { "id" : "ITEM-1", "itemData" : { "ISSN" : "0315-162X", "PMID" : "12563678", "abstract" : "OBJECTIVE To examine angiogenic growth factors in patients with early, untreated inflammatory arthritides and controls. METHODS Synovial membrane (SM) infiltrate and Ang1, Ang2, and vascular endothelial growth factor (VEGF) mRNA and protein expression were examined using immunohistochemistry and in situ hybridization. Synovial fluid (SF) VEGF, transforming growth factor-beta (TGF-beta 1), and tumor necrosis factor-alpha (TNF-alpha) protein were measured by ELISA. Vascular morphology was assessed at arthroscopy. RESULTS Ang2 mRNA and protein expression was observed in early psoriatic arthritis (PsA) and rheumatoid arthritis (RA) SM. Expression of Ang2 and VEGF was significantly greater in early PsA SM and correlated strongly. SF VEGF and TGF-beta 1 concentrations were also significantly higher in early PsA compared to RA. Distinct vascular morphology, with tortuous vessels in PsA, correlated with microscopic vascular scores (r = 0.54, p = 0.005) and VEGF levels (r = 0.51, p = 0.01). Ang1 mRNA and protein expression was observed, but concentrations were markedly lower than for Ang2 and VEGF. Clinical disease activity, SM infiltration, and SF TNF-alpha concentrations were similar in both groups. CONCLUSION This is the first report of angiopoietin expression in early inflammatory arthritis. There is a close relationship between angiopoietins, VEGF, TGF-beta, and vascular morphology. There is differential angiogenesis at an early stage of inflammation, with major pathogenic and therapeutic implications.", "author" : [ { "dropping-particle" : "", "family" : "Fearon", "given" : "Ursula", "non-dropping-particle" : "", "parse-names" : false, "suffix" : "" }, { "dropping-particle" : "", "family" : "Griosios", "given" : "Konstantina", "non-dropping-particle" : "", "parse-names" : false, "suffix" : "" }, { "dropping-particle" : "", "family" : "Fraser", "given" : "Alexander", "non-dropping-particle" : "", "parse-names" : false, "suffix" : "" }, { "dropping-particle" : "", "family" : "Reece", "given" : "Richard", "non-dropping-particle" : "", "parse-names" : false, "suffix" : "" }, { "dropping-particle" : "", "family" : "Emery", "given" : "Paul", "non-dropping-particle" : "", "parse-names" : false, "suffix" : "" }, { "dropping-particle" : "", "family" : "Jones", "given" : "Pamela F", "non-dropping-particle" : "", "parse-names" : false, "suffix" : "" }, { "dropping-particle" : "", "family" : "Veale", "given" : "Douglas J", "non-dropping-particle" : "", "parse-names" : false, "suffix" : "" } ], "container-title" : "The Journal of rheumatology", "id" : "ITEM-1", "issue" : "2", "issued" : { "date-parts" : [ [ "2003" ] ] }, "page" : "260-8", "title" : "Angiopoietins, growth factors, and vascular morphology in early arthritis.", "type" : "article-journal", "volume" : "30" }, "uris" : [ "http://www.mendeley.com/documents/?uuid=8cbfe172-70c5-4e1c-af5f-4ddb2b457013" ] }, { "id" : "ITEM-2", "itemData" : { "DOI" : "10.1002/art.27287", "ISSN" : "00043591", "author" : [ { "dropping-particle" : "", "family" : "Kennedy", "given" : "Aisling", "non-dropping-particle" : "", "parse-names" : false, "suffix" : "" }, { "dropping-particle" : "", "family" : "Ng", "given" : "Chin Teck", "non-dropping-particle" : "", "parse-names" : false, "suffix" : "" }, { "dropping-particle" : "", "family" : "Biniecka", "given" : "Monika", "non-dropping-particle" : "", "parse-names" : false, "suffix" : "" }, { "dropping-particle" : "", "family" : "Saber", "given" : "Tajvur", "non-dropping-particle" : "", "parse-names" : false, "suffix" : "" }, { "dropping-particle" : "", "family" : "Taylor", "given" : "Cormac", "non-dropping-particle" : "", "parse-names" : false, "suffix" : "" }, { "dropping-particle" : "", "family" : "O'Sullivan", "given" : "Jacintha", "non-dropping-particle" : "", "parse-names" : false, "suffix" : "" }, { "dropping-particle" : "", "family" : "Veale", "given" : "Douglas J.", "non-dropping-particle" : "", "parse-names" : false, "suffix" : "" }, { "dropping-particle" : "", "family" : "Fearon", "given" : "Ursula", "non-dropping-particle" : "", "parse-names" : false, "suffix" : "" } ], "container-title" : "Arthritis &amp; Rheumatism", "id" : "ITEM-2", "issue" : "3", "issued" : { "date-parts" : [ [ "2010" ] ] }, "page" : "711-721", "title" : "Angiogenesis and blood vessel stability in inflammatory arthritis", "type" : "article-journal", "volume" : "62" }, "uris" : [ "http://www.mendeley.com/documents/?uuid=e7d3ffc4-d39e-4c37-869d-7827bb00f32e" ] } ], "mendeley" : { "formattedCitation" : "[13,14]", "plainTextFormattedCitation" : "[13,14]", "previouslyFormattedCitation" : "[13,14]" }, "properties" : { "noteIndex" : 0 }, "schema" : "https://github.com/citation-style-language/schema/raw/master/csl-citation.json" }</w:instrText>
      </w:r>
      <w:r w:rsidR="00EC5F37" w:rsidRPr="00975079">
        <w:fldChar w:fldCharType="separate"/>
      </w:r>
      <w:r w:rsidR="00F23FC9" w:rsidRPr="00975079">
        <w:rPr>
          <w:noProof/>
        </w:rPr>
        <w:t>[13,14]</w:t>
      </w:r>
      <w:r w:rsidR="00EC5F37" w:rsidRPr="00975079">
        <w:fldChar w:fldCharType="end"/>
      </w:r>
      <w:r w:rsidR="00D71BC1" w:rsidRPr="00975079">
        <w:t xml:space="preserve"> and the bulk of proliferated vascular network, by increasing the resistance to synovial vessel flow, might determine the pro</w:t>
      </w:r>
      <w:r w:rsidR="00297736" w:rsidRPr="00975079">
        <w:t>longation of the refilling time</w:t>
      </w:r>
      <w:r w:rsidR="00D71BC1" w:rsidRPr="00975079">
        <w:t xml:space="preserve"> </w:t>
      </w:r>
      <w:r w:rsidR="00D71BC1" w:rsidRPr="00975079">
        <w:fldChar w:fldCharType="begin" w:fldLock="1"/>
      </w:r>
      <w:r w:rsidR="00B53D16" w:rsidRPr="00975079">
        <w:instrText>ADDIN CSL_CITATION { "citationItems" : [ { "id" : "ITEM-1", "itemData" : { "DOI" : "10.1007/s10067-015-2894-1", "ISSN" : "1434-9949", "PMID" : "25681071", "abstract" : "The purpose of the study was to assess the relationship of the continuous mode contrast-enhanced harmonic ultrasound (CEUS) imaging with the histopathological and immunohistochemical (IHC) quantitative estimation of microvascular proliferation on synovial samples of patients affected by sustained psoriatic arthritis (PsA). A dedicated linear transducer was used in conjunction with a specific continuous mode contrast enhanced harmonic imaging technology with a second-generation sulfur hexafluoride-filled microbubbles C-agent. The examination was carried out within 1 week before arthroscopic biopsies in 32 active joints. Perfusional parameters were analyzed including regional blood flow (RBF); peak (PEAK) of the C-signal intensity, proportional to the regional blood volume (RBV); beta (\u03b2) perfusion frequency; slope (S), representing the inclination of the tangent in the origin; and the refilling time (RT), the reverse of beta. Arthroscopic synovial biopsies were targeted in the hypervascularity areas, as in the same knee recesses assessed by CEUS; the synovial cell infiltrate and vascularity (vessel density) was evaluated by IHC staining of CD45 (mononuclear cell) and CD31, CD105 (endothelial cell) markers, measured by computer-assisted morphometric analysis. In the CEUS area examined, the corresponding time-intensity curves demonstrated a slow rise time. Synovial histology showed slight increased layer lining thickness, perivascular lymphomonocyte cell infiltration, and microvascular remodeling, with marked vessel wall thickening with reduction of the vascular lumen. A significant correlation was found between RT and CD31+ as PEAK and CD105+ vessel density; RT was inversely correlated to RBF, PEAK, S, and \u03b2. The study demonstrated the association of the CEUS perfusion kinetics with the histopathological quantitative and morphologic estimation of synovial microvascular proliferation, suggesting that a CEUS imaging represents a reliable tool for the estimate of the synovial hypervascularity in PsA.", "author" : [ { "dropping-particle" : "", "family" : "Fiocco", "given" : "Ugo", "non-dropping-particle" : "", "parse-names" : false, "suffix" : "" }, { "dropping-particle" : "", "family" : "Stramare", "given" : "Roberto", "non-dropping-particle" : "", "parse-names" : false, "suffix" : "" }, { "dropping-particle" : "", "family" : "Coran", "given" : "Alessandro", "non-dropping-particle" : "", "parse-names" : false, "suffix" : "" }, { "dropping-particle" : "", "family" : "Grisan", "given" : "Enrico", "non-dropping-particle" : "", "parse-names" : false, "suffix" : "" }, { "dropping-particle" : "", "family" : "Scagliori", "given" : "Elena", "non-dropping-particle" : "", "parse-names" : false, "suffix" : "" }, { "dropping-particle" : "", "family" : "Caso", "given" : "Francesco", "non-dropping-particle" : "", "parse-names" : false, "suffix" : "" }, { "dropping-particle" : "", "family" : "Costa", "given" : "Luisa", "non-dropping-particle" : "", "parse-names" : false, "suffix" : "" }, { "dropping-particle" : "", "family" : "Lunardi", "given" : "Francesca", "non-dropping-particle" : "", "parse-names" : false, "suffix" : "" }, { "dropping-particle" : "", "family" : "Oliviero", "given" : "Francesca", "non-dropping-particle" : "", "parse-names" : false, "suffix" : "" }, { "dropping-particle" : "", "family" : "Bianchi", "given" : "Fulvia Chieco", "non-dropping-particle" : "", "parse-names" : false, "suffix" : "" }, { "dropping-particle" : "", "family" : "Scanu", "given" : "Anna", "non-dropping-particle" : "", "parse-names" : false, "suffix" : "" }, { "dropping-particle" : "", "family" : "Martini", "given" : "Veronica", "non-dropping-particle" : "", "parse-names" : false, "suffix" : "" }, { "dropping-particle" : "", "family" : "Boso", "given" : "Daniele", "non-dropping-particle" : "", "parse-names" : false, "suffix" : "" }, { "dropping-particle" : "", "family" : "Beltrame", "given" : "Valeria", "non-dropping-particle" : "", "parse-names" : false, "suffix" : "" }, { "dropping-particle" : "", "family" : "Vezz\u00f9", "given" : "Maristella", "non-dropping-particle" : "", "parse-names" : false, "suffix" : "" }, { "dropping-particle" : "", "family" : "Cozzi", "given" : "Luisella", "non-dropping-particle" : "", "parse-names" : false, "suffix" : "" }, { "dropping-particle" : "", "family" : "Scarpa", "given" : "Raffaele", "non-dropping-particle" : "", "parse-names" : false, "suffix" : "" }, { "dropping-particle" : "", "family" : "Sacerdoti", "given" : "David", "non-dropping-particle" : "", "parse-names" : false, "suffix" : "" }, { "dropping-particle" : "", "family" : "Punzi", "given" : "Leonardo", "non-dropping-particle" : "", "parse-names" : false, "suffix" : "" }, { "dropping-particle" : "", "family" : "Doria", "given" : "Andrea", "non-dropping-particle" : "", "parse-names" : false, "suffix" : "" }, { "dropping-particle" : "", "family" : "Calabrese", "given" : "Fiorella", "non-dropping-particle" : "", "parse-names" : false, "suffix" : "" }, { "dropping-particle" : "", "family" : "Rubaltelli", "given" : "Leopoldo", "non-dropping-particle" : "", "parse-names" : false, "suffix" : "" } ], "container-title" : "Clinical rheumatology", "id" : "ITEM-1", "issue" : "11", "issued" : { "date-parts" : [ [ "2015" ] ] }, "page" : "1903-12", "title" : "Vascular perfusion kinetics by contrast-enhanced ultrasound are related to synovial microvascularity in the joints of psoriatic arthritis.", "type" : "article-journal", "volume" : "34" }, "uris" : [ "http://www.mendeley.com/documents/?uuid=d4e4f219-acc6-4372-b647-5218bc89f768" ] } ], "mendeley" : { "formattedCitation" : "[5]", "plainTextFormattedCitation" : "[5]", "previouslyFormattedCitation" : "[5]" }, "properties" : { "noteIndex" : 0 }, "schema" : "https://github.com/citation-style-language/schema/raw/master/csl-citation.json" }</w:instrText>
      </w:r>
      <w:r w:rsidR="00D71BC1" w:rsidRPr="00975079">
        <w:fldChar w:fldCharType="separate"/>
      </w:r>
      <w:r w:rsidR="00B53D16" w:rsidRPr="00975079">
        <w:rPr>
          <w:noProof/>
        </w:rPr>
        <w:t>[5]</w:t>
      </w:r>
      <w:r w:rsidR="00D71BC1" w:rsidRPr="00975079">
        <w:fldChar w:fldCharType="end"/>
      </w:r>
      <w:r w:rsidRPr="00975079">
        <w:t xml:space="preserve">. </w:t>
      </w:r>
      <w:r w:rsidR="00256A3F" w:rsidRPr="00975079">
        <w:t xml:space="preserve">A reduction of blood volume fraction of synovial capillaries has been already observed in rheumatoid arthritis </w:t>
      </w:r>
      <w:r w:rsidR="00256A3F" w:rsidRPr="00975079">
        <w:fldChar w:fldCharType="begin" w:fldLock="1"/>
      </w:r>
      <w:r w:rsidR="00E93668" w:rsidRPr="00975079">
        <w:instrText>ADDIN CSL_CITATION { "citationItems" : [ { "id" : "ITEM-1", "itemData" : { "ISSN" : "0315-162X (Print)", "PMID" : "2359066", "abstract" : "The chronically inflamed joint is usually chronically hypoxic and acidotic, and this is due partly to a high synovial metabolic rate, partly to reduced synovial capillary density and capillary \"burial\" under thickened synovium, and partly, in the end stages, to a chronically reduced blood flow. In addition, recent work indicates that prolonged flexion or strong muscular contraction around a chronically inflamed joint (knee) can exacerbate the biochemical abnormalities, by transiently raising intraarticular pressure to such high levels as to further impair synovial blood flow. The resulting unphysiological internal environment is presumably detrimental per se to the joint's well being, though precisely how requires more explicit investigation. The possibility that the subsequent reperfusion during joint relaxation is itself a damaging, radical generating process represents an additional exciting, albeit still contentious development.", "author" : [ { "dropping-particle" : "", "family" : "Levick", "given" : "J R", "non-dropping-particle" : "", "parse-names" : false, "suffix" : "" } ], "container-title" : "The Journal of rheumatology", "id" : "ITEM-1", "issue" : "5", "issued" : { "date-parts" : [ [ "1990", "5" ] ] }, "language" : "eng", "page" : "579-582", "publisher-place" : "CANADA", "title" : "Hypoxia and acidosis in chronic inflammatory arthritis; relation to vascular supply and dynamic effusion pressure.", "type" : "article-journal", "volume" : "17" }, "uris" : [ "http://www.mendeley.com/documents/?uuid=c50fbbd5-7f59-4721-ae16-b11e7ea3e5da" ] }, { "id" : "ITEM-2", "itemData" : { "ISSN" : "0004-3591 (Print)", "PMID" : "1747135", "abstract" : "Vascularity is said to be increased (subjectively) in rheumatoid arthritis, yet synovial fluid is hypoxic and acidotic. Morphometry by image analysis was used to quantify vascularity in normal and rheumatoid synovium from the knee joint. Capillaries were distributed more deeply in the rheumatoid synovium (93.3 microns, compared with 32.5 microns in normal synovium) and were significantly less densely arranged (80.2/mm2 rheumatoid, 241.5/mm2 normal). The blood volume fraction fell from 2.9% in normal knee synovium to 1.2% in rheumatoid synovium. These results imply that there is impairment of O2 transfer, which contributes to the intraarticular hypoxia, in rheumatoid arthritis.", "author" : [ { "dropping-particle" : "", "family" : "Stevens", "given" : "C R", "non-dropping-particle" : "", "parse-names" : false, "suffix" : "" }, { "dropping-particle" : "", "family" : "Blake", "given" : "D R", "non-dropping-particle" : "", "parse-names" : false, "suffix" : "" }, { "dropping-particle" : "", "family" : "Merry", "given" : "P", "non-dropping-particle" : "", "parse-names" : false, "suffix" : "" }, { "dropping-particle" : "", "family" : "Revell", "given" : "P A", "non-dropping-particle" : "", "parse-names" : false, "suffix" : "" }, { "dropping-particle" : "", "family" : "Levick", "given" : "J R", "non-dropping-particle" : "", "parse-names" : false, "suffix" : "" } ], "container-title" : "Arthritis and rheumatism", "id" : "ITEM-2", "issue" : "12", "issued" : { "date-parts" : [ [ "1991", "12" ] ] }, "language" : "eng", "page" : "1508-1513", "publisher-place" : "UNITED STATES", "title" : "A comparative study by morphometry of the microvasculature in normal and rheumatoid synovium.", "type" : "article-journal", "volume" : "34" }, "uris" : [ "http://www.mendeley.com/documents/?uuid=10ad89f6-637f-4275-8a85-213f1e318f19" ] } ], "mendeley" : { "formattedCitation" : "[41,42]", "plainTextFormattedCitation" : "[41,42]", "previouslyFormattedCitation" : "[40,41]" }, "properties" : { "noteIndex" : 0 }, "schema" : "https://github.com/citation-style-language/schema/raw/master/csl-citation.json" }</w:instrText>
      </w:r>
      <w:r w:rsidR="00256A3F" w:rsidRPr="00975079">
        <w:fldChar w:fldCharType="separate"/>
      </w:r>
      <w:r w:rsidR="00E93668" w:rsidRPr="00975079">
        <w:rPr>
          <w:noProof/>
        </w:rPr>
        <w:t>[41,42]</w:t>
      </w:r>
      <w:r w:rsidR="00256A3F" w:rsidRPr="00975079">
        <w:fldChar w:fldCharType="end"/>
      </w:r>
      <w:r w:rsidR="00256A3F" w:rsidRPr="00975079">
        <w:t xml:space="preserve">. </w:t>
      </w:r>
      <w:r w:rsidR="003F5F79" w:rsidRPr="00975079">
        <w:t xml:space="preserve">Our results are in agreement with these previous findings: in RA patients, the mean and variability of the amplitude of the slow component detected in the data is significantly higher than in patients affected by other, less aggressive, forms of arthritis. </w:t>
      </w:r>
    </w:p>
    <w:p w14:paraId="4DE054E5" w14:textId="4825F336" w:rsidR="00D71BC1" w:rsidRPr="00975079" w:rsidRDefault="00D71BC1" w:rsidP="00D71BC1">
      <w:pPr>
        <w:pStyle w:val="Text"/>
      </w:pPr>
      <w:r w:rsidRPr="00975079">
        <w:t xml:space="preserve">Among the potential factors which may affect the </w:t>
      </w:r>
      <w:r w:rsidR="00303B1F" w:rsidRPr="00975079">
        <w:t xml:space="preserve">observed </w:t>
      </w:r>
      <w:r w:rsidRPr="00975079">
        <w:t>synovial refilling time, the</w:t>
      </w:r>
      <w:r w:rsidR="006B01AC" w:rsidRPr="00975079">
        <w:t>re are the</w:t>
      </w:r>
      <w:r w:rsidRPr="00975079">
        <w:t xml:space="preserve"> vessel intrinsic factors, as tortuosity of the microvasculature, reduced vessel diame</w:t>
      </w:r>
      <w:r w:rsidR="00256A3F" w:rsidRPr="00975079">
        <w:t xml:space="preserve">ter, or capillary obliteration </w:t>
      </w:r>
      <w:r w:rsidR="00256A3F" w:rsidRPr="00975079">
        <w:fldChar w:fldCharType="begin" w:fldLock="1"/>
      </w:r>
      <w:r w:rsidR="00E93668" w:rsidRPr="00975079">
        <w:instrText>ADDIN CSL_CITATION { "citationItems" : [ { "id" : "ITEM-1", "itemData" : { "ISSN" : "0008-5472 (Print)", "PMID" : "3282647", "abstract" : "Blood flow rate in a vascular network is proportional to the pressure difference  between the arterial and venous sides and inversely proportional to the viscous and geometric resistances. Despite rapid progress in recent years, there is a paucity of quantitative data on these three determinants of blood flow in tumors and several questions remain unanswered. This paper reviews our current knowledge of these three parameters for normal and neoplastic tissues, the methods of their measurements, and the implications of the results in the growth and metastasis formation as well as in the detection and treatment of tumors. Microvascular pressures in the arterial side are nearly equal in tumor and nontumorous vessels. Pressures in venular vessels, which are numerically dominant in tumors, are significantly lower in a tumor than those in a nontumorous tissue. Decreased intravascular pressure and increased interstitial pressure in tumors are partly responsible for the vessel collapse as well as the flow stasis and reversal in tumors. The apparent viscosity (viscous resistance) of blood is governed by the viscosity of plasma and the number, size, and rigidity of blood cells. Plasma viscosity can be increased by adding certain solutes. The concentration of cells can be increased by adding cells to blood or by reducing plasma volume. The rigidity of RBC, which are numerically dominant in blood, can be increased by lowering pH, elevating temperature, increasing extracellular glucose concentration, or making the suspending medium hypo- or hypertonic. Effective size of blood cells can be increased by forming RBC aggregates (also referred to as rouleaux). RBC aggregation can be facilitated by lowering the shear rate (i.e., decreasing velocity gradients) or by adding macromolecules (e.g., fibrinogen, globulins, dextrans). Since cancer cells and WBC are significantly more rigid than RBC, their presence in a vessel may also increase blood viscosity and may even cause transient stasis. Finally, due to the relatively large diameters of tumor microvessels the Fahraeus effect (i.e., reduction in hematocrit in small vessels) and the Fahraeus-Lindqvist effect (i.e., reduction in blood viscosity in small vessels) may be less pronounced in tumors than in normal tissues. Geometric resistance for a network of vessels is a complex function of the vascular morphology, i.e., the number of vessels of various types, their branching pattern, and their length and diameter. Geometric res\u2026", "author" : [ { "dropping-particle" : "", "family" : "Jain", "given" : "R K", "non-dropping-particle" : "", "parse-names" : false, "suffix" : "" } ], "container-title" : "Cancer research", "id" : "ITEM-1", "issue" : "10", "issued" : { "date-parts" : [ [ "1988", "5" ] ] }, "language" : "eng", "page" : "2641-2658", "publisher-place" : "UNITED STATES", "title" : "Determinants of tumor blood flow: a review.", "type" : "article-journal", "volume" : "48" }, "uris" : [ "http://www.mendeley.com/documents/?uuid=cf2f93e4-9712-4492-8578-b0d06153ce53" ] } ], "mendeley" : { "formattedCitation" : "[43]", "plainTextFormattedCitation" : "[43]", "previouslyFormattedCitation" : "[42]" }, "properties" : { "noteIndex" : 0 }, "schema" : "https://github.com/citation-style-language/schema/raw/master/csl-citation.json" }</w:instrText>
      </w:r>
      <w:r w:rsidR="00256A3F" w:rsidRPr="00975079">
        <w:fldChar w:fldCharType="separate"/>
      </w:r>
      <w:r w:rsidR="00E93668" w:rsidRPr="00975079">
        <w:rPr>
          <w:noProof/>
        </w:rPr>
        <w:t>[43]</w:t>
      </w:r>
      <w:r w:rsidR="00256A3F" w:rsidRPr="00975079">
        <w:fldChar w:fldCharType="end"/>
      </w:r>
      <w:r w:rsidRPr="00975079">
        <w:t xml:space="preserve">. </w:t>
      </w:r>
      <w:r w:rsidR="000D7C50" w:rsidRPr="00975079">
        <w:t xml:space="preserve">In this case, the passage of the microbubbles in the vessels might slow down so that it is not possible to identify the washout within the experimental time of the CEUS exam, thus appearing as a trapping. </w:t>
      </w:r>
    </w:p>
    <w:p w14:paraId="3D2B23BE" w14:textId="601A70E4" w:rsidR="000D7C50" w:rsidRPr="00975079" w:rsidRDefault="000D7C50" w:rsidP="00D71BC1">
      <w:pPr>
        <w:pStyle w:val="Text"/>
      </w:pPr>
      <w:r w:rsidRPr="00975079">
        <w:t xml:space="preserve">Another possible explanation could be the increase in the intra-articular pressure due to the increase in synovial fluid in chronic arthritis </w:t>
      </w:r>
      <w:r w:rsidR="00EC5F37" w:rsidRPr="00975079">
        <w:fldChar w:fldCharType="begin" w:fldLock="1"/>
      </w:r>
      <w:r w:rsidR="00E93668" w:rsidRPr="00975079">
        <w:instrText>ADDIN CSL_CITATION { "citationItems" : [ { "id" : "ITEM-1", "itemData" : { "ISSN" : "0301-620X", "PMID" : "4639443", "author" : [ { "dropping-particle" : "", "family" : "Myers", "given" : "D B", "non-dropping-particle" : "", "parse-names" : false, "suffix" : "" }, { "dropping-particle" : "", "family" : "Palmer", "given" : "D G", "non-dropping-particle" : "", "parse-names" : false, "suffix" : "" } ], "container-title" : "The Journal of bone and joint surgery. British volume", "id" : "ITEM-1", "issue" : "4", "issued" : { "date-parts" : [ [ "1972" ] ] }, "page" : "710-6", "title" : "Capsular compliance and pressure-volume relationships in normal and arthritic knees.", "type" : "article-journal", "volume" : "54" }, "uris" : [ "http://www.mendeley.com/documents/?uuid=f1b30367-ee16-4309-9b17-203a25ec4c13" ] } ], "mendeley" : { "formattedCitation" : "[44]", "plainTextFormattedCitation" : "[44]", "previouslyFormattedCitation" : "[43]" }, "properties" : { "noteIndex" : 0 }, "schema" : "https://github.com/citation-style-language/schema/raw/master/csl-citation.json" }</w:instrText>
      </w:r>
      <w:r w:rsidR="00EC5F37" w:rsidRPr="00975079">
        <w:fldChar w:fldCharType="separate"/>
      </w:r>
      <w:r w:rsidR="00E93668" w:rsidRPr="00975079">
        <w:rPr>
          <w:noProof/>
        </w:rPr>
        <w:t>[44]</w:t>
      </w:r>
      <w:r w:rsidR="00EC5F37" w:rsidRPr="00975079">
        <w:fldChar w:fldCharType="end"/>
      </w:r>
      <w:r w:rsidRPr="00975079">
        <w:t xml:space="preserve">. However, this increase would imply a more homogeneous trapping effect in the synovia, which is in conflict with the spatial gradient observed in the amplitude of the integral component. </w:t>
      </w:r>
    </w:p>
    <w:p w14:paraId="4AA0CEAC" w14:textId="6735A904" w:rsidR="00C44DE4" w:rsidRPr="00975079" w:rsidRDefault="000D7C50" w:rsidP="00C44DE4">
      <w:pPr>
        <w:pStyle w:val="Text"/>
      </w:pPr>
      <w:r w:rsidRPr="00975079">
        <w:t xml:space="preserve">When applied to CEUS data, SCR resulted the most </w:t>
      </w:r>
      <w:r w:rsidR="00485C7D" w:rsidRPr="00975079">
        <w:t xml:space="preserve">probable model in </w:t>
      </w:r>
      <w:r w:rsidR="00182678" w:rsidRPr="00975079">
        <w:t>5</w:t>
      </w:r>
      <w:r w:rsidR="00DF513B" w:rsidRPr="00975079">
        <w:t>1</w:t>
      </w:r>
      <w:r w:rsidR="00485C7D" w:rsidRPr="00975079">
        <w:t xml:space="preserve">% of pixels, </w:t>
      </w:r>
      <w:r w:rsidRPr="00975079">
        <w:t xml:space="preserve">highlighting the necessity to consider the trapping component in at least half of the data. However, the single Gamma-variate was the model of choice with positive evidence in the other </w:t>
      </w:r>
      <w:r w:rsidR="00182678" w:rsidRPr="00975079">
        <w:t>44</w:t>
      </w:r>
      <w:r w:rsidRPr="00975079">
        <w:t xml:space="preserve">% of pixels (there was a </w:t>
      </w:r>
      <w:r w:rsidR="00182678" w:rsidRPr="00975079">
        <w:t>5</w:t>
      </w:r>
      <w:r w:rsidRPr="00975079">
        <w:t xml:space="preserve">% of pixels with weak evidence for both models and nothing can be said about the optimal model in that subset). In principle, one should fit both models for each pixel and then choose the best one based on some parsimony criterion. More efficiently, since the two models are nested, we employed the automatic relevance determination, originally presented in </w:t>
      </w:r>
      <w:r w:rsidR="00EC5F37" w:rsidRPr="00975079">
        <w:fldChar w:fldCharType="begin" w:fldLock="1"/>
      </w:r>
      <w:r w:rsidR="0065204A" w:rsidRPr="00975079">
        <w:instrText>ADDIN CSL_CITATION { "citationItems" : [ { "id" : "ITEM-1", "itemData" : { "DOI" : "10.1088/0954-898X/6/3/011", "ISSN" : "0954-898X", "author" : [ { "dropping-particle" : "", "family" : "Mackay", "given" : "David", "non-dropping-particle" : "", "parse-names" : false, "suffix" : "" } ], "container-title" : "Network: Computation in Neural Systems", "id" : "ITEM-1", "issue" : "3", "issued" : { "date-parts" : [ [ "1995", "8", "1" ] ] }, "page" : "469-505", "title" : "Probable networks and plausible predictions \u2014 a review of practical Bayesian methods for supervised neural networks", "type" : "article-journal", "volume" : "6" }, "uris" : [ "http://www.mendeley.com/documents/?uuid=e3d0bc61-9f5b-4736-a842-8b884c99ecdd" ] } ], "mendeley" : { "formattedCitation" : "[20]", "plainTextFormattedCitation" : "[20]", "previouslyFormattedCitation" : "[20]" }, "properties" : { "noteIndex" : 0 }, "schema" : "https://github.com/citation-style-language/schema/raw/master/csl-citation.json" }</w:instrText>
      </w:r>
      <w:r w:rsidR="00EC5F37" w:rsidRPr="00975079">
        <w:fldChar w:fldCharType="separate"/>
      </w:r>
      <w:r w:rsidR="0065204A" w:rsidRPr="00975079">
        <w:rPr>
          <w:noProof/>
        </w:rPr>
        <w:t>[20]</w:t>
      </w:r>
      <w:r w:rsidR="00EC5F37" w:rsidRPr="00975079">
        <w:fldChar w:fldCharType="end"/>
      </w:r>
      <w:r w:rsidRPr="00975079">
        <w:t xml:space="preserve">, to automatically infer the model complexity directly from the data. The results obtained applying VB including ARD confirmed the initial results: the algorithm selected the SCR model in </w:t>
      </w:r>
      <w:r w:rsidR="00182678" w:rsidRPr="00975079">
        <w:t>47</w:t>
      </w:r>
      <w:r w:rsidRPr="00975079">
        <w:t xml:space="preserve">% of the total pixels, while the simpler Gamma-variate was sufficient to describe the CEUS data in the other </w:t>
      </w:r>
      <w:r w:rsidR="00182678" w:rsidRPr="00975079">
        <w:t>53</w:t>
      </w:r>
      <w:r w:rsidRPr="00975079">
        <w:t xml:space="preserve">% of pixels. The </w:t>
      </w:r>
      <w:r w:rsidRPr="00975079">
        <w:lastRenderedPageBreak/>
        <w:t>inclusion of the ARD in the Variational Bayesian method did not increase the computational time requested to complete a single subject analysis (</w:t>
      </w:r>
      <w:r w:rsidR="00DF513B" w:rsidRPr="00975079">
        <w:t>2.</w:t>
      </w:r>
      <w:r w:rsidR="00182678" w:rsidRPr="00975079">
        <w:t>2</w:t>
      </w:r>
      <w:r w:rsidRPr="00975079">
        <w:t xml:space="preserve"> minutes on average). Howeve</w:t>
      </w:r>
      <w:r w:rsidR="006B01AC" w:rsidRPr="00975079">
        <w:t>r, the model on-line selection</w:t>
      </w:r>
      <w:r w:rsidR="00A16ED0" w:rsidRPr="00975079">
        <w:t xml:space="preserve"> comes at a price, namely a</w:t>
      </w:r>
      <w:r w:rsidRPr="00975079">
        <w:t xml:space="preserve"> </w:t>
      </w:r>
      <w:r w:rsidR="00A16ED0" w:rsidRPr="00975079">
        <w:t xml:space="preserve">slight </w:t>
      </w:r>
      <w:r w:rsidRPr="00975079">
        <w:t>increased percenta</w:t>
      </w:r>
      <w:r w:rsidR="006B01AC" w:rsidRPr="00975079">
        <w:t xml:space="preserve">ge of outliers (between subject mean: </w:t>
      </w:r>
      <w:r w:rsidR="00A16ED0" w:rsidRPr="00975079">
        <w:t>1</w:t>
      </w:r>
      <w:r w:rsidR="00182678" w:rsidRPr="00975079">
        <w:t>7</w:t>
      </w:r>
      <w:r w:rsidRPr="00975079">
        <w:t xml:space="preserve">% ± </w:t>
      </w:r>
      <w:r w:rsidR="00A16ED0" w:rsidRPr="00975079">
        <w:t>17</w:t>
      </w:r>
      <w:r w:rsidRPr="00975079">
        <w:t>%).</w:t>
      </w:r>
    </w:p>
    <w:p w14:paraId="28203288" w14:textId="3B23D1DC" w:rsidR="00E97B99" w:rsidRPr="00975079" w:rsidRDefault="000D7C50" w:rsidP="0079732D">
      <w:pPr>
        <w:pStyle w:val="Text"/>
      </w:pPr>
      <w:r w:rsidRPr="00975079">
        <w:t>Interestingly, the model complexity follows a specific trend within the synovial area, being spatially dependent. In most subjects, the irreversible component is not necessary at the boundaries of the synovia, where the single Gamma-variate model is selected (</w:t>
      </w:r>
      <w:r w:rsidR="0068470B" w:rsidRPr="00975079">
        <w:t>Fig.</w:t>
      </w:r>
      <w:r w:rsidRPr="00975079">
        <w:t xml:space="preserve"> </w:t>
      </w:r>
      <w:r w:rsidR="00586365" w:rsidRPr="00975079">
        <w:t>3</w:t>
      </w:r>
      <w:r w:rsidRPr="00975079">
        <w:t xml:space="preserve">). </w:t>
      </w:r>
    </w:p>
    <w:p w14:paraId="724916CE" w14:textId="04244A5B" w:rsidR="00C44DE4" w:rsidRPr="00975079" w:rsidRDefault="00C44DE4" w:rsidP="00D031D5">
      <w:pPr>
        <w:pStyle w:val="Text"/>
      </w:pPr>
      <w:r w:rsidRPr="00975079">
        <w:t xml:space="preserve">When we used the perfusion estimates obtained with VB including ARD to train a SVM classifier, we were able to differentiate between RA </w:t>
      </w:r>
      <w:r w:rsidR="00333655" w:rsidRPr="00975079">
        <w:t>versus</w:t>
      </w:r>
      <w:r w:rsidRPr="00975079">
        <w:t xml:space="preserve"> other forms of arthritis with a sensitivity of </w:t>
      </w:r>
      <w:r w:rsidR="00333655" w:rsidRPr="00975079">
        <w:t>88</w:t>
      </w:r>
      <w:r w:rsidRPr="00975079">
        <w:t xml:space="preserve">%, a specificity of </w:t>
      </w:r>
      <w:r w:rsidR="00333655" w:rsidRPr="00975079">
        <w:t>86</w:t>
      </w:r>
      <w:r w:rsidRPr="00975079">
        <w:t>% and an overall balanced accuracy of 8</w:t>
      </w:r>
      <w:r w:rsidR="00333655" w:rsidRPr="00975079">
        <w:t>7</w:t>
      </w:r>
      <w:r w:rsidRPr="00975079">
        <w:t xml:space="preserve">%. </w:t>
      </w:r>
      <w:r w:rsidR="00D031D5" w:rsidRPr="00975079">
        <w:t xml:space="preserve">Although this level of accuracy and specificity might not be useful in terms of straightforward clinical diagnosis, it is important from a translational point of view. Being able to differentiate more aggressive types of arthritis on the base of perfusion patterns could help not only to unveil the etiopathology of arthritis but also to better depict treatment response. </w:t>
      </w:r>
      <w:r w:rsidR="006541C6" w:rsidRPr="00975079">
        <w:t>For example, t</w:t>
      </w:r>
      <w:r w:rsidR="00D031D5" w:rsidRPr="00975079">
        <w:t>he use of a more co</w:t>
      </w:r>
      <w:r w:rsidR="00333655" w:rsidRPr="00975079">
        <w:t xml:space="preserve">mplex model allows to find significant differences between patients only on the base of the slow component, that also plays a predominant </w:t>
      </w:r>
      <w:r w:rsidR="00E93668" w:rsidRPr="00975079">
        <w:t>role</w:t>
      </w:r>
      <w:r w:rsidR="00333655" w:rsidRPr="00975079">
        <w:t xml:space="preserve"> in the feature selection</w:t>
      </w:r>
      <w:r w:rsidR="00D031D5" w:rsidRPr="00975079">
        <w:t>.</w:t>
      </w:r>
      <w:r w:rsidR="00333655" w:rsidRPr="00975079">
        <w:t xml:space="preserve"> </w:t>
      </w:r>
      <w:r w:rsidR="00742A01" w:rsidRPr="00975079">
        <w:t>The SCR model has never been proposed for the analysis of CEUS data, and in this sense any new information can be extremely important for the study of the pathology.</w:t>
      </w:r>
    </w:p>
    <w:p w14:paraId="39F5F891" w14:textId="1F524A64" w:rsidR="000518FA" w:rsidRPr="00975079" w:rsidRDefault="000518FA" w:rsidP="0079732D">
      <w:pPr>
        <w:pStyle w:val="Text"/>
      </w:pPr>
      <w:r w:rsidRPr="00975079">
        <w:t xml:space="preserve">It is interesting to note that these results are not affected by the orientation of blood vessels relative to the imaging plane. </w:t>
      </w:r>
      <w:r w:rsidR="00E64580" w:rsidRPr="00975079">
        <w:t xml:space="preserve">The locality of the analysis ensures that the time-intensity curve is related to the appearance of a quantity of microbubbles in a imaged region (pixel), with very little influence from the direction (whether the vessel is longitudinal or cross-sectional to the plane) or speed of the blood flow. </w:t>
      </w:r>
    </w:p>
    <w:p w14:paraId="1670C50D" w14:textId="13855EF6" w:rsidR="005139AA" w:rsidRPr="00975079" w:rsidRDefault="005139AA" w:rsidP="0079732D">
      <w:pPr>
        <w:pStyle w:val="Text"/>
      </w:pPr>
      <w:r w:rsidRPr="00975079">
        <w:t xml:space="preserve">CEUS has great potential for many other clinical applications (with data quantified with SCR and solved with VB), where it is important to assess the microvasculature </w:t>
      </w:r>
      <w:r w:rsidR="00626655" w:rsidRPr="00975079">
        <w:t>structure</w:t>
      </w:r>
      <w:r w:rsidRPr="00975079">
        <w:t xml:space="preserve">. The most prominent examples are the study of tumours (e.g. to assess tumour angiogenesis or for lesion detection in brain, liver or kidney), assessment of myocardial perfusion and vascular pathologies (for example, aneurysms or dissections). </w:t>
      </w:r>
      <w:r w:rsidR="00E64580" w:rsidRPr="00975079">
        <w:t>In fact, CEUS great advantage with respect to other imaging modalities is the ability to image s</w:t>
      </w:r>
      <w:r w:rsidR="004C3D75" w:rsidRPr="00975079">
        <w:t xml:space="preserve">mall capillaries (mean diameter 8-9 µm, </w:t>
      </w:r>
      <w:r w:rsidR="004C3D75" w:rsidRPr="00975079">
        <w:fldChar w:fldCharType="begin" w:fldLock="1"/>
      </w:r>
      <w:r w:rsidR="00E93668" w:rsidRPr="00975079">
        <w:instrText>ADDIN CSL_CITATION { "citationItems" : [ { "id" : "ITEM-1", "itemData" : { "DOI" : "10.1002/art.1780050303", "ISSN" : "1529-0131", "author" : [ { "dropping-particle" : "", "family" : "Lindstrom", "given" : "J\u00f6rgen", "non-dropping-particle" : "", "parse-names" : false, "suffix" : "" }, { "dropping-particle" : "", "family" : "Branemark", "given" : "Per-Ingvar", "non-dropping-particle" : "", "parse-names" : false, "suffix" : "" } ], "container-title" : "Arthritis &amp; Rheumatism", "id" : "ITEM-1", "issue" : "3", "issued" : { "date-parts" : [ [ "1962", "6", "1" ] ] }, "page" : "226-236", "publisher" : "John Wiley &amp; Sons, Inc.", "title" : "Capillary circulation in the joint capsule of the rabbit's knee: A vital microscopic study", "type" : "article-journal", "volume" : "5" }, "uris" : [ "http://www.mendeley.com/documents/?uuid=8e0bb345-07f6-449b-a43b-2c85eb7a654c" ] } ], "mendeley" : { "formattedCitation" : "[45]", "plainTextFormattedCitation" : "[45]", "previouslyFormattedCitation" : "[44]" }, "properties" : { "noteIndex" : 0 }, "schema" : "https://github.com/citation-style-language/schema/raw/master/csl-citation.json" }</w:instrText>
      </w:r>
      <w:r w:rsidR="004C3D75" w:rsidRPr="00975079">
        <w:fldChar w:fldCharType="separate"/>
      </w:r>
      <w:r w:rsidR="00E93668" w:rsidRPr="00975079">
        <w:rPr>
          <w:noProof/>
        </w:rPr>
        <w:t>[45]</w:t>
      </w:r>
      <w:r w:rsidR="004C3D75" w:rsidRPr="00975079">
        <w:fldChar w:fldCharType="end"/>
      </w:r>
      <w:r w:rsidR="004C3D75" w:rsidRPr="00975079">
        <w:t>)</w:t>
      </w:r>
      <w:r w:rsidR="00E64580" w:rsidRPr="00975079">
        <w:t>:</w:t>
      </w:r>
      <w:r w:rsidR="004C3D75" w:rsidRPr="00975079">
        <w:t xml:space="preserve"> the only possible limitation </w:t>
      </w:r>
      <w:r w:rsidR="00E64580" w:rsidRPr="00975079">
        <w:t>is</w:t>
      </w:r>
      <w:r w:rsidR="004C3D75" w:rsidRPr="00975079">
        <w:t xml:space="preserve"> the </w:t>
      </w:r>
      <w:r w:rsidR="00F32AAE" w:rsidRPr="00975079">
        <w:t xml:space="preserve">ultrasonic penetration (and echo capture) within the tissue to be studied </w:t>
      </w:r>
      <w:r w:rsidR="004C3D75" w:rsidRPr="00975079">
        <w:t xml:space="preserve">during the exam (e.g. in arthritis, the presence of the bone that limits the visibility of the whole articulation). </w:t>
      </w:r>
    </w:p>
    <w:p w14:paraId="6763F393" w14:textId="364BDB96" w:rsidR="000D7C50" w:rsidRPr="00975079" w:rsidRDefault="00B576C8" w:rsidP="0028327B">
      <w:pPr>
        <w:pStyle w:val="Titolo2"/>
      </w:pPr>
      <w:r w:rsidRPr="00975079">
        <w:t>D</w:t>
      </w:r>
      <w:r w:rsidR="000D7C50" w:rsidRPr="00975079">
        <w:t>efinition</w:t>
      </w:r>
      <w:r w:rsidRPr="00975079">
        <w:t xml:space="preserve"> of the </w:t>
      </w:r>
      <w:r w:rsidR="0028327B" w:rsidRPr="00975079">
        <w:t xml:space="preserve">Bayesian </w:t>
      </w:r>
      <w:r w:rsidRPr="00975079">
        <w:t>priors</w:t>
      </w:r>
    </w:p>
    <w:p w14:paraId="24A2B2E9" w14:textId="7D3AD1E5" w:rsidR="000D7C50" w:rsidRPr="00975079" w:rsidRDefault="000D7C50" w:rsidP="0079732D">
      <w:pPr>
        <w:pStyle w:val="Text"/>
      </w:pPr>
      <w:r w:rsidRPr="00975079">
        <w:t xml:space="preserve">The main issue in the implementation of a Bayesian estimator is the definition of an appropriate set of priors. The prior distribution of the model parameters can be set to literature values, however CEUS data heterogeneity prevents the use of strict prior information for the totality of the pixels in the synovia. Moreover, the presence of different types of arthritis, each characterized by a different morphogenesis and vascular </w:t>
      </w:r>
      <w:r w:rsidRPr="00975079">
        <w:t xml:space="preserve">patterns, precludes the definition of general priors. </w:t>
      </w:r>
    </w:p>
    <w:p w14:paraId="10B65F5A" w14:textId="21C3966F" w:rsidR="000D7C50" w:rsidRPr="00975079" w:rsidRDefault="000D7C50" w:rsidP="0079732D">
      <w:pPr>
        <w:pStyle w:val="Text"/>
      </w:pPr>
      <w:r w:rsidRPr="00975079">
        <w:t xml:space="preserve">A valid alternative is to retrieve robust and reliable information directly from the data, in a user-independent top-down approach: following a hierarchical scheme the prior distributions to use at the pixel level are obtained for each subject from the region-wise model estimates solved with NLLS. In our case, regions of interest are derived by functional parametric clustering, with k-means algorithm and 6 clusters (which were reduced to 2 clusters when the synovia comprised less than 100 pixels). The number of clusters was set empirically to detect the different main components in the data </w:t>
      </w:r>
      <w:r w:rsidR="00EC5F37" w:rsidRPr="00975079">
        <w:fldChar w:fldCharType="begin" w:fldLock="1"/>
      </w:r>
      <w:r w:rsidR="00E93668" w:rsidRPr="00975079">
        <w:instrText>ADDIN CSL_CITATION { "citationItems" : [ { "id" : "ITEM-1", "itemData" : { "DOI" : "10.1007/978-3-319-13909-8_3", "ISBN" : "978-3-319-13908-1", "author" : [ { "dropping-particle" : "", "family" : "Rizzo", "given" : "Gaia", "non-dropping-particle" : "", "parse-names" : false, "suffix" : "" }, { "dropping-particle" : "", "family" : "Raffeiner", "given" : "Bernd", "non-dropping-particle" : "", "parse-names" : false, "suffix" : "" }, { "dropping-particle" : "", "family" : "Coran", "given" : "Alessandro", "non-dropping-particle" : "", "parse-names" : false, "suffix" : "" }, { "dropping-particle" : "", "family" : "Stramare", "given" : "Roberto", "non-dropping-particle" : "", "parse-names" : false, "suffix" : "" }, { "dropping-particle" : "", "family" : "Grisan", "given" : "Enrico", "non-dropping-particle" : "", "parse-names" : false, "suffix" : "" } ], "chapter-number" : "3", "container-title" : "Clinical Image-Based Procedures. Translational Research in Medical Imaging", "editor" : [ { "dropping-particle" : "", "family" : "Linguraru", "given" : "Marius George", "non-dropping-particle" : "", "parse-names" : false, "suffix" : "" }, { "dropping-particle" : "", "family" : "Oyarzun Laura", "given" : "Cristina", "non-dropping-particle" : "", "parse-names" : false, "suffix" : "" }, { "dropping-particle" : "", "family" : "Shekhar", "given" : "Raj", "non-dropping-particle" : "", "parse-names" : false, "suffix" : "" }, { "dropping-particle" : "", "family" : "Wesarg", "given" : "Stefan", "non-dropping-particle" : "", "parse-names" : false, "suffix" : "" }, { "dropping-particle" : "", "family" : "Gonz\u00e1lez Ballester", "given" : "Miguel \u00c1ngel", "non-dropping-particle" : "", "parse-names" : false, "suffix" : "" }, { "dropping-particle" : "", "family" : "Drechsler", "given" : "Klaus", "non-dropping-particle" : "", "parse-names" : false, "suffix" : "" }, { "dropping-particle" : "", "family" : "Sato", "given" : "Yoshinobu", "non-dropping-particle" : "", "parse-names" : false, "suffix" : "" }, { "dropping-particle" : "", "family" : "Erdt", "given" : "Marius", "non-dropping-particle" : "", "parse-names" : false, "suffix" : "" } ], "id" : "ITEM-1", "issued" : { "date-parts" : [ [ "2014" ] ] }, "language" : "English", "page" : "17-24", "publisher" : "Springer International Publishing", "title" : "Data-Driven Learning to Detect Characteristic Kinetics in Ultrasound Images of Arthritis", "type" : "chapter" }, "uris" : [ "http://www.mendeley.com/documents/?uuid=a2f80f17-fc15-4e82-819b-5a0c7fd5aac9" ] } ], "mendeley" : { "formattedCitation" : "[31]", "plainTextFormattedCitation" : "[31]", "previouslyFormattedCitation" : "[30]" }, "properties" : { "noteIndex" : 0 }, "schema" : "https://github.com/citation-style-language/schema/raw/master/csl-citation.json" }</w:instrText>
      </w:r>
      <w:r w:rsidR="00EC5F37" w:rsidRPr="00975079">
        <w:fldChar w:fldCharType="separate"/>
      </w:r>
      <w:r w:rsidR="00E93668" w:rsidRPr="00975079">
        <w:rPr>
          <w:noProof/>
        </w:rPr>
        <w:t>[31]</w:t>
      </w:r>
      <w:r w:rsidR="00EC5F37" w:rsidRPr="00975079">
        <w:fldChar w:fldCharType="end"/>
      </w:r>
      <w:r w:rsidRPr="00975079">
        <w:t xml:space="preserve">. In general, the number of clusters determines in a way the quality of the prior distributions: the use of too many clusters will result in detailed segmentation of the synovia and therefore noisy region-wise CEUS kinetics that could be lead to difficulties in the numerical estimation of the curves. On the other hand, the use of too few clusters will result in a coarse segmentation of the synovia leading to less informative priors (due to mixed kinetic components in the same </w:t>
      </w:r>
      <w:r w:rsidR="006B01AC" w:rsidRPr="00975079">
        <w:t>ROI</w:t>
      </w:r>
      <w:r w:rsidRPr="00975079">
        <w:t xml:space="preserve">). </w:t>
      </w:r>
    </w:p>
    <w:p w14:paraId="3F74B6D8" w14:textId="4826DFDE" w:rsidR="000D7C50" w:rsidRPr="00975079" w:rsidRDefault="000D7C50" w:rsidP="0079732D">
      <w:pPr>
        <w:pStyle w:val="Text"/>
      </w:pPr>
      <w:r w:rsidRPr="00975079">
        <w:t xml:space="preserve">In this way we can determine tailored priors for each region of interest, with the prior variance set based on the prior mean, with a 50% of coefficient of variation. This value was set based on previous studies </w:t>
      </w:r>
      <w:r w:rsidR="00EE28C0" w:rsidRPr="00975079">
        <w:fldChar w:fldCharType="begin" w:fldLock="1"/>
      </w:r>
      <w:r w:rsidR="00E93668" w:rsidRPr="00975079">
        <w:instrText>ADDIN CSL_CITATION { "citationItems" : [ { "id" : "ITEM-1", "itemData" : { "DOI" : "10.1007/s11307-016-0969-2", "author" : [ { "dropping-particle" : "", "family" : "Rizzo", "given" : "Gaia", "non-dropping-particle" : "", "parse-names" : false, "suffix" : "" }, { "dropping-particle" : "", "family" : "Tonietto", "given" : "Matteo", "non-dropping-particle" : "", "parse-names" : false, "suffix" : "" }, { "dropping-particle" : "", "family" : "Zanoni", "given" : "Simone", "non-dropping-particle" : "", "parse-names" : false, "suffix" : "" }, { "dropping-particle" : "", "family" : "Chappell", "given" : "Michael A", "non-dropping-particle" : "", "parse-names" : false, "suffix" : "" }, { "dropping-particle" : "", "family" : "Castellaro", "given" : "Marco", "non-dropping-particle" : "", "parse-names" : false, "suffix" : "" }, { "dropping-particle" : "", "family" : "Bertoldo", "given" : "Alessandra", "non-dropping-particle" : "", "parse-names" : false, "suffix" : "" } ], "container-title" : "Molecular Imaging and Biology", "id" : "ITEM-1", "issue" : "Suppl 1", "issued" : { "date-parts" : [ [ "2015" ] ] }, "page" : "S602-S603", "title" : "Use of a Variational Bayesian inference approach for the quantification of brain PET data at the voxel level", "type" : "article-journal", "volume" : "18" }, "uris" : [ "http://www.mendeley.com/documents/?uuid=4f53019d-ec74-394a-8f88-a6acb112e3db" ] } ], "mendeley" : { "formattedCitation" : "[33]", "plainTextFormattedCitation" : "[33]", "previouslyFormattedCitation" : "[32]" }, "properties" : { "noteIndex" : 0 }, "schema" : "https://github.com/citation-style-language/schema/raw/master/csl-citation.json" }</w:instrText>
      </w:r>
      <w:r w:rsidR="00EE28C0" w:rsidRPr="00975079">
        <w:fldChar w:fldCharType="separate"/>
      </w:r>
      <w:r w:rsidR="00E93668" w:rsidRPr="00975079">
        <w:rPr>
          <w:noProof/>
        </w:rPr>
        <w:t>[33]</w:t>
      </w:r>
      <w:r w:rsidR="00EE28C0" w:rsidRPr="00975079">
        <w:fldChar w:fldCharType="end"/>
      </w:r>
      <w:r w:rsidRPr="00975079">
        <w:t xml:space="preserve">. </w:t>
      </w:r>
    </w:p>
    <w:p w14:paraId="0C4C54F5" w14:textId="227A9E37" w:rsidR="000D7C50" w:rsidRPr="00975079" w:rsidRDefault="000D7C50" w:rsidP="0079732D">
      <w:pPr>
        <w:pStyle w:val="Text"/>
      </w:pPr>
      <w:r w:rsidRPr="00975079">
        <w:t>It is important to note that despite the definition of a common prior for all the pixels in the region, variation in the parameter value at the pixel level is permitted in the inference procedure.</w:t>
      </w:r>
    </w:p>
    <w:p w14:paraId="1507FF64" w14:textId="2BC1A299" w:rsidR="000D7C50" w:rsidRPr="00975079" w:rsidRDefault="000D7C50" w:rsidP="0079732D">
      <w:pPr>
        <w:pStyle w:val="Titolo2"/>
        <w:jc w:val="both"/>
      </w:pPr>
      <w:r w:rsidRPr="00975079">
        <w:t>Variational Bayesian performance</w:t>
      </w:r>
    </w:p>
    <w:p w14:paraId="2F942626" w14:textId="4AA9BA93" w:rsidR="00221A06" w:rsidRPr="00975079" w:rsidRDefault="00221A06" w:rsidP="0079732D">
      <w:pPr>
        <w:pStyle w:val="Text"/>
      </w:pPr>
      <w:r w:rsidRPr="00975079">
        <w:t xml:space="preserve">VB is a Bayesian method that has been shown to outperform conventional NLLS by providing accurate and robust estimates, with a substantial lower percentage of outliers, when applied to both magnetic resonance </w:t>
      </w:r>
      <w:r w:rsidR="00EC5F37" w:rsidRPr="00975079">
        <w:fldChar w:fldCharType="begin" w:fldLock="1"/>
      </w:r>
      <w:r w:rsidR="001A6F4F" w:rsidRPr="00975079">
        <w:instrText>ADDIN CSL_CITATION { "citationItems" : [ { "id" : "ITEM-1", "itemData" : { "DOI" : "10.1109/TSP.2008.2005752", "ISBN" : "1053-587X", "ISSN" : "1053-587X", "abstract" : "Abstract Variational Bayes (VB) has been proposed as a method to facilitate calculations of the posterior distributions for linear models, by providing a fast method for Bayesian inference by estimating the parameters of a factorized approximation to the posterior ... \\n", "author" : [ { "dropping-particle" : "", "family" : "Chappell", "given" : "M a", "non-dropping-particle" : "", "parse-names" : false, "suffix" : "" }, { "dropping-particle" : "", "family" : "Groves", "given" : "a R", "non-dropping-particle" : "", "parse-names" : false, "suffix" : "" }, { "dropping-particle" : "", "family" : "Whitcher", "given" : "B", "non-dropping-particle" : "", "parse-names" : false, "suffix" : "" }, { "dropping-particle" : "", "family" : "Woolrich", "given" : "M W", "non-dropping-particle" : "", "parse-names" : false, "suffix" : "" } ], "container-title" : "IEEE Transactions on Signal Processing", "id" : "ITEM-1", "issue" : "1", "issued" : { "date-parts" : [ [ "2009" ] ] }, "page" : "223-236", "title" : "Variational Bayesian Inference for a Nonlinear Forward Model", "type" : "article-journal", "volume" : "57" }, "uris" : [ "http://www.mendeley.com/documents/?uuid=06569d4d-00ab-4519-816a-bec0ad08b5ee" ] } ], "mendeley" : { "formattedCitation" : "[18]", "plainTextFormattedCitation" : "[18]", "previouslyFormattedCitation" : "[18]" }, "properties" : { "noteIndex" : 0 }, "schema" : "https://github.com/citation-style-language/schema/raw/master/csl-citation.json" }</w:instrText>
      </w:r>
      <w:r w:rsidR="00EC5F37" w:rsidRPr="00975079">
        <w:fldChar w:fldCharType="separate"/>
      </w:r>
      <w:r w:rsidR="001A6F4F" w:rsidRPr="00975079">
        <w:rPr>
          <w:noProof/>
        </w:rPr>
        <w:t>[18]</w:t>
      </w:r>
      <w:r w:rsidR="00EC5F37" w:rsidRPr="00975079">
        <w:fldChar w:fldCharType="end"/>
      </w:r>
      <w:r w:rsidRPr="00975079">
        <w:t xml:space="preserve">. </w:t>
      </w:r>
    </w:p>
    <w:p w14:paraId="618842CA" w14:textId="5D9C4A48" w:rsidR="00221A06" w:rsidRPr="00975079" w:rsidRDefault="00221A06" w:rsidP="0079732D">
      <w:pPr>
        <w:pStyle w:val="Text"/>
      </w:pPr>
      <w:r w:rsidRPr="00975079">
        <w:t xml:space="preserve">To further confirm its validity also to quantify CEUS data, we compared the results obtained with VB with those obtained solving the model at the pixel level with NLLS, generally considered as the reference method for CEUS quantification at the region and pixel level. We analyzed separately the Gamma-variate and the SCR model. VB and NLLS estimates were compared in the intersection of pixels where both methods gave reliable estimates (as detailed in the methods section). We compared outliers percentage, correlation (as Pearson’s correlation coefficient </w:t>
      </w:r>
      <m:oMath>
        <m:r>
          <w:rPr>
            <w:rFonts w:ascii="Cambria Math" w:hAnsi="Cambria Math"/>
          </w:rPr>
          <m:t>R</m:t>
        </m:r>
      </m:oMath>
      <w:r w:rsidR="00D0746D" w:rsidRPr="00975079">
        <w:t>, slope and intercept of the regression line</w:t>
      </w:r>
      <w:r w:rsidRPr="00975079">
        <w:t>) and mean relative difference (MRD) between VB and NLLS estimates for both micro- and macroparameters of interest.</w:t>
      </w:r>
    </w:p>
    <w:p w14:paraId="4377280F" w14:textId="0E7C118D" w:rsidR="00221A06" w:rsidRPr="00975079" w:rsidRDefault="00221A06" w:rsidP="0079732D">
      <w:pPr>
        <w:pStyle w:val="Text"/>
      </w:pPr>
      <w:r w:rsidRPr="00975079">
        <w:t xml:space="preserve">The main impact of the method was the percentage of outliers: for </w:t>
      </w:r>
      <w:r w:rsidR="00350E78" w:rsidRPr="00975079">
        <w:t>Gamma-variate</w:t>
      </w:r>
      <w:r w:rsidRPr="00975079">
        <w:t xml:space="preserve"> model NLLS did not converge in </w:t>
      </w:r>
      <w:r w:rsidR="00A16ED0" w:rsidRPr="00975079">
        <w:t>22</w:t>
      </w:r>
      <w:r w:rsidRPr="00975079">
        <w:t xml:space="preserve">% ± </w:t>
      </w:r>
      <w:r w:rsidR="00A16ED0" w:rsidRPr="00975079">
        <w:t>24</w:t>
      </w:r>
      <w:r w:rsidRPr="00975079">
        <w:t xml:space="preserve">% of the pixels while for SCR model NLLS outliers raised to </w:t>
      </w:r>
      <w:r w:rsidR="00A16ED0" w:rsidRPr="00975079">
        <w:t>28</w:t>
      </w:r>
      <w:r w:rsidRPr="00975079">
        <w:t xml:space="preserve">% ± </w:t>
      </w:r>
      <w:r w:rsidR="00A16ED0" w:rsidRPr="00975079">
        <w:t>25</w:t>
      </w:r>
      <w:r w:rsidRPr="00975079">
        <w:t xml:space="preserve">%. </w:t>
      </w:r>
    </w:p>
    <w:p w14:paraId="3748FB78" w14:textId="348FA31E" w:rsidR="00221A06" w:rsidRPr="00975079" w:rsidRDefault="00221A06" w:rsidP="00846335">
      <w:pPr>
        <w:pStyle w:val="Text"/>
      </w:pPr>
      <w:r w:rsidRPr="00975079">
        <w:t xml:space="preserve">The results obtained with NLLS and VB (where both methods converged to reliable solutions) were all highly correlated with small relative difference (Table </w:t>
      </w:r>
      <w:r w:rsidR="0087056B" w:rsidRPr="00975079">
        <w:t>2</w:t>
      </w:r>
      <w:r w:rsidRPr="00975079">
        <w:t xml:space="preserve">, </w:t>
      </w:r>
      <w:r w:rsidR="0068470B" w:rsidRPr="00975079">
        <w:t>Fig.</w:t>
      </w:r>
      <w:r w:rsidR="00846335" w:rsidRPr="00975079">
        <w:t xml:space="preserve"> </w:t>
      </w:r>
      <w:r w:rsidR="00586365" w:rsidRPr="00975079">
        <w:t>4</w:t>
      </w:r>
      <w:r w:rsidR="00846335" w:rsidRPr="00975079">
        <w:t>).</w:t>
      </w:r>
    </w:p>
    <w:p w14:paraId="2573782C" w14:textId="4C0CA668" w:rsidR="005911B7" w:rsidRPr="00975079" w:rsidRDefault="00350E78" w:rsidP="0079732D">
      <w:pPr>
        <w:jc w:val="both"/>
      </w:pPr>
      <w:r w:rsidRPr="00975079">
        <w:t>Gamma-variate</w:t>
      </w:r>
      <w:r w:rsidR="005911B7" w:rsidRPr="00975079">
        <w:t xml:space="preserve"> model showed excellent agreement for macroparameters and good agreement for microparameters (as expected). The same held for SCR model, albeit the variability in the mean relative difference was greater, due to the highest model complexity (</w:t>
      </w:r>
      <w:r w:rsidR="0068470B" w:rsidRPr="00975079">
        <w:t>Fig.</w:t>
      </w:r>
      <w:r w:rsidR="005911B7" w:rsidRPr="00975079">
        <w:t xml:space="preserve"> </w:t>
      </w:r>
      <w:r w:rsidR="00586365" w:rsidRPr="00975079">
        <w:t>4</w:t>
      </w:r>
      <w:r w:rsidR="005911B7" w:rsidRPr="00975079">
        <w:t xml:space="preserve">). </w:t>
      </w:r>
    </w:p>
    <w:p w14:paraId="79A6490E" w14:textId="27901795" w:rsidR="001B36B1" w:rsidRPr="00975079" w:rsidRDefault="005911B7" w:rsidP="0079732D">
      <w:pPr>
        <w:jc w:val="both"/>
      </w:pPr>
      <w:r w:rsidRPr="00975079">
        <w:lastRenderedPageBreak/>
        <w:t>VB outperformed NLLS also</w:t>
      </w:r>
      <w:r w:rsidR="00A16ED0" w:rsidRPr="00975079">
        <w:t xml:space="preserve"> in terms of computational time</w:t>
      </w:r>
      <w:r w:rsidRPr="00975079">
        <w:t>: for a Gamma-variate model NLLS took an average of 0.0</w:t>
      </w:r>
      <w:r w:rsidR="00A16ED0" w:rsidRPr="00975079">
        <w:t>8</w:t>
      </w:r>
      <w:r w:rsidR="000A10AB" w:rsidRPr="00975079">
        <w:t xml:space="preserve"> ± 0.0</w:t>
      </w:r>
      <w:r w:rsidR="00A16ED0" w:rsidRPr="00975079">
        <w:t>2</w:t>
      </w:r>
      <w:r w:rsidRPr="00975079">
        <w:t xml:space="preserve"> seconds per pixel, while for SCR NLLS took 0.</w:t>
      </w:r>
      <w:r w:rsidR="00A16ED0" w:rsidRPr="00975079">
        <w:t>10</w:t>
      </w:r>
      <w:r w:rsidRPr="00975079">
        <w:t xml:space="preserve"> ± 0.0</w:t>
      </w:r>
      <w:r w:rsidR="00A16ED0" w:rsidRPr="00975079">
        <w:t>3 seconds per pixel</w:t>
      </w:r>
      <w:r w:rsidRPr="00975079">
        <w:t>.</w:t>
      </w:r>
    </w:p>
    <w:p w14:paraId="11E65BFE" w14:textId="37E90673" w:rsidR="004F5452" w:rsidRPr="00975079" w:rsidRDefault="004F5452" w:rsidP="0079732D">
      <w:pPr>
        <w:jc w:val="both"/>
      </w:pPr>
      <w:r w:rsidRPr="00975079">
        <w:t>VB and NLLS performances in terms of computational time and outliers percentage are summarized in Table 3.</w:t>
      </w:r>
    </w:p>
    <w:p w14:paraId="2ECCA0C7" w14:textId="01A937EF" w:rsidR="00E552DC" w:rsidRPr="00975079" w:rsidRDefault="00E552DC" w:rsidP="0079732D">
      <w:pPr>
        <w:jc w:val="both"/>
      </w:pPr>
      <w:r w:rsidRPr="00975079">
        <w:rPr>
          <w:noProof/>
          <w:lang w:val="it-IT" w:eastAsia="it-IT"/>
        </w:rPr>
        <mc:AlternateContent>
          <mc:Choice Requires="wps">
            <w:drawing>
              <wp:anchor distT="0" distB="0" distL="114300" distR="114300" simplePos="0" relativeHeight="251680768" behindDoc="0" locked="0" layoutInCell="0" allowOverlap="1" wp14:anchorId="618071DF" wp14:editId="6E27F9F7">
                <wp:simplePos x="0" y="0"/>
                <wp:positionH relativeFrom="margin">
                  <wp:align>left</wp:align>
                </wp:positionH>
                <wp:positionV relativeFrom="margin">
                  <wp:posOffset>6445885</wp:posOffset>
                </wp:positionV>
                <wp:extent cx="3143250" cy="1916430"/>
                <wp:effectExtent l="0" t="0" r="0" b="762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91643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39369A9" w14:textId="77777777" w:rsidR="00E552DC" w:rsidRDefault="00E552DC" w:rsidP="00E552DC">
                            <w:pPr>
                              <w:pStyle w:val="TableTitle"/>
                            </w:pPr>
                            <w:r>
                              <w:t>TABLE III</w:t>
                            </w:r>
                          </w:p>
                          <w:p w14:paraId="09495024" w14:textId="77777777" w:rsidR="00E552DC" w:rsidRDefault="00E552DC" w:rsidP="00E552DC">
                            <w:pPr>
                              <w:pStyle w:val="TableTitle"/>
                            </w:pPr>
                            <w:r>
                              <w:t>VB and NLLS performance indexes</w:t>
                            </w:r>
                          </w:p>
                          <w:tbl>
                            <w:tblPr>
                              <w:tblW w:w="4536" w:type="dxa"/>
                              <w:jc w:val="center"/>
                              <w:tblCellMar>
                                <w:left w:w="70" w:type="dxa"/>
                                <w:right w:w="70" w:type="dxa"/>
                              </w:tblCellMar>
                              <w:tblLook w:val="04A0" w:firstRow="1" w:lastRow="0" w:firstColumn="1" w:lastColumn="0" w:noHBand="0" w:noVBand="1"/>
                            </w:tblPr>
                            <w:tblGrid>
                              <w:gridCol w:w="1134"/>
                              <w:gridCol w:w="1134"/>
                              <w:gridCol w:w="1134"/>
                              <w:gridCol w:w="1134"/>
                            </w:tblGrid>
                            <w:tr w:rsidR="00E552DC" w:rsidRPr="00221A06" w14:paraId="0439D52D" w14:textId="77777777" w:rsidTr="000A10AB">
                              <w:trPr>
                                <w:trHeight w:val="300"/>
                                <w:jc w:val="center"/>
                              </w:trPr>
                              <w:tc>
                                <w:tcPr>
                                  <w:tcW w:w="1134" w:type="dxa"/>
                                  <w:tcBorders>
                                    <w:top w:val="double" w:sz="4" w:space="0" w:color="auto"/>
                                    <w:left w:val="nil"/>
                                    <w:bottom w:val="nil"/>
                                    <w:right w:val="nil"/>
                                  </w:tcBorders>
                                </w:tcPr>
                                <w:p w14:paraId="5C941D17" w14:textId="77777777" w:rsidR="00E552DC" w:rsidRPr="00221A06" w:rsidRDefault="00E552DC" w:rsidP="00221A06">
                                  <w:pPr>
                                    <w:rPr>
                                      <w:color w:val="000000"/>
                                      <w:sz w:val="16"/>
                                      <w:szCs w:val="16"/>
                                      <w:lang w:val="en-GB" w:eastAsia="it-IT"/>
                                    </w:rPr>
                                  </w:pPr>
                                </w:p>
                              </w:tc>
                              <w:tc>
                                <w:tcPr>
                                  <w:tcW w:w="1134" w:type="dxa"/>
                                  <w:tcBorders>
                                    <w:top w:val="double" w:sz="4" w:space="0" w:color="auto"/>
                                    <w:left w:val="nil"/>
                                    <w:bottom w:val="nil"/>
                                    <w:right w:val="nil"/>
                                  </w:tcBorders>
                                </w:tcPr>
                                <w:p w14:paraId="392CD50C" w14:textId="77777777" w:rsidR="00E552DC" w:rsidRPr="00221A06" w:rsidRDefault="00E552DC" w:rsidP="00221A06">
                                  <w:pPr>
                                    <w:rPr>
                                      <w:color w:val="000000"/>
                                      <w:sz w:val="16"/>
                                      <w:szCs w:val="16"/>
                                      <w:lang w:val="en-GB" w:eastAsia="it-IT"/>
                                    </w:rPr>
                                  </w:pPr>
                                </w:p>
                              </w:tc>
                              <w:tc>
                                <w:tcPr>
                                  <w:tcW w:w="1134" w:type="dxa"/>
                                  <w:tcBorders>
                                    <w:top w:val="double" w:sz="4" w:space="0" w:color="auto"/>
                                    <w:left w:val="nil"/>
                                    <w:bottom w:val="nil"/>
                                    <w:right w:val="nil"/>
                                  </w:tcBorders>
                                  <w:shd w:val="clear" w:color="auto" w:fill="auto"/>
                                  <w:noWrap/>
                                  <w:vAlign w:val="center"/>
                                  <w:hideMark/>
                                </w:tcPr>
                                <w:p w14:paraId="07F5F119"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Outlier %</w:t>
                                  </w:r>
                                </w:p>
                              </w:tc>
                              <w:tc>
                                <w:tcPr>
                                  <w:tcW w:w="1134" w:type="dxa"/>
                                  <w:tcBorders>
                                    <w:top w:val="double" w:sz="4" w:space="0" w:color="auto"/>
                                    <w:left w:val="nil"/>
                                    <w:bottom w:val="nil"/>
                                    <w:right w:val="nil"/>
                                  </w:tcBorders>
                                  <w:shd w:val="clear" w:color="auto" w:fill="auto"/>
                                  <w:noWrap/>
                                  <w:vAlign w:val="center"/>
                                  <w:hideMark/>
                                </w:tcPr>
                                <w:p w14:paraId="012F075B" w14:textId="77777777" w:rsidR="00E552DC" w:rsidRPr="00221A06" w:rsidRDefault="00E552DC" w:rsidP="000A10AB">
                                  <w:pPr>
                                    <w:jc w:val="center"/>
                                    <w:rPr>
                                      <w:color w:val="000000"/>
                                      <w:sz w:val="16"/>
                                      <w:szCs w:val="16"/>
                                      <w:lang w:val="en-GB" w:eastAsia="it-IT"/>
                                    </w:rPr>
                                  </w:pPr>
                                  <w:r>
                                    <w:rPr>
                                      <w:color w:val="000000"/>
                                      <w:sz w:val="16"/>
                                      <w:szCs w:val="16"/>
                                      <w:lang w:val="en-GB" w:eastAsia="it-IT"/>
                                    </w:rPr>
                                    <w:t>Elapsed time</w:t>
                                  </w:r>
                                </w:p>
                              </w:tc>
                            </w:tr>
                            <w:tr w:rsidR="00E552DC" w:rsidRPr="00E552DC" w14:paraId="274A907B" w14:textId="77777777" w:rsidTr="000A10AB">
                              <w:trPr>
                                <w:trHeight w:val="300"/>
                                <w:jc w:val="center"/>
                              </w:trPr>
                              <w:tc>
                                <w:tcPr>
                                  <w:tcW w:w="1134" w:type="dxa"/>
                                  <w:vMerge w:val="restart"/>
                                  <w:tcBorders>
                                    <w:top w:val="nil"/>
                                    <w:left w:val="nil"/>
                                    <w:right w:val="nil"/>
                                  </w:tcBorders>
                                  <w:vAlign w:val="center"/>
                                </w:tcPr>
                                <w:p w14:paraId="39B3CBC8"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VB</w:t>
                                  </w:r>
                                </w:p>
                              </w:tc>
                              <w:tc>
                                <w:tcPr>
                                  <w:tcW w:w="1134" w:type="dxa"/>
                                  <w:tcBorders>
                                    <w:top w:val="nil"/>
                                    <w:left w:val="nil"/>
                                    <w:bottom w:val="nil"/>
                                    <w:right w:val="nil"/>
                                  </w:tcBorders>
                                  <w:vAlign w:val="center"/>
                                </w:tcPr>
                                <w:p w14:paraId="419D91FA"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Gamma</w:t>
                                  </w:r>
                                </w:p>
                              </w:tc>
                              <w:tc>
                                <w:tcPr>
                                  <w:tcW w:w="1134" w:type="dxa"/>
                                  <w:tcBorders>
                                    <w:top w:val="nil"/>
                                    <w:left w:val="nil"/>
                                    <w:bottom w:val="nil"/>
                                    <w:right w:val="nil"/>
                                  </w:tcBorders>
                                  <w:shd w:val="clear" w:color="auto" w:fill="auto"/>
                                  <w:noWrap/>
                                  <w:vAlign w:val="center"/>
                                  <w:hideMark/>
                                </w:tcPr>
                                <w:p w14:paraId="54F60800" w14:textId="77777777" w:rsidR="00E552DC" w:rsidRPr="00E552DC" w:rsidRDefault="00E552DC" w:rsidP="00A16ED0">
                                  <w:pPr>
                                    <w:jc w:val="center"/>
                                    <w:rPr>
                                      <w:sz w:val="16"/>
                                      <w:szCs w:val="16"/>
                                      <w:lang w:val="en-GB" w:eastAsia="it-IT"/>
                                    </w:rPr>
                                  </w:pPr>
                                  <w:r w:rsidRPr="00E552DC">
                                    <w:t>9% ± 14%</w:t>
                                  </w:r>
                                </w:p>
                              </w:tc>
                              <w:tc>
                                <w:tcPr>
                                  <w:tcW w:w="1134" w:type="dxa"/>
                                  <w:tcBorders>
                                    <w:top w:val="nil"/>
                                    <w:left w:val="nil"/>
                                    <w:bottom w:val="nil"/>
                                    <w:right w:val="nil"/>
                                  </w:tcBorders>
                                  <w:shd w:val="clear" w:color="auto" w:fill="auto"/>
                                  <w:noWrap/>
                                  <w:vAlign w:val="center"/>
                                  <w:hideMark/>
                                </w:tcPr>
                                <w:p w14:paraId="7D9DBC37" w14:textId="77777777" w:rsidR="00E552DC" w:rsidRPr="00E552DC" w:rsidRDefault="00E552DC" w:rsidP="00A16ED0">
                                  <w:pPr>
                                    <w:jc w:val="center"/>
                                    <w:rPr>
                                      <w:sz w:val="16"/>
                                      <w:szCs w:val="16"/>
                                      <w:lang w:val="en-GB" w:eastAsia="it-IT"/>
                                    </w:rPr>
                                  </w:pPr>
                                  <w:r w:rsidRPr="00E552DC">
                                    <w:t>0.06 ± 0.02</w:t>
                                  </w:r>
                                </w:p>
                              </w:tc>
                            </w:tr>
                            <w:tr w:rsidR="00E552DC" w:rsidRPr="00E552DC" w14:paraId="7A8605F4" w14:textId="77777777" w:rsidTr="000A10AB">
                              <w:trPr>
                                <w:trHeight w:val="300"/>
                                <w:jc w:val="center"/>
                              </w:trPr>
                              <w:tc>
                                <w:tcPr>
                                  <w:tcW w:w="1134" w:type="dxa"/>
                                  <w:vMerge/>
                                  <w:tcBorders>
                                    <w:left w:val="nil"/>
                                    <w:right w:val="nil"/>
                                  </w:tcBorders>
                                  <w:vAlign w:val="center"/>
                                </w:tcPr>
                                <w:p w14:paraId="729573F4" w14:textId="77777777" w:rsidR="00E552DC" w:rsidRPr="00221A06" w:rsidRDefault="00E552DC" w:rsidP="00221A06">
                                  <w:pPr>
                                    <w:jc w:val="center"/>
                                    <w:rPr>
                                      <w:color w:val="000000"/>
                                      <w:sz w:val="16"/>
                                      <w:szCs w:val="16"/>
                                      <w:lang w:val="en-GB" w:eastAsia="it-IT"/>
                                    </w:rPr>
                                  </w:pPr>
                                </w:p>
                              </w:tc>
                              <w:tc>
                                <w:tcPr>
                                  <w:tcW w:w="1134" w:type="dxa"/>
                                  <w:tcBorders>
                                    <w:top w:val="nil"/>
                                    <w:left w:val="nil"/>
                                    <w:bottom w:val="nil"/>
                                    <w:right w:val="nil"/>
                                  </w:tcBorders>
                                  <w:vAlign w:val="center"/>
                                </w:tcPr>
                                <w:p w14:paraId="6A8E5D76"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SCR</w:t>
                                  </w:r>
                                </w:p>
                              </w:tc>
                              <w:tc>
                                <w:tcPr>
                                  <w:tcW w:w="1134" w:type="dxa"/>
                                  <w:tcBorders>
                                    <w:top w:val="nil"/>
                                    <w:left w:val="nil"/>
                                    <w:bottom w:val="nil"/>
                                    <w:right w:val="nil"/>
                                  </w:tcBorders>
                                  <w:shd w:val="clear" w:color="auto" w:fill="auto"/>
                                  <w:noWrap/>
                                  <w:vAlign w:val="center"/>
                                  <w:hideMark/>
                                </w:tcPr>
                                <w:p w14:paraId="72A46197" w14:textId="77777777" w:rsidR="00E552DC" w:rsidRPr="00E552DC" w:rsidRDefault="00E552DC" w:rsidP="00A16ED0">
                                  <w:pPr>
                                    <w:jc w:val="center"/>
                                    <w:rPr>
                                      <w:sz w:val="16"/>
                                      <w:szCs w:val="16"/>
                                      <w:lang w:val="en-GB" w:eastAsia="it-IT"/>
                                    </w:rPr>
                                  </w:pPr>
                                  <w:r w:rsidRPr="00E552DC">
                                    <w:t>11% ± 19%</w:t>
                                  </w:r>
                                </w:p>
                              </w:tc>
                              <w:tc>
                                <w:tcPr>
                                  <w:tcW w:w="1134" w:type="dxa"/>
                                  <w:tcBorders>
                                    <w:top w:val="nil"/>
                                    <w:left w:val="nil"/>
                                    <w:bottom w:val="nil"/>
                                    <w:right w:val="nil"/>
                                  </w:tcBorders>
                                  <w:shd w:val="clear" w:color="auto" w:fill="auto"/>
                                  <w:noWrap/>
                                  <w:vAlign w:val="center"/>
                                  <w:hideMark/>
                                </w:tcPr>
                                <w:p w14:paraId="2740C303" w14:textId="77777777" w:rsidR="00E552DC" w:rsidRPr="00E552DC" w:rsidRDefault="00E552DC" w:rsidP="00182678">
                                  <w:pPr>
                                    <w:jc w:val="center"/>
                                    <w:rPr>
                                      <w:sz w:val="16"/>
                                      <w:szCs w:val="16"/>
                                      <w:lang w:val="en-GB" w:eastAsia="it-IT"/>
                                    </w:rPr>
                                  </w:pPr>
                                  <w:r w:rsidRPr="00E552DC">
                                    <w:t>0.07 ± 0.03</w:t>
                                  </w:r>
                                </w:p>
                              </w:tc>
                            </w:tr>
                            <w:tr w:rsidR="00E552DC" w:rsidRPr="00E552DC" w14:paraId="11F48E78" w14:textId="77777777" w:rsidTr="000A10AB">
                              <w:trPr>
                                <w:trHeight w:val="300"/>
                                <w:jc w:val="center"/>
                              </w:trPr>
                              <w:tc>
                                <w:tcPr>
                                  <w:tcW w:w="1134" w:type="dxa"/>
                                  <w:vMerge/>
                                  <w:tcBorders>
                                    <w:left w:val="nil"/>
                                    <w:bottom w:val="single" w:sz="4" w:space="0" w:color="auto"/>
                                    <w:right w:val="nil"/>
                                  </w:tcBorders>
                                </w:tcPr>
                                <w:p w14:paraId="029F66DE" w14:textId="77777777" w:rsidR="00E552DC" w:rsidRPr="00221A06" w:rsidRDefault="00E552DC" w:rsidP="00221A06">
                                  <w:pPr>
                                    <w:jc w:val="right"/>
                                    <w:rPr>
                                      <w:color w:val="000000"/>
                                      <w:sz w:val="16"/>
                                      <w:szCs w:val="16"/>
                                      <w:lang w:eastAsia="it-IT"/>
                                    </w:rPr>
                                  </w:pPr>
                                </w:p>
                              </w:tc>
                              <w:tc>
                                <w:tcPr>
                                  <w:tcW w:w="1134" w:type="dxa"/>
                                  <w:tcBorders>
                                    <w:top w:val="nil"/>
                                    <w:left w:val="nil"/>
                                    <w:bottom w:val="single" w:sz="4" w:space="0" w:color="auto"/>
                                    <w:right w:val="nil"/>
                                  </w:tcBorders>
                                  <w:vAlign w:val="center"/>
                                </w:tcPr>
                                <w:p w14:paraId="383A04A0" w14:textId="77777777" w:rsidR="00E552DC" w:rsidRPr="00221A06" w:rsidRDefault="00E552DC" w:rsidP="00221A06">
                                  <w:pPr>
                                    <w:jc w:val="center"/>
                                    <w:rPr>
                                      <w:color w:val="000000"/>
                                      <w:sz w:val="16"/>
                                      <w:szCs w:val="16"/>
                                      <w:lang w:eastAsia="it-IT"/>
                                    </w:rPr>
                                  </w:pPr>
                                  <w:r>
                                    <w:rPr>
                                      <w:color w:val="000000"/>
                                      <w:sz w:val="16"/>
                                      <w:szCs w:val="16"/>
                                      <w:lang w:eastAsia="it-IT"/>
                                    </w:rPr>
                                    <w:t>ARD</w:t>
                                  </w:r>
                                </w:p>
                              </w:tc>
                              <w:tc>
                                <w:tcPr>
                                  <w:tcW w:w="1134" w:type="dxa"/>
                                  <w:tcBorders>
                                    <w:top w:val="nil"/>
                                    <w:left w:val="nil"/>
                                    <w:bottom w:val="single" w:sz="4" w:space="0" w:color="auto"/>
                                    <w:right w:val="nil"/>
                                  </w:tcBorders>
                                  <w:shd w:val="clear" w:color="auto" w:fill="auto"/>
                                  <w:noWrap/>
                                  <w:vAlign w:val="center"/>
                                  <w:hideMark/>
                                </w:tcPr>
                                <w:p w14:paraId="24D04DE3" w14:textId="77777777" w:rsidR="00E552DC" w:rsidRPr="00E552DC" w:rsidRDefault="00E552DC" w:rsidP="00A16ED0">
                                  <w:pPr>
                                    <w:jc w:val="center"/>
                                    <w:rPr>
                                      <w:sz w:val="16"/>
                                      <w:szCs w:val="16"/>
                                      <w:lang w:eastAsia="it-IT"/>
                                    </w:rPr>
                                  </w:pPr>
                                  <w:r w:rsidRPr="00E552DC">
                                    <w:t>15% ± 17%</w:t>
                                  </w:r>
                                </w:p>
                              </w:tc>
                              <w:tc>
                                <w:tcPr>
                                  <w:tcW w:w="1134" w:type="dxa"/>
                                  <w:tcBorders>
                                    <w:top w:val="nil"/>
                                    <w:left w:val="nil"/>
                                    <w:bottom w:val="single" w:sz="4" w:space="0" w:color="auto"/>
                                    <w:right w:val="nil"/>
                                  </w:tcBorders>
                                  <w:shd w:val="clear" w:color="auto" w:fill="auto"/>
                                  <w:noWrap/>
                                  <w:vAlign w:val="center"/>
                                  <w:hideMark/>
                                </w:tcPr>
                                <w:p w14:paraId="6648CD30" w14:textId="77777777" w:rsidR="00E552DC" w:rsidRPr="00E552DC" w:rsidRDefault="00E552DC" w:rsidP="00A16ED0">
                                  <w:pPr>
                                    <w:jc w:val="center"/>
                                    <w:rPr>
                                      <w:sz w:val="16"/>
                                      <w:szCs w:val="16"/>
                                      <w:lang w:eastAsia="it-IT"/>
                                    </w:rPr>
                                  </w:pPr>
                                  <w:r w:rsidRPr="00E552DC">
                                    <w:t>0.08 ± 0.03</w:t>
                                  </w:r>
                                </w:p>
                              </w:tc>
                            </w:tr>
                            <w:tr w:rsidR="00E552DC" w:rsidRPr="00E552DC" w14:paraId="61BA83E6" w14:textId="77777777" w:rsidTr="000A10AB">
                              <w:trPr>
                                <w:trHeight w:val="300"/>
                                <w:jc w:val="center"/>
                              </w:trPr>
                              <w:tc>
                                <w:tcPr>
                                  <w:tcW w:w="1134" w:type="dxa"/>
                                  <w:tcBorders>
                                    <w:top w:val="single" w:sz="4" w:space="0" w:color="auto"/>
                                    <w:left w:val="nil"/>
                                    <w:bottom w:val="nil"/>
                                    <w:right w:val="nil"/>
                                  </w:tcBorders>
                                </w:tcPr>
                                <w:p w14:paraId="6E0A57E0" w14:textId="77777777" w:rsidR="00E552DC" w:rsidRPr="00221A06" w:rsidRDefault="00E552DC" w:rsidP="000A10AB">
                                  <w:pPr>
                                    <w:rPr>
                                      <w:color w:val="000000"/>
                                      <w:sz w:val="16"/>
                                      <w:szCs w:val="16"/>
                                      <w:lang w:eastAsia="it-IT"/>
                                    </w:rPr>
                                  </w:pPr>
                                </w:p>
                              </w:tc>
                              <w:tc>
                                <w:tcPr>
                                  <w:tcW w:w="1134" w:type="dxa"/>
                                  <w:tcBorders>
                                    <w:top w:val="single" w:sz="4" w:space="0" w:color="auto"/>
                                    <w:left w:val="nil"/>
                                    <w:bottom w:val="nil"/>
                                    <w:right w:val="nil"/>
                                  </w:tcBorders>
                                  <w:vAlign w:val="center"/>
                                </w:tcPr>
                                <w:p w14:paraId="1DDA14C1" w14:textId="77777777" w:rsidR="00E552DC" w:rsidRPr="00221A06" w:rsidRDefault="00E552DC" w:rsidP="000A10AB">
                                  <w:pPr>
                                    <w:jc w:val="center"/>
                                    <w:rPr>
                                      <w:color w:val="000000"/>
                                      <w:sz w:val="16"/>
                                      <w:szCs w:val="16"/>
                                      <w:lang w:eastAsia="it-IT"/>
                                    </w:rPr>
                                  </w:pPr>
                                </w:p>
                              </w:tc>
                              <w:tc>
                                <w:tcPr>
                                  <w:tcW w:w="1134" w:type="dxa"/>
                                  <w:tcBorders>
                                    <w:top w:val="single" w:sz="4" w:space="0" w:color="auto"/>
                                    <w:left w:val="nil"/>
                                    <w:bottom w:val="nil"/>
                                    <w:right w:val="nil"/>
                                  </w:tcBorders>
                                  <w:shd w:val="clear" w:color="auto" w:fill="auto"/>
                                  <w:noWrap/>
                                  <w:vAlign w:val="center"/>
                                  <w:hideMark/>
                                </w:tcPr>
                                <w:p w14:paraId="525AE4A3" w14:textId="77777777" w:rsidR="00E552DC" w:rsidRPr="00E552DC" w:rsidRDefault="00E552DC" w:rsidP="000A10AB">
                                  <w:pPr>
                                    <w:jc w:val="center"/>
                                    <w:rPr>
                                      <w:sz w:val="16"/>
                                      <w:szCs w:val="16"/>
                                      <w:lang w:eastAsia="it-IT"/>
                                    </w:rPr>
                                  </w:pPr>
                                  <w:r w:rsidRPr="00E552DC">
                                    <w:rPr>
                                      <w:sz w:val="16"/>
                                      <w:szCs w:val="16"/>
                                      <w:lang w:val="en-GB" w:eastAsia="it-IT"/>
                                    </w:rPr>
                                    <w:t>Outlier %</w:t>
                                  </w:r>
                                </w:p>
                              </w:tc>
                              <w:tc>
                                <w:tcPr>
                                  <w:tcW w:w="1134" w:type="dxa"/>
                                  <w:tcBorders>
                                    <w:top w:val="single" w:sz="4" w:space="0" w:color="auto"/>
                                    <w:left w:val="nil"/>
                                    <w:bottom w:val="nil"/>
                                    <w:right w:val="nil"/>
                                  </w:tcBorders>
                                  <w:shd w:val="clear" w:color="auto" w:fill="auto"/>
                                  <w:noWrap/>
                                  <w:vAlign w:val="center"/>
                                  <w:hideMark/>
                                </w:tcPr>
                                <w:p w14:paraId="040227B9" w14:textId="77777777" w:rsidR="00E552DC" w:rsidRPr="00E552DC" w:rsidRDefault="00E552DC" w:rsidP="000A10AB">
                                  <w:pPr>
                                    <w:jc w:val="center"/>
                                    <w:rPr>
                                      <w:sz w:val="16"/>
                                      <w:szCs w:val="16"/>
                                      <w:lang w:eastAsia="it-IT"/>
                                    </w:rPr>
                                  </w:pPr>
                                  <w:r w:rsidRPr="00E552DC">
                                    <w:rPr>
                                      <w:sz w:val="16"/>
                                      <w:szCs w:val="16"/>
                                      <w:lang w:val="en-GB" w:eastAsia="it-IT"/>
                                    </w:rPr>
                                    <w:t>Elapsed time</w:t>
                                  </w:r>
                                </w:p>
                              </w:tc>
                            </w:tr>
                            <w:tr w:rsidR="00E552DC" w:rsidRPr="00E552DC" w14:paraId="3CFBE6B7" w14:textId="77777777" w:rsidTr="000A10AB">
                              <w:trPr>
                                <w:trHeight w:val="300"/>
                                <w:jc w:val="center"/>
                              </w:trPr>
                              <w:tc>
                                <w:tcPr>
                                  <w:tcW w:w="1134" w:type="dxa"/>
                                  <w:vMerge w:val="restart"/>
                                  <w:tcBorders>
                                    <w:top w:val="nil"/>
                                    <w:left w:val="nil"/>
                                    <w:right w:val="nil"/>
                                  </w:tcBorders>
                                  <w:vAlign w:val="center"/>
                                </w:tcPr>
                                <w:p w14:paraId="4B630863" w14:textId="77777777" w:rsidR="00E552DC" w:rsidRPr="00221A06" w:rsidRDefault="00E552DC" w:rsidP="00221A06">
                                  <w:pPr>
                                    <w:jc w:val="center"/>
                                    <w:rPr>
                                      <w:color w:val="000000"/>
                                      <w:sz w:val="16"/>
                                      <w:szCs w:val="16"/>
                                      <w:lang w:eastAsia="it-IT"/>
                                    </w:rPr>
                                  </w:pPr>
                                  <w:r>
                                    <w:rPr>
                                      <w:color w:val="000000"/>
                                      <w:sz w:val="16"/>
                                      <w:szCs w:val="16"/>
                                      <w:lang w:eastAsia="it-IT"/>
                                    </w:rPr>
                                    <w:t>NLLS</w:t>
                                  </w:r>
                                </w:p>
                              </w:tc>
                              <w:tc>
                                <w:tcPr>
                                  <w:tcW w:w="1134" w:type="dxa"/>
                                  <w:tcBorders>
                                    <w:top w:val="nil"/>
                                    <w:left w:val="nil"/>
                                    <w:bottom w:val="nil"/>
                                    <w:right w:val="nil"/>
                                  </w:tcBorders>
                                  <w:vAlign w:val="center"/>
                                </w:tcPr>
                                <w:p w14:paraId="3145A524" w14:textId="77777777" w:rsidR="00E552DC" w:rsidRPr="00221A06" w:rsidRDefault="00E552DC" w:rsidP="00221A06">
                                  <w:pPr>
                                    <w:jc w:val="center"/>
                                    <w:rPr>
                                      <w:color w:val="000000"/>
                                      <w:sz w:val="16"/>
                                      <w:szCs w:val="16"/>
                                      <w:lang w:eastAsia="it-IT"/>
                                    </w:rPr>
                                  </w:pPr>
                                  <w:r>
                                    <w:rPr>
                                      <w:color w:val="000000"/>
                                      <w:sz w:val="16"/>
                                      <w:szCs w:val="16"/>
                                      <w:lang w:eastAsia="it-IT"/>
                                    </w:rPr>
                                    <w:t>Gamma</w:t>
                                  </w:r>
                                </w:p>
                              </w:tc>
                              <w:tc>
                                <w:tcPr>
                                  <w:tcW w:w="1134" w:type="dxa"/>
                                  <w:tcBorders>
                                    <w:top w:val="nil"/>
                                    <w:left w:val="nil"/>
                                    <w:bottom w:val="nil"/>
                                    <w:right w:val="nil"/>
                                  </w:tcBorders>
                                  <w:shd w:val="clear" w:color="auto" w:fill="auto"/>
                                  <w:noWrap/>
                                  <w:vAlign w:val="center"/>
                                  <w:hideMark/>
                                </w:tcPr>
                                <w:p w14:paraId="57DD347D" w14:textId="77777777" w:rsidR="00E552DC" w:rsidRPr="00E552DC" w:rsidRDefault="00E552DC" w:rsidP="00A16ED0">
                                  <w:pPr>
                                    <w:jc w:val="center"/>
                                    <w:rPr>
                                      <w:sz w:val="16"/>
                                      <w:szCs w:val="16"/>
                                      <w:lang w:eastAsia="it-IT"/>
                                    </w:rPr>
                                  </w:pPr>
                                  <w:r w:rsidRPr="00E552DC">
                                    <w:t>22% ± 24%</w:t>
                                  </w:r>
                                </w:p>
                              </w:tc>
                              <w:tc>
                                <w:tcPr>
                                  <w:tcW w:w="1134" w:type="dxa"/>
                                  <w:tcBorders>
                                    <w:top w:val="nil"/>
                                    <w:left w:val="nil"/>
                                    <w:bottom w:val="nil"/>
                                    <w:right w:val="nil"/>
                                  </w:tcBorders>
                                  <w:shd w:val="clear" w:color="auto" w:fill="auto"/>
                                  <w:noWrap/>
                                  <w:vAlign w:val="center"/>
                                  <w:hideMark/>
                                </w:tcPr>
                                <w:p w14:paraId="5C337427" w14:textId="77777777" w:rsidR="00E552DC" w:rsidRPr="00E552DC" w:rsidRDefault="00E552DC" w:rsidP="00A16ED0">
                                  <w:pPr>
                                    <w:jc w:val="center"/>
                                    <w:rPr>
                                      <w:sz w:val="16"/>
                                      <w:szCs w:val="16"/>
                                      <w:lang w:eastAsia="it-IT"/>
                                    </w:rPr>
                                  </w:pPr>
                                  <w:r w:rsidRPr="00E552DC">
                                    <w:t>0.08 ± 0.02</w:t>
                                  </w:r>
                                </w:p>
                              </w:tc>
                            </w:tr>
                            <w:tr w:rsidR="00E552DC" w:rsidRPr="00E552DC" w14:paraId="4C1AD4FE" w14:textId="77777777" w:rsidTr="000A10AB">
                              <w:trPr>
                                <w:trHeight w:val="300"/>
                                <w:jc w:val="center"/>
                              </w:trPr>
                              <w:tc>
                                <w:tcPr>
                                  <w:tcW w:w="1134" w:type="dxa"/>
                                  <w:vMerge/>
                                  <w:tcBorders>
                                    <w:left w:val="nil"/>
                                    <w:right w:val="nil"/>
                                  </w:tcBorders>
                                </w:tcPr>
                                <w:p w14:paraId="26CEDF90" w14:textId="77777777" w:rsidR="00E552DC" w:rsidRPr="00221A06" w:rsidRDefault="00E552DC" w:rsidP="00221A06">
                                  <w:pPr>
                                    <w:jc w:val="right"/>
                                    <w:rPr>
                                      <w:color w:val="000000"/>
                                      <w:sz w:val="16"/>
                                      <w:szCs w:val="16"/>
                                      <w:lang w:eastAsia="it-IT"/>
                                    </w:rPr>
                                  </w:pPr>
                                </w:p>
                              </w:tc>
                              <w:tc>
                                <w:tcPr>
                                  <w:tcW w:w="1134" w:type="dxa"/>
                                  <w:tcBorders>
                                    <w:top w:val="nil"/>
                                    <w:left w:val="nil"/>
                                    <w:bottom w:val="nil"/>
                                    <w:right w:val="nil"/>
                                  </w:tcBorders>
                                  <w:vAlign w:val="center"/>
                                </w:tcPr>
                                <w:p w14:paraId="69634C0F" w14:textId="77777777" w:rsidR="00E552DC" w:rsidRPr="00221A06" w:rsidRDefault="00E552DC" w:rsidP="00221A06">
                                  <w:pPr>
                                    <w:jc w:val="center"/>
                                    <w:rPr>
                                      <w:color w:val="000000"/>
                                      <w:sz w:val="16"/>
                                      <w:szCs w:val="16"/>
                                      <w:lang w:eastAsia="it-IT"/>
                                    </w:rPr>
                                  </w:pPr>
                                  <w:r>
                                    <w:rPr>
                                      <w:color w:val="000000"/>
                                      <w:sz w:val="16"/>
                                      <w:szCs w:val="16"/>
                                      <w:lang w:eastAsia="it-IT"/>
                                    </w:rPr>
                                    <w:t>SCR</w:t>
                                  </w:r>
                                </w:p>
                              </w:tc>
                              <w:tc>
                                <w:tcPr>
                                  <w:tcW w:w="1134" w:type="dxa"/>
                                  <w:tcBorders>
                                    <w:top w:val="nil"/>
                                    <w:left w:val="nil"/>
                                    <w:bottom w:val="nil"/>
                                    <w:right w:val="nil"/>
                                  </w:tcBorders>
                                  <w:shd w:val="clear" w:color="auto" w:fill="auto"/>
                                  <w:noWrap/>
                                  <w:vAlign w:val="center"/>
                                  <w:hideMark/>
                                </w:tcPr>
                                <w:p w14:paraId="2169D6DC" w14:textId="77777777" w:rsidR="00E552DC" w:rsidRPr="00E552DC" w:rsidRDefault="00E552DC" w:rsidP="00A16ED0">
                                  <w:pPr>
                                    <w:jc w:val="center"/>
                                    <w:rPr>
                                      <w:sz w:val="16"/>
                                      <w:szCs w:val="16"/>
                                      <w:lang w:eastAsia="it-IT"/>
                                    </w:rPr>
                                  </w:pPr>
                                  <w:r w:rsidRPr="00E552DC">
                                    <w:t>28% ± 25%</w:t>
                                  </w:r>
                                </w:p>
                              </w:tc>
                              <w:tc>
                                <w:tcPr>
                                  <w:tcW w:w="1134" w:type="dxa"/>
                                  <w:tcBorders>
                                    <w:top w:val="nil"/>
                                    <w:left w:val="nil"/>
                                    <w:bottom w:val="nil"/>
                                    <w:right w:val="nil"/>
                                  </w:tcBorders>
                                  <w:shd w:val="clear" w:color="auto" w:fill="auto"/>
                                  <w:noWrap/>
                                  <w:vAlign w:val="center"/>
                                  <w:hideMark/>
                                </w:tcPr>
                                <w:p w14:paraId="74646F9D" w14:textId="77777777" w:rsidR="00E552DC" w:rsidRPr="00E552DC" w:rsidRDefault="00E552DC" w:rsidP="00A16ED0">
                                  <w:pPr>
                                    <w:jc w:val="center"/>
                                    <w:rPr>
                                      <w:sz w:val="16"/>
                                      <w:szCs w:val="16"/>
                                      <w:lang w:eastAsia="it-IT"/>
                                    </w:rPr>
                                  </w:pPr>
                                  <w:r w:rsidRPr="00E552DC">
                                    <w:t>0.10 ± 0.03</w:t>
                                  </w:r>
                                </w:p>
                              </w:tc>
                            </w:tr>
                          </w:tbl>
                          <w:p w14:paraId="3C69F0F6" w14:textId="77777777" w:rsidR="00E552DC" w:rsidRPr="00B11FAE" w:rsidRDefault="00E552DC" w:rsidP="00E552DC">
                            <w:pPr>
                              <w:pStyle w:val="Testonotaapidipagina"/>
                            </w:pPr>
                            <w:r>
                              <w:t>Outliers percentage and computational time per pixel (median ± median absolute deviation across subject) for VB and NLLS.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071DF" id="_x0000_s1030" type="#_x0000_t202" style="position:absolute;left:0;text-align:left;margin-left:0;margin-top:507.55pt;width:247.5pt;height:150.9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" o:allowincell="f" stroked="f">
                <v:textbox inset="0,0,0,0">
                  <w:txbxContent>
                    <w:p w14:paraId="439369A9" w14:textId="77777777" w:rsidR="00E552DC" w:rsidRDefault="00E552DC" w:rsidP="00E552DC">
                      <w:pPr>
                        <w:pStyle w:val="TableTitle"/>
                      </w:pPr>
                      <w:r>
                        <w:t>TABLE III</w:t>
                      </w:r>
                    </w:p>
                    <w:p w14:paraId="09495024" w14:textId="77777777" w:rsidR="00E552DC" w:rsidRDefault="00E552DC" w:rsidP="00E552DC">
                      <w:pPr>
                        <w:pStyle w:val="TableTitle"/>
                      </w:pPr>
                      <w:r>
                        <w:t>VB and NLLS performance indexes</w:t>
                      </w:r>
                    </w:p>
                    <w:tbl>
                      <w:tblPr>
                        <w:tblW w:w="4536" w:type="dxa"/>
                        <w:jc w:val="center"/>
                        <w:tblCellMar>
                          <w:left w:w="70" w:type="dxa"/>
                          <w:right w:w="70" w:type="dxa"/>
                        </w:tblCellMar>
                        <w:tblLook w:val="04A0" w:firstRow="1" w:lastRow="0" w:firstColumn="1" w:lastColumn="0" w:noHBand="0" w:noVBand="1"/>
                      </w:tblPr>
                      <w:tblGrid>
                        <w:gridCol w:w="1134"/>
                        <w:gridCol w:w="1134"/>
                        <w:gridCol w:w="1134"/>
                        <w:gridCol w:w="1134"/>
                      </w:tblGrid>
                      <w:tr w:rsidR="00E552DC" w:rsidRPr="00221A06" w14:paraId="0439D52D" w14:textId="77777777" w:rsidTr="000A10AB">
                        <w:trPr>
                          <w:trHeight w:val="300"/>
                          <w:jc w:val="center"/>
                        </w:trPr>
                        <w:tc>
                          <w:tcPr>
                            <w:tcW w:w="1134" w:type="dxa"/>
                            <w:tcBorders>
                              <w:top w:val="double" w:sz="4" w:space="0" w:color="auto"/>
                              <w:left w:val="nil"/>
                              <w:bottom w:val="nil"/>
                              <w:right w:val="nil"/>
                            </w:tcBorders>
                          </w:tcPr>
                          <w:p w14:paraId="5C941D17" w14:textId="77777777" w:rsidR="00E552DC" w:rsidRPr="00221A06" w:rsidRDefault="00E552DC" w:rsidP="00221A06">
                            <w:pPr>
                              <w:rPr>
                                <w:color w:val="000000"/>
                                <w:sz w:val="16"/>
                                <w:szCs w:val="16"/>
                                <w:lang w:val="en-GB" w:eastAsia="it-IT"/>
                              </w:rPr>
                            </w:pPr>
                          </w:p>
                        </w:tc>
                        <w:tc>
                          <w:tcPr>
                            <w:tcW w:w="1134" w:type="dxa"/>
                            <w:tcBorders>
                              <w:top w:val="double" w:sz="4" w:space="0" w:color="auto"/>
                              <w:left w:val="nil"/>
                              <w:bottom w:val="nil"/>
                              <w:right w:val="nil"/>
                            </w:tcBorders>
                          </w:tcPr>
                          <w:p w14:paraId="392CD50C" w14:textId="77777777" w:rsidR="00E552DC" w:rsidRPr="00221A06" w:rsidRDefault="00E552DC" w:rsidP="00221A06">
                            <w:pPr>
                              <w:rPr>
                                <w:color w:val="000000"/>
                                <w:sz w:val="16"/>
                                <w:szCs w:val="16"/>
                                <w:lang w:val="en-GB" w:eastAsia="it-IT"/>
                              </w:rPr>
                            </w:pPr>
                          </w:p>
                        </w:tc>
                        <w:tc>
                          <w:tcPr>
                            <w:tcW w:w="1134" w:type="dxa"/>
                            <w:tcBorders>
                              <w:top w:val="double" w:sz="4" w:space="0" w:color="auto"/>
                              <w:left w:val="nil"/>
                              <w:bottom w:val="nil"/>
                              <w:right w:val="nil"/>
                            </w:tcBorders>
                            <w:shd w:val="clear" w:color="auto" w:fill="auto"/>
                            <w:noWrap/>
                            <w:vAlign w:val="center"/>
                            <w:hideMark/>
                          </w:tcPr>
                          <w:p w14:paraId="07F5F119"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Outlier %</w:t>
                            </w:r>
                          </w:p>
                        </w:tc>
                        <w:tc>
                          <w:tcPr>
                            <w:tcW w:w="1134" w:type="dxa"/>
                            <w:tcBorders>
                              <w:top w:val="double" w:sz="4" w:space="0" w:color="auto"/>
                              <w:left w:val="nil"/>
                              <w:bottom w:val="nil"/>
                              <w:right w:val="nil"/>
                            </w:tcBorders>
                            <w:shd w:val="clear" w:color="auto" w:fill="auto"/>
                            <w:noWrap/>
                            <w:vAlign w:val="center"/>
                            <w:hideMark/>
                          </w:tcPr>
                          <w:p w14:paraId="012F075B" w14:textId="77777777" w:rsidR="00E552DC" w:rsidRPr="00221A06" w:rsidRDefault="00E552DC" w:rsidP="000A10AB">
                            <w:pPr>
                              <w:jc w:val="center"/>
                              <w:rPr>
                                <w:color w:val="000000"/>
                                <w:sz w:val="16"/>
                                <w:szCs w:val="16"/>
                                <w:lang w:val="en-GB" w:eastAsia="it-IT"/>
                              </w:rPr>
                            </w:pPr>
                            <w:r>
                              <w:rPr>
                                <w:color w:val="000000"/>
                                <w:sz w:val="16"/>
                                <w:szCs w:val="16"/>
                                <w:lang w:val="en-GB" w:eastAsia="it-IT"/>
                              </w:rPr>
                              <w:t>Elapsed time</w:t>
                            </w:r>
                          </w:p>
                        </w:tc>
                      </w:tr>
                      <w:tr w:rsidR="00E552DC" w:rsidRPr="00E552DC" w14:paraId="274A907B" w14:textId="77777777" w:rsidTr="000A10AB">
                        <w:trPr>
                          <w:trHeight w:val="300"/>
                          <w:jc w:val="center"/>
                        </w:trPr>
                        <w:tc>
                          <w:tcPr>
                            <w:tcW w:w="1134" w:type="dxa"/>
                            <w:vMerge w:val="restart"/>
                            <w:tcBorders>
                              <w:top w:val="nil"/>
                              <w:left w:val="nil"/>
                              <w:right w:val="nil"/>
                            </w:tcBorders>
                            <w:vAlign w:val="center"/>
                          </w:tcPr>
                          <w:p w14:paraId="39B3CBC8"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VB</w:t>
                            </w:r>
                          </w:p>
                        </w:tc>
                        <w:tc>
                          <w:tcPr>
                            <w:tcW w:w="1134" w:type="dxa"/>
                            <w:tcBorders>
                              <w:top w:val="nil"/>
                              <w:left w:val="nil"/>
                              <w:bottom w:val="nil"/>
                              <w:right w:val="nil"/>
                            </w:tcBorders>
                            <w:vAlign w:val="center"/>
                          </w:tcPr>
                          <w:p w14:paraId="419D91FA"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Gamma</w:t>
                            </w:r>
                          </w:p>
                        </w:tc>
                        <w:tc>
                          <w:tcPr>
                            <w:tcW w:w="1134" w:type="dxa"/>
                            <w:tcBorders>
                              <w:top w:val="nil"/>
                              <w:left w:val="nil"/>
                              <w:bottom w:val="nil"/>
                              <w:right w:val="nil"/>
                            </w:tcBorders>
                            <w:shd w:val="clear" w:color="auto" w:fill="auto"/>
                            <w:noWrap/>
                            <w:vAlign w:val="center"/>
                            <w:hideMark/>
                          </w:tcPr>
                          <w:p w14:paraId="54F60800" w14:textId="77777777" w:rsidR="00E552DC" w:rsidRPr="00E552DC" w:rsidRDefault="00E552DC" w:rsidP="00A16ED0">
                            <w:pPr>
                              <w:jc w:val="center"/>
                              <w:rPr>
                                <w:sz w:val="16"/>
                                <w:szCs w:val="16"/>
                                <w:lang w:val="en-GB" w:eastAsia="it-IT"/>
                              </w:rPr>
                            </w:pPr>
                            <w:r w:rsidRPr="00E552DC">
                              <w:t>9% ± 14%</w:t>
                            </w:r>
                          </w:p>
                        </w:tc>
                        <w:tc>
                          <w:tcPr>
                            <w:tcW w:w="1134" w:type="dxa"/>
                            <w:tcBorders>
                              <w:top w:val="nil"/>
                              <w:left w:val="nil"/>
                              <w:bottom w:val="nil"/>
                              <w:right w:val="nil"/>
                            </w:tcBorders>
                            <w:shd w:val="clear" w:color="auto" w:fill="auto"/>
                            <w:noWrap/>
                            <w:vAlign w:val="center"/>
                            <w:hideMark/>
                          </w:tcPr>
                          <w:p w14:paraId="7D9DBC37" w14:textId="77777777" w:rsidR="00E552DC" w:rsidRPr="00E552DC" w:rsidRDefault="00E552DC" w:rsidP="00A16ED0">
                            <w:pPr>
                              <w:jc w:val="center"/>
                              <w:rPr>
                                <w:sz w:val="16"/>
                                <w:szCs w:val="16"/>
                                <w:lang w:val="en-GB" w:eastAsia="it-IT"/>
                              </w:rPr>
                            </w:pPr>
                            <w:r w:rsidRPr="00E552DC">
                              <w:t>0.06 ± 0.02</w:t>
                            </w:r>
                          </w:p>
                        </w:tc>
                      </w:tr>
                      <w:tr w:rsidR="00E552DC" w:rsidRPr="00E552DC" w14:paraId="7A8605F4" w14:textId="77777777" w:rsidTr="000A10AB">
                        <w:trPr>
                          <w:trHeight w:val="300"/>
                          <w:jc w:val="center"/>
                        </w:trPr>
                        <w:tc>
                          <w:tcPr>
                            <w:tcW w:w="1134" w:type="dxa"/>
                            <w:vMerge/>
                            <w:tcBorders>
                              <w:left w:val="nil"/>
                              <w:right w:val="nil"/>
                            </w:tcBorders>
                            <w:vAlign w:val="center"/>
                          </w:tcPr>
                          <w:p w14:paraId="729573F4" w14:textId="77777777" w:rsidR="00E552DC" w:rsidRPr="00221A06" w:rsidRDefault="00E552DC" w:rsidP="00221A06">
                            <w:pPr>
                              <w:jc w:val="center"/>
                              <w:rPr>
                                <w:color w:val="000000"/>
                                <w:sz w:val="16"/>
                                <w:szCs w:val="16"/>
                                <w:lang w:val="en-GB" w:eastAsia="it-IT"/>
                              </w:rPr>
                            </w:pPr>
                          </w:p>
                        </w:tc>
                        <w:tc>
                          <w:tcPr>
                            <w:tcW w:w="1134" w:type="dxa"/>
                            <w:tcBorders>
                              <w:top w:val="nil"/>
                              <w:left w:val="nil"/>
                              <w:bottom w:val="nil"/>
                              <w:right w:val="nil"/>
                            </w:tcBorders>
                            <w:vAlign w:val="center"/>
                          </w:tcPr>
                          <w:p w14:paraId="6A8E5D76" w14:textId="77777777" w:rsidR="00E552DC" w:rsidRPr="00221A06" w:rsidRDefault="00E552DC" w:rsidP="00221A06">
                            <w:pPr>
                              <w:jc w:val="center"/>
                              <w:rPr>
                                <w:color w:val="000000"/>
                                <w:sz w:val="16"/>
                                <w:szCs w:val="16"/>
                                <w:lang w:val="en-GB" w:eastAsia="it-IT"/>
                              </w:rPr>
                            </w:pPr>
                            <w:r>
                              <w:rPr>
                                <w:color w:val="000000"/>
                                <w:sz w:val="16"/>
                                <w:szCs w:val="16"/>
                                <w:lang w:val="en-GB" w:eastAsia="it-IT"/>
                              </w:rPr>
                              <w:t>SCR</w:t>
                            </w:r>
                          </w:p>
                        </w:tc>
                        <w:tc>
                          <w:tcPr>
                            <w:tcW w:w="1134" w:type="dxa"/>
                            <w:tcBorders>
                              <w:top w:val="nil"/>
                              <w:left w:val="nil"/>
                              <w:bottom w:val="nil"/>
                              <w:right w:val="nil"/>
                            </w:tcBorders>
                            <w:shd w:val="clear" w:color="auto" w:fill="auto"/>
                            <w:noWrap/>
                            <w:vAlign w:val="center"/>
                            <w:hideMark/>
                          </w:tcPr>
                          <w:p w14:paraId="72A46197" w14:textId="77777777" w:rsidR="00E552DC" w:rsidRPr="00E552DC" w:rsidRDefault="00E552DC" w:rsidP="00A16ED0">
                            <w:pPr>
                              <w:jc w:val="center"/>
                              <w:rPr>
                                <w:sz w:val="16"/>
                                <w:szCs w:val="16"/>
                                <w:lang w:val="en-GB" w:eastAsia="it-IT"/>
                              </w:rPr>
                            </w:pPr>
                            <w:r w:rsidRPr="00E552DC">
                              <w:t>11% ± 19%</w:t>
                            </w:r>
                          </w:p>
                        </w:tc>
                        <w:tc>
                          <w:tcPr>
                            <w:tcW w:w="1134" w:type="dxa"/>
                            <w:tcBorders>
                              <w:top w:val="nil"/>
                              <w:left w:val="nil"/>
                              <w:bottom w:val="nil"/>
                              <w:right w:val="nil"/>
                            </w:tcBorders>
                            <w:shd w:val="clear" w:color="auto" w:fill="auto"/>
                            <w:noWrap/>
                            <w:vAlign w:val="center"/>
                            <w:hideMark/>
                          </w:tcPr>
                          <w:p w14:paraId="2740C303" w14:textId="77777777" w:rsidR="00E552DC" w:rsidRPr="00E552DC" w:rsidRDefault="00E552DC" w:rsidP="00182678">
                            <w:pPr>
                              <w:jc w:val="center"/>
                              <w:rPr>
                                <w:sz w:val="16"/>
                                <w:szCs w:val="16"/>
                                <w:lang w:val="en-GB" w:eastAsia="it-IT"/>
                              </w:rPr>
                            </w:pPr>
                            <w:r w:rsidRPr="00E552DC">
                              <w:t>0.07 ± 0.03</w:t>
                            </w:r>
                          </w:p>
                        </w:tc>
                      </w:tr>
                      <w:tr w:rsidR="00E552DC" w:rsidRPr="00E552DC" w14:paraId="11F48E78" w14:textId="77777777" w:rsidTr="000A10AB">
                        <w:trPr>
                          <w:trHeight w:val="300"/>
                          <w:jc w:val="center"/>
                        </w:trPr>
                        <w:tc>
                          <w:tcPr>
                            <w:tcW w:w="1134" w:type="dxa"/>
                            <w:vMerge/>
                            <w:tcBorders>
                              <w:left w:val="nil"/>
                              <w:bottom w:val="single" w:sz="4" w:space="0" w:color="auto"/>
                              <w:right w:val="nil"/>
                            </w:tcBorders>
                          </w:tcPr>
                          <w:p w14:paraId="029F66DE" w14:textId="77777777" w:rsidR="00E552DC" w:rsidRPr="00221A06" w:rsidRDefault="00E552DC" w:rsidP="00221A06">
                            <w:pPr>
                              <w:jc w:val="right"/>
                              <w:rPr>
                                <w:color w:val="000000"/>
                                <w:sz w:val="16"/>
                                <w:szCs w:val="16"/>
                                <w:lang w:eastAsia="it-IT"/>
                              </w:rPr>
                            </w:pPr>
                          </w:p>
                        </w:tc>
                        <w:tc>
                          <w:tcPr>
                            <w:tcW w:w="1134" w:type="dxa"/>
                            <w:tcBorders>
                              <w:top w:val="nil"/>
                              <w:left w:val="nil"/>
                              <w:bottom w:val="single" w:sz="4" w:space="0" w:color="auto"/>
                              <w:right w:val="nil"/>
                            </w:tcBorders>
                            <w:vAlign w:val="center"/>
                          </w:tcPr>
                          <w:p w14:paraId="383A04A0" w14:textId="77777777" w:rsidR="00E552DC" w:rsidRPr="00221A06" w:rsidRDefault="00E552DC" w:rsidP="00221A06">
                            <w:pPr>
                              <w:jc w:val="center"/>
                              <w:rPr>
                                <w:color w:val="000000"/>
                                <w:sz w:val="16"/>
                                <w:szCs w:val="16"/>
                                <w:lang w:eastAsia="it-IT"/>
                              </w:rPr>
                            </w:pPr>
                            <w:r>
                              <w:rPr>
                                <w:color w:val="000000"/>
                                <w:sz w:val="16"/>
                                <w:szCs w:val="16"/>
                                <w:lang w:eastAsia="it-IT"/>
                              </w:rPr>
                              <w:t>ARD</w:t>
                            </w:r>
                          </w:p>
                        </w:tc>
                        <w:tc>
                          <w:tcPr>
                            <w:tcW w:w="1134" w:type="dxa"/>
                            <w:tcBorders>
                              <w:top w:val="nil"/>
                              <w:left w:val="nil"/>
                              <w:bottom w:val="single" w:sz="4" w:space="0" w:color="auto"/>
                              <w:right w:val="nil"/>
                            </w:tcBorders>
                            <w:shd w:val="clear" w:color="auto" w:fill="auto"/>
                            <w:noWrap/>
                            <w:vAlign w:val="center"/>
                            <w:hideMark/>
                          </w:tcPr>
                          <w:p w14:paraId="24D04DE3" w14:textId="77777777" w:rsidR="00E552DC" w:rsidRPr="00E552DC" w:rsidRDefault="00E552DC" w:rsidP="00A16ED0">
                            <w:pPr>
                              <w:jc w:val="center"/>
                              <w:rPr>
                                <w:sz w:val="16"/>
                                <w:szCs w:val="16"/>
                                <w:lang w:eastAsia="it-IT"/>
                              </w:rPr>
                            </w:pPr>
                            <w:r w:rsidRPr="00E552DC">
                              <w:t>15% ± 17%</w:t>
                            </w:r>
                          </w:p>
                        </w:tc>
                        <w:tc>
                          <w:tcPr>
                            <w:tcW w:w="1134" w:type="dxa"/>
                            <w:tcBorders>
                              <w:top w:val="nil"/>
                              <w:left w:val="nil"/>
                              <w:bottom w:val="single" w:sz="4" w:space="0" w:color="auto"/>
                              <w:right w:val="nil"/>
                            </w:tcBorders>
                            <w:shd w:val="clear" w:color="auto" w:fill="auto"/>
                            <w:noWrap/>
                            <w:vAlign w:val="center"/>
                            <w:hideMark/>
                          </w:tcPr>
                          <w:p w14:paraId="6648CD30" w14:textId="77777777" w:rsidR="00E552DC" w:rsidRPr="00E552DC" w:rsidRDefault="00E552DC" w:rsidP="00A16ED0">
                            <w:pPr>
                              <w:jc w:val="center"/>
                              <w:rPr>
                                <w:sz w:val="16"/>
                                <w:szCs w:val="16"/>
                                <w:lang w:eastAsia="it-IT"/>
                              </w:rPr>
                            </w:pPr>
                            <w:r w:rsidRPr="00E552DC">
                              <w:t>0.08 ± 0.03</w:t>
                            </w:r>
                          </w:p>
                        </w:tc>
                      </w:tr>
                      <w:tr w:rsidR="00E552DC" w:rsidRPr="00E552DC" w14:paraId="61BA83E6" w14:textId="77777777" w:rsidTr="000A10AB">
                        <w:trPr>
                          <w:trHeight w:val="300"/>
                          <w:jc w:val="center"/>
                        </w:trPr>
                        <w:tc>
                          <w:tcPr>
                            <w:tcW w:w="1134" w:type="dxa"/>
                            <w:tcBorders>
                              <w:top w:val="single" w:sz="4" w:space="0" w:color="auto"/>
                              <w:left w:val="nil"/>
                              <w:bottom w:val="nil"/>
                              <w:right w:val="nil"/>
                            </w:tcBorders>
                          </w:tcPr>
                          <w:p w14:paraId="6E0A57E0" w14:textId="77777777" w:rsidR="00E552DC" w:rsidRPr="00221A06" w:rsidRDefault="00E552DC" w:rsidP="000A10AB">
                            <w:pPr>
                              <w:rPr>
                                <w:color w:val="000000"/>
                                <w:sz w:val="16"/>
                                <w:szCs w:val="16"/>
                                <w:lang w:eastAsia="it-IT"/>
                              </w:rPr>
                            </w:pPr>
                          </w:p>
                        </w:tc>
                        <w:tc>
                          <w:tcPr>
                            <w:tcW w:w="1134" w:type="dxa"/>
                            <w:tcBorders>
                              <w:top w:val="single" w:sz="4" w:space="0" w:color="auto"/>
                              <w:left w:val="nil"/>
                              <w:bottom w:val="nil"/>
                              <w:right w:val="nil"/>
                            </w:tcBorders>
                            <w:vAlign w:val="center"/>
                          </w:tcPr>
                          <w:p w14:paraId="1DDA14C1" w14:textId="77777777" w:rsidR="00E552DC" w:rsidRPr="00221A06" w:rsidRDefault="00E552DC" w:rsidP="000A10AB">
                            <w:pPr>
                              <w:jc w:val="center"/>
                              <w:rPr>
                                <w:color w:val="000000"/>
                                <w:sz w:val="16"/>
                                <w:szCs w:val="16"/>
                                <w:lang w:eastAsia="it-IT"/>
                              </w:rPr>
                            </w:pPr>
                          </w:p>
                        </w:tc>
                        <w:tc>
                          <w:tcPr>
                            <w:tcW w:w="1134" w:type="dxa"/>
                            <w:tcBorders>
                              <w:top w:val="single" w:sz="4" w:space="0" w:color="auto"/>
                              <w:left w:val="nil"/>
                              <w:bottom w:val="nil"/>
                              <w:right w:val="nil"/>
                            </w:tcBorders>
                            <w:shd w:val="clear" w:color="auto" w:fill="auto"/>
                            <w:noWrap/>
                            <w:vAlign w:val="center"/>
                            <w:hideMark/>
                          </w:tcPr>
                          <w:p w14:paraId="525AE4A3" w14:textId="77777777" w:rsidR="00E552DC" w:rsidRPr="00E552DC" w:rsidRDefault="00E552DC" w:rsidP="000A10AB">
                            <w:pPr>
                              <w:jc w:val="center"/>
                              <w:rPr>
                                <w:sz w:val="16"/>
                                <w:szCs w:val="16"/>
                                <w:lang w:eastAsia="it-IT"/>
                              </w:rPr>
                            </w:pPr>
                            <w:r w:rsidRPr="00E552DC">
                              <w:rPr>
                                <w:sz w:val="16"/>
                                <w:szCs w:val="16"/>
                                <w:lang w:val="en-GB" w:eastAsia="it-IT"/>
                              </w:rPr>
                              <w:t>Outlier %</w:t>
                            </w:r>
                          </w:p>
                        </w:tc>
                        <w:tc>
                          <w:tcPr>
                            <w:tcW w:w="1134" w:type="dxa"/>
                            <w:tcBorders>
                              <w:top w:val="single" w:sz="4" w:space="0" w:color="auto"/>
                              <w:left w:val="nil"/>
                              <w:bottom w:val="nil"/>
                              <w:right w:val="nil"/>
                            </w:tcBorders>
                            <w:shd w:val="clear" w:color="auto" w:fill="auto"/>
                            <w:noWrap/>
                            <w:vAlign w:val="center"/>
                            <w:hideMark/>
                          </w:tcPr>
                          <w:p w14:paraId="040227B9" w14:textId="77777777" w:rsidR="00E552DC" w:rsidRPr="00E552DC" w:rsidRDefault="00E552DC" w:rsidP="000A10AB">
                            <w:pPr>
                              <w:jc w:val="center"/>
                              <w:rPr>
                                <w:sz w:val="16"/>
                                <w:szCs w:val="16"/>
                                <w:lang w:eastAsia="it-IT"/>
                              </w:rPr>
                            </w:pPr>
                            <w:r w:rsidRPr="00E552DC">
                              <w:rPr>
                                <w:sz w:val="16"/>
                                <w:szCs w:val="16"/>
                                <w:lang w:val="en-GB" w:eastAsia="it-IT"/>
                              </w:rPr>
                              <w:t>Elapsed time</w:t>
                            </w:r>
                          </w:p>
                        </w:tc>
                      </w:tr>
                      <w:tr w:rsidR="00E552DC" w:rsidRPr="00E552DC" w14:paraId="3CFBE6B7" w14:textId="77777777" w:rsidTr="000A10AB">
                        <w:trPr>
                          <w:trHeight w:val="300"/>
                          <w:jc w:val="center"/>
                        </w:trPr>
                        <w:tc>
                          <w:tcPr>
                            <w:tcW w:w="1134" w:type="dxa"/>
                            <w:vMerge w:val="restart"/>
                            <w:tcBorders>
                              <w:top w:val="nil"/>
                              <w:left w:val="nil"/>
                              <w:right w:val="nil"/>
                            </w:tcBorders>
                            <w:vAlign w:val="center"/>
                          </w:tcPr>
                          <w:p w14:paraId="4B630863" w14:textId="77777777" w:rsidR="00E552DC" w:rsidRPr="00221A06" w:rsidRDefault="00E552DC" w:rsidP="00221A06">
                            <w:pPr>
                              <w:jc w:val="center"/>
                              <w:rPr>
                                <w:color w:val="000000"/>
                                <w:sz w:val="16"/>
                                <w:szCs w:val="16"/>
                                <w:lang w:eastAsia="it-IT"/>
                              </w:rPr>
                            </w:pPr>
                            <w:r>
                              <w:rPr>
                                <w:color w:val="000000"/>
                                <w:sz w:val="16"/>
                                <w:szCs w:val="16"/>
                                <w:lang w:eastAsia="it-IT"/>
                              </w:rPr>
                              <w:t>NLLS</w:t>
                            </w:r>
                          </w:p>
                        </w:tc>
                        <w:tc>
                          <w:tcPr>
                            <w:tcW w:w="1134" w:type="dxa"/>
                            <w:tcBorders>
                              <w:top w:val="nil"/>
                              <w:left w:val="nil"/>
                              <w:bottom w:val="nil"/>
                              <w:right w:val="nil"/>
                            </w:tcBorders>
                            <w:vAlign w:val="center"/>
                          </w:tcPr>
                          <w:p w14:paraId="3145A524" w14:textId="77777777" w:rsidR="00E552DC" w:rsidRPr="00221A06" w:rsidRDefault="00E552DC" w:rsidP="00221A06">
                            <w:pPr>
                              <w:jc w:val="center"/>
                              <w:rPr>
                                <w:color w:val="000000"/>
                                <w:sz w:val="16"/>
                                <w:szCs w:val="16"/>
                                <w:lang w:eastAsia="it-IT"/>
                              </w:rPr>
                            </w:pPr>
                            <w:r>
                              <w:rPr>
                                <w:color w:val="000000"/>
                                <w:sz w:val="16"/>
                                <w:szCs w:val="16"/>
                                <w:lang w:eastAsia="it-IT"/>
                              </w:rPr>
                              <w:t>Gamma</w:t>
                            </w:r>
                          </w:p>
                        </w:tc>
                        <w:tc>
                          <w:tcPr>
                            <w:tcW w:w="1134" w:type="dxa"/>
                            <w:tcBorders>
                              <w:top w:val="nil"/>
                              <w:left w:val="nil"/>
                              <w:bottom w:val="nil"/>
                              <w:right w:val="nil"/>
                            </w:tcBorders>
                            <w:shd w:val="clear" w:color="auto" w:fill="auto"/>
                            <w:noWrap/>
                            <w:vAlign w:val="center"/>
                            <w:hideMark/>
                          </w:tcPr>
                          <w:p w14:paraId="57DD347D" w14:textId="77777777" w:rsidR="00E552DC" w:rsidRPr="00E552DC" w:rsidRDefault="00E552DC" w:rsidP="00A16ED0">
                            <w:pPr>
                              <w:jc w:val="center"/>
                              <w:rPr>
                                <w:sz w:val="16"/>
                                <w:szCs w:val="16"/>
                                <w:lang w:eastAsia="it-IT"/>
                              </w:rPr>
                            </w:pPr>
                            <w:r w:rsidRPr="00E552DC">
                              <w:t>22% ± 24%</w:t>
                            </w:r>
                          </w:p>
                        </w:tc>
                        <w:tc>
                          <w:tcPr>
                            <w:tcW w:w="1134" w:type="dxa"/>
                            <w:tcBorders>
                              <w:top w:val="nil"/>
                              <w:left w:val="nil"/>
                              <w:bottom w:val="nil"/>
                              <w:right w:val="nil"/>
                            </w:tcBorders>
                            <w:shd w:val="clear" w:color="auto" w:fill="auto"/>
                            <w:noWrap/>
                            <w:vAlign w:val="center"/>
                            <w:hideMark/>
                          </w:tcPr>
                          <w:p w14:paraId="5C337427" w14:textId="77777777" w:rsidR="00E552DC" w:rsidRPr="00E552DC" w:rsidRDefault="00E552DC" w:rsidP="00A16ED0">
                            <w:pPr>
                              <w:jc w:val="center"/>
                              <w:rPr>
                                <w:sz w:val="16"/>
                                <w:szCs w:val="16"/>
                                <w:lang w:eastAsia="it-IT"/>
                              </w:rPr>
                            </w:pPr>
                            <w:r w:rsidRPr="00E552DC">
                              <w:t>0.08 ± 0.02</w:t>
                            </w:r>
                          </w:p>
                        </w:tc>
                      </w:tr>
                      <w:tr w:rsidR="00E552DC" w:rsidRPr="00E552DC" w14:paraId="4C1AD4FE" w14:textId="77777777" w:rsidTr="000A10AB">
                        <w:trPr>
                          <w:trHeight w:val="300"/>
                          <w:jc w:val="center"/>
                        </w:trPr>
                        <w:tc>
                          <w:tcPr>
                            <w:tcW w:w="1134" w:type="dxa"/>
                            <w:vMerge/>
                            <w:tcBorders>
                              <w:left w:val="nil"/>
                              <w:right w:val="nil"/>
                            </w:tcBorders>
                          </w:tcPr>
                          <w:p w14:paraId="26CEDF90" w14:textId="77777777" w:rsidR="00E552DC" w:rsidRPr="00221A06" w:rsidRDefault="00E552DC" w:rsidP="00221A06">
                            <w:pPr>
                              <w:jc w:val="right"/>
                              <w:rPr>
                                <w:color w:val="000000"/>
                                <w:sz w:val="16"/>
                                <w:szCs w:val="16"/>
                                <w:lang w:eastAsia="it-IT"/>
                              </w:rPr>
                            </w:pPr>
                          </w:p>
                        </w:tc>
                        <w:tc>
                          <w:tcPr>
                            <w:tcW w:w="1134" w:type="dxa"/>
                            <w:tcBorders>
                              <w:top w:val="nil"/>
                              <w:left w:val="nil"/>
                              <w:bottom w:val="nil"/>
                              <w:right w:val="nil"/>
                            </w:tcBorders>
                            <w:vAlign w:val="center"/>
                          </w:tcPr>
                          <w:p w14:paraId="69634C0F" w14:textId="77777777" w:rsidR="00E552DC" w:rsidRPr="00221A06" w:rsidRDefault="00E552DC" w:rsidP="00221A06">
                            <w:pPr>
                              <w:jc w:val="center"/>
                              <w:rPr>
                                <w:color w:val="000000"/>
                                <w:sz w:val="16"/>
                                <w:szCs w:val="16"/>
                                <w:lang w:eastAsia="it-IT"/>
                              </w:rPr>
                            </w:pPr>
                            <w:r>
                              <w:rPr>
                                <w:color w:val="000000"/>
                                <w:sz w:val="16"/>
                                <w:szCs w:val="16"/>
                                <w:lang w:eastAsia="it-IT"/>
                              </w:rPr>
                              <w:t>SCR</w:t>
                            </w:r>
                          </w:p>
                        </w:tc>
                        <w:tc>
                          <w:tcPr>
                            <w:tcW w:w="1134" w:type="dxa"/>
                            <w:tcBorders>
                              <w:top w:val="nil"/>
                              <w:left w:val="nil"/>
                              <w:bottom w:val="nil"/>
                              <w:right w:val="nil"/>
                            </w:tcBorders>
                            <w:shd w:val="clear" w:color="auto" w:fill="auto"/>
                            <w:noWrap/>
                            <w:vAlign w:val="center"/>
                            <w:hideMark/>
                          </w:tcPr>
                          <w:p w14:paraId="2169D6DC" w14:textId="77777777" w:rsidR="00E552DC" w:rsidRPr="00E552DC" w:rsidRDefault="00E552DC" w:rsidP="00A16ED0">
                            <w:pPr>
                              <w:jc w:val="center"/>
                              <w:rPr>
                                <w:sz w:val="16"/>
                                <w:szCs w:val="16"/>
                                <w:lang w:eastAsia="it-IT"/>
                              </w:rPr>
                            </w:pPr>
                            <w:r w:rsidRPr="00E552DC">
                              <w:t>28% ± 25%</w:t>
                            </w:r>
                          </w:p>
                        </w:tc>
                        <w:tc>
                          <w:tcPr>
                            <w:tcW w:w="1134" w:type="dxa"/>
                            <w:tcBorders>
                              <w:top w:val="nil"/>
                              <w:left w:val="nil"/>
                              <w:bottom w:val="nil"/>
                              <w:right w:val="nil"/>
                            </w:tcBorders>
                            <w:shd w:val="clear" w:color="auto" w:fill="auto"/>
                            <w:noWrap/>
                            <w:vAlign w:val="center"/>
                            <w:hideMark/>
                          </w:tcPr>
                          <w:p w14:paraId="74646F9D" w14:textId="77777777" w:rsidR="00E552DC" w:rsidRPr="00E552DC" w:rsidRDefault="00E552DC" w:rsidP="00A16ED0">
                            <w:pPr>
                              <w:jc w:val="center"/>
                              <w:rPr>
                                <w:sz w:val="16"/>
                                <w:szCs w:val="16"/>
                                <w:lang w:eastAsia="it-IT"/>
                              </w:rPr>
                            </w:pPr>
                            <w:r w:rsidRPr="00E552DC">
                              <w:t>0.10 ± 0.03</w:t>
                            </w:r>
                          </w:p>
                        </w:tc>
                      </w:tr>
                    </w:tbl>
                    <w:p w14:paraId="3C69F0F6" w14:textId="77777777" w:rsidR="00E552DC" w:rsidRPr="00B11FAE" w:rsidRDefault="00E552DC" w:rsidP="00E552DC">
                      <w:pPr>
                        <w:pStyle w:val="Testonotaapidipagina"/>
                      </w:pPr>
                      <w:r>
                        <w:t>Outliers percentage and computational time per pixel (median ± median absolute deviation across subject) for VB and NLLS.</w:t>
                      </w:r>
                    </w:p>
                  </w:txbxContent>
                </v:textbox>
                <w10:wrap type="square" anchorx="margin" anchory="margin"/>
              </v:shape>
            </w:pict>
          </mc:Fallback>
        </mc:AlternateContent>
      </w:r>
    </w:p>
    <w:p w14:paraId="70E8B2D6" w14:textId="5DE571BD" w:rsidR="009C7D17" w:rsidRPr="00975079" w:rsidRDefault="00E552DC" w:rsidP="0079732D">
      <w:pPr>
        <w:pStyle w:val="Titolo1"/>
        <w:jc w:val="both"/>
      </w:pPr>
      <w:r w:rsidRPr="00975079">
        <w:rPr>
          <w:noProof/>
          <w:lang w:val="it-IT" w:eastAsia="it-IT"/>
        </w:rPr>
        <mc:AlternateContent>
          <mc:Choice Requires="wps">
            <w:drawing>
              <wp:anchor distT="0" distB="0" distL="114300" distR="114300" simplePos="0" relativeHeight="251672576" behindDoc="0" locked="0" layoutInCell="1" allowOverlap="1" wp14:anchorId="6F478F51" wp14:editId="52EEDA8F">
                <wp:simplePos x="0" y="0"/>
                <wp:positionH relativeFrom="column">
                  <wp:align>right</wp:align>
                </wp:positionH>
                <wp:positionV relativeFrom="margin">
                  <wp:align>top</wp:align>
                </wp:positionV>
                <wp:extent cx="3214370" cy="2962275"/>
                <wp:effectExtent l="0" t="0" r="5080" b="9525"/>
                <wp:wrapSquare wrapText="bothSides"/>
                <wp:docPr id="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296227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6E24CE0" w14:textId="19E72343" w:rsidR="00545A51" w:rsidRDefault="00545A51" w:rsidP="00BB7312">
                            <w:pPr>
                              <w:pStyle w:val="Testonotaapidipagina"/>
                              <w:ind w:firstLine="0"/>
                            </w:pPr>
                            <w:r>
                              <w:rPr>
                                <w:noProof/>
                                <w:lang w:val="it-IT" w:eastAsia="it-IT"/>
                              </w:rPr>
                              <w:drawing>
                                <wp:inline distT="0" distB="0" distL="0" distR="0" wp14:anchorId="53408B5E" wp14:editId="782E04AC">
                                  <wp:extent cx="3214370" cy="211899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4_VB_vs_NLLS.tif"/>
                                          <pic:cNvPicPr/>
                                        </pic:nvPicPr>
                                        <pic:blipFill>
                                          <a:blip r:embed="rId14">
                                            <a:extLst>
                                              <a:ext uri="{28A0092B-C50C-407E-A947-70E740481C1C}">
                                                <a14:useLocalDpi xmlns:a14="http://schemas.microsoft.com/office/drawing/2010/main" val="0"/>
                                              </a:ext>
                                            </a:extLst>
                                          </a:blip>
                                          <a:stretch>
                                            <a:fillRect/>
                                          </a:stretch>
                                        </pic:blipFill>
                                        <pic:spPr>
                                          <a:xfrm>
                                            <a:off x="0" y="0"/>
                                            <a:ext cx="3214370" cy="2118995"/>
                                          </a:xfrm>
                                          <a:prstGeom prst="rect">
                                            <a:avLst/>
                                          </a:prstGeom>
                                        </pic:spPr>
                                      </pic:pic>
                                    </a:graphicData>
                                  </a:graphic>
                                </wp:inline>
                              </w:drawing>
                            </w:r>
                          </w:p>
                          <w:p w14:paraId="62AC3046" w14:textId="02C68A10" w:rsidR="00545A51" w:rsidRPr="00160483" w:rsidRDefault="00545A51" w:rsidP="00160483">
                            <w:pPr>
                              <w:pStyle w:val="Testonotaapidipagina"/>
                              <w:ind w:firstLine="0"/>
                            </w:pPr>
                            <w:r>
                              <w:t xml:space="preserve">Fig. 4.  </w:t>
                            </w:r>
                            <w:r w:rsidRPr="00160483">
                              <w:t xml:space="preserve">Mean relative difference </w:t>
                            </w:r>
                            <w:r>
                              <w:t xml:space="preserve">(MRD) </w:t>
                            </w:r>
                            <w:r w:rsidRPr="00160483">
                              <w:t>between NLLS and VB estimates. Mean relative difference between micro- and macroparameters estimates obtained with NLLS and VB for Gamma model (panel A and B, solid and dashed black line, respectively) and for SCR model (panel C and D, solid and dashed red line, respectively). The mean relative difference</w:t>
                            </w:r>
                            <w:r>
                              <w:t>s</w:t>
                            </w:r>
                            <w:r w:rsidRPr="00160483">
                              <w:t xml:space="preserve"> are reported as mean ± SD.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78F51" id="_x0000_s1031" type="#_x0000_t202" style="position:absolute;left:0;text-align:left;margin-left:201.9pt;margin-top:0;width:253.1pt;height:233.25pt;z-index:251672576;visibility:visible;mso-wrap-style:square;mso-width-percent:0;mso-height-percent:0;mso-wrap-distance-left:9pt;mso-wrap-distance-top:0;mso-wrap-distance-right:9pt;mso-wrap-distance-bottom:0;mso-position-horizontal:right;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" stroked="f">
                <v:textbox inset="0,0,0,0">
                  <w:txbxContent>
                    <w:p w14:paraId="76E24CE0" w14:textId="19E72343" w:rsidR="00545A51" w:rsidRDefault="00545A51" w:rsidP="00BB7312">
                      <w:pPr>
                        <w:pStyle w:val="FootnoteText"/>
                        <w:ind w:firstLine="0"/>
                      </w:pPr>
                      <w:r>
                        <w:rPr>
                          <w:noProof/>
                          <w:lang w:val="it-IT" w:eastAsia="it-IT"/>
                        </w:rPr>
                        <w:drawing>
                          <wp:inline distT="0" distB="0" distL="0" distR="0" wp14:anchorId="53408B5E" wp14:editId="782E04AC">
                            <wp:extent cx="3214370" cy="211899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4_VB_vs_NLLS.tif"/>
                                    <pic:cNvPicPr/>
                                  </pic:nvPicPr>
                                  <pic:blipFill>
                                    <a:blip r:embed="rId15">
                                      <a:extLst>
                                        <a:ext uri="{28A0092B-C50C-407E-A947-70E740481C1C}">
                                          <a14:useLocalDpi xmlns:a14="http://schemas.microsoft.com/office/drawing/2010/main" val="0"/>
                                        </a:ext>
                                      </a:extLst>
                                    </a:blip>
                                    <a:stretch>
                                      <a:fillRect/>
                                    </a:stretch>
                                  </pic:blipFill>
                                  <pic:spPr>
                                    <a:xfrm>
                                      <a:off x="0" y="0"/>
                                      <a:ext cx="3214370" cy="2118995"/>
                                    </a:xfrm>
                                    <a:prstGeom prst="rect">
                                      <a:avLst/>
                                    </a:prstGeom>
                                  </pic:spPr>
                                </pic:pic>
                              </a:graphicData>
                            </a:graphic>
                          </wp:inline>
                        </w:drawing>
                      </w:r>
                    </w:p>
                    <w:p w14:paraId="62AC3046" w14:textId="02C68A10" w:rsidR="00545A51" w:rsidRPr="00160483" w:rsidRDefault="00545A51" w:rsidP="00160483">
                      <w:pPr>
                        <w:pStyle w:val="FootnoteText"/>
                        <w:ind w:firstLine="0"/>
                      </w:pPr>
                      <w:r>
                        <w:t xml:space="preserve">Fig. 4.  </w:t>
                      </w:r>
                      <w:r w:rsidRPr="00160483">
                        <w:t xml:space="preserve">Mean relative difference </w:t>
                      </w:r>
                      <w:r>
                        <w:t xml:space="preserve">(MRD) </w:t>
                      </w:r>
                      <w:r w:rsidRPr="00160483">
                        <w:t>between NLLS and VB estimates. Mean relative difference between micro- and macroparameters estimates obtained with NLLS and VB for Gamma model (panel A and B, solid and dashed black line, respectively) and for SCR model (panel C and D, solid and dashed red line, respectively). The mean relative difference</w:t>
                      </w:r>
                      <w:r>
                        <w:t>s</w:t>
                      </w:r>
                      <w:r w:rsidRPr="00160483">
                        <w:t xml:space="preserve"> are reported as mean ± SD.</w:t>
                      </w:r>
                    </w:p>
                  </w:txbxContent>
                </v:textbox>
                <w10:wrap type="square" anchory="margin"/>
              </v:shape>
            </w:pict>
          </mc:Fallback>
        </mc:AlternateContent>
      </w:r>
      <w:r w:rsidR="005911B7" w:rsidRPr="00975079">
        <w:t>Conclusions</w:t>
      </w:r>
    </w:p>
    <w:p w14:paraId="14B07D6F" w14:textId="4952533A" w:rsidR="005D72BB" w:rsidRPr="00975079" w:rsidRDefault="005911B7" w:rsidP="0079732D">
      <w:pPr>
        <w:jc w:val="both"/>
      </w:pPr>
      <w:r w:rsidRPr="00975079">
        <w:t xml:space="preserve">The inclusion of an irreversible component better describes CEUS data in arthritis disease in half of the </w:t>
      </w:r>
      <w:r w:rsidR="009A3760" w:rsidRPr="00975079">
        <w:t>pixels</w:t>
      </w:r>
      <w:r w:rsidRPr="00975079">
        <w:t>. The heterogeneity of the data however makes it fundamental the implementation of a method that automatically infer the model complexity from the data. Variational Bayes with automatic relevance determination is applied for the first time to CEUS data and it provides robust and accurate model estimates with low percentage of outliers, recovering physiological information in the majority of the pixels. Computational time required for a single subject analysis is less than 3 minutes and therefore compatible with clinical practice.</w:t>
      </w:r>
    </w:p>
    <w:p w14:paraId="06003799" w14:textId="40A55FA7" w:rsidR="00992B19" w:rsidRPr="00975079" w:rsidRDefault="00992B19" w:rsidP="0079732D">
      <w:pPr>
        <w:pStyle w:val="ReferenceHead"/>
        <w:jc w:val="both"/>
      </w:pPr>
      <w:r w:rsidRPr="00975079">
        <w:t>Appendix A: Derivation of macroparameters</w:t>
      </w:r>
    </w:p>
    <w:p w14:paraId="2F7B970C" w14:textId="60DF156B" w:rsidR="00D96EF8" w:rsidRPr="00975079" w:rsidRDefault="00E552DC" w:rsidP="00D96EF8">
      <w:pPr>
        <w:pStyle w:val="Text"/>
      </w:pPr>
      <w:r w:rsidRPr="00975079">
        <w:rPr>
          <w:noProof/>
          <w:lang w:val="it-IT" w:eastAsia="it-IT"/>
        </w:rPr>
        <mc:AlternateContent>
          <mc:Choice Requires="wps">
            <w:drawing>
              <wp:anchor distT="0" distB="0" distL="114300" distR="114300" simplePos="0" relativeHeight="251662336" behindDoc="0" locked="0" layoutInCell="0" allowOverlap="1" wp14:anchorId="17C8F58A" wp14:editId="4B6899F1">
                <wp:simplePos x="0" y="0"/>
                <wp:positionH relativeFrom="margin">
                  <wp:align>left</wp:align>
                </wp:positionH>
                <wp:positionV relativeFrom="margin">
                  <wp:posOffset>2997835</wp:posOffset>
                </wp:positionV>
                <wp:extent cx="3194050" cy="2314575"/>
                <wp:effectExtent l="0" t="0" r="6350" b="952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23145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3320464" w14:textId="4E8D04A8" w:rsidR="00545A51" w:rsidRDefault="00545A51" w:rsidP="00221A06">
                            <w:pPr>
                              <w:pStyle w:val="TableTitle"/>
                            </w:pPr>
                            <w:r>
                              <w:t>TABLE II</w:t>
                            </w:r>
                          </w:p>
                          <w:p w14:paraId="50DF2A06" w14:textId="5A2087DF" w:rsidR="00545A51" w:rsidRDefault="00545A51" w:rsidP="00221A06">
                            <w:pPr>
                              <w:pStyle w:val="TableTitle"/>
                            </w:pPr>
                            <w:r w:rsidRPr="00221A06">
                              <w:t>Scatter analysis of NLLS vs. VB macroparameter estimates</w:t>
                            </w:r>
                          </w:p>
                          <w:tbl>
                            <w:tblPr>
                              <w:tblW w:w="4851" w:type="dxa"/>
                              <w:tblCellMar>
                                <w:left w:w="70" w:type="dxa"/>
                                <w:right w:w="70" w:type="dxa"/>
                              </w:tblCellMar>
                              <w:tblLook w:val="04A0" w:firstRow="1" w:lastRow="0" w:firstColumn="1" w:lastColumn="0" w:noHBand="0" w:noVBand="1"/>
                            </w:tblPr>
                            <w:tblGrid>
                              <w:gridCol w:w="647"/>
                              <w:gridCol w:w="431"/>
                              <w:gridCol w:w="539"/>
                              <w:gridCol w:w="539"/>
                              <w:gridCol w:w="539"/>
                              <w:gridCol w:w="539"/>
                              <w:gridCol w:w="539"/>
                              <w:gridCol w:w="539"/>
                              <w:gridCol w:w="539"/>
                            </w:tblGrid>
                            <w:tr w:rsidR="00545A51" w:rsidRPr="00221A06" w14:paraId="7B37B810" w14:textId="77777777" w:rsidTr="00221A06">
                              <w:trPr>
                                <w:trHeight w:val="300"/>
                              </w:trPr>
                              <w:tc>
                                <w:tcPr>
                                  <w:tcW w:w="647" w:type="dxa"/>
                                  <w:tcBorders>
                                    <w:top w:val="double" w:sz="4" w:space="0" w:color="auto"/>
                                    <w:left w:val="nil"/>
                                    <w:bottom w:val="nil"/>
                                    <w:right w:val="nil"/>
                                  </w:tcBorders>
                                </w:tcPr>
                                <w:p w14:paraId="5A9BF674" w14:textId="77777777" w:rsidR="00545A51" w:rsidRPr="00221A06" w:rsidRDefault="00545A51" w:rsidP="00221A06">
                                  <w:pPr>
                                    <w:rPr>
                                      <w:color w:val="000000"/>
                                      <w:sz w:val="16"/>
                                      <w:szCs w:val="16"/>
                                      <w:lang w:val="en-GB" w:eastAsia="it-IT"/>
                                    </w:rPr>
                                  </w:pPr>
                                </w:p>
                              </w:tc>
                              <w:tc>
                                <w:tcPr>
                                  <w:tcW w:w="431" w:type="dxa"/>
                                  <w:tcBorders>
                                    <w:top w:val="double" w:sz="4" w:space="0" w:color="auto"/>
                                    <w:left w:val="nil"/>
                                    <w:bottom w:val="nil"/>
                                    <w:right w:val="nil"/>
                                  </w:tcBorders>
                                </w:tcPr>
                                <w:p w14:paraId="2C4AAC6A" w14:textId="77777777" w:rsidR="00545A51" w:rsidRPr="00221A06" w:rsidRDefault="00545A51" w:rsidP="00221A06">
                                  <w:pPr>
                                    <w:rPr>
                                      <w:color w:val="000000"/>
                                      <w:sz w:val="16"/>
                                      <w:szCs w:val="16"/>
                                      <w:lang w:val="en-GB" w:eastAsia="it-IT"/>
                                    </w:rPr>
                                  </w:pPr>
                                </w:p>
                              </w:tc>
                              <w:tc>
                                <w:tcPr>
                                  <w:tcW w:w="539" w:type="dxa"/>
                                  <w:tcBorders>
                                    <w:top w:val="double" w:sz="4" w:space="0" w:color="auto"/>
                                    <w:left w:val="nil"/>
                                    <w:bottom w:val="nil"/>
                                    <w:right w:val="nil"/>
                                  </w:tcBorders>
                                  <w:shd w:val="clear" w:color="auto" w:fill="auto"/>
                                  <w:noWrap/>
                                  <w:vAlign w:val="center"/>
                                  <w:hideMark/>
                                </w:tcPr>
                                <w:p w14:paraId="47C5240B"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max</w:t>
                                  </w:r>
                                </w:p>
                              </w:tc>
                              <w:tc>
                                <w:tcPr>
                                  <w:tcW w:w="539" w:type="dxa"/>
                                  <w:tcBorders>
                                    <w:top w:val="double" w:sz="4" w:space="0" w:color="auto"/>
                                    <w:left w:val="nil"/>
                                    <w:bottom w:val="nil"/>
                                    <w:right w:val="nil"/>
                                  </w:tcBorders>
                                  <w:shd w:val="clear" w:color="auto" w:fill="auto"/>
                                  <w:noWrap/>
                                  <w:vAlign w:val="center"/>
                                  <w:hideMark/>
                                </w:tcPr>
                                <w:p w14:paraId="7104830C"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y</w:t>
                                  </w:r>
                                  <w:r w:rsidRPr="00221A06">
                                    <w:rPr>
                                      <w:color w:val="000000"/>
                                      <w:sz w:val="16"/>
                                      <w:szCs w:val="16"/>
                                      <w:vertAlign w:val="subscript"/>
                                      <w:lang w:val="en-GB" w:eastAsia="it-IT"/>
                                    </w:rPr>
                                    <w:t>max</w:t>
                                  </w:r>
                                </w:p>
                              </w:tc>
                              <w:tc>
                                <w:tcPr>
                                  <w:tcW w:w="539" w:type="dxa"/>
                                  <w:tcBorders>
                                    <w:top w:val="double" w:sz="4" w:space="0" w:color="auto"/>
                                    <w:left w:val="nil"/>
                                    <w:bottom w:val="nil"/>
                                    <w:right w:val="nil"/>
                                  </w:tcBorders>
                                  <w:shd w:val="clear" w:color="auto" w:fill="auto"/>
                                  <w:noWrap/>
                                  <w:vAlign w:val="center"/>
                                  <w:hideMark/>
                                </w:tcPr>
                                <w:p w14:paraId="55246762"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raise</w:t>
                                  </w:r>
                                </w:p>
                              </w:tc>
                              <w:tc>
                                <w:tcPr>
                                  <w:tcW w:w="539" w:type="dxa"/>
                                  <w:tcBorders>
                                    <w:top w:val="double" w:sz="4" w:space="0" w:color="auto"/>
                                    <w:left w:val="nil"/>
                                    <w:bottom w:val="nil"/>
                                    <w:right w:val="nil"/>
                                  </w:tcBorders>
                                  <w:shd w:val="clear" w:color="auto" w:fill="auto"/>
                                  <w:noWrap/>
                                  <w:vAlign w:val="center"/>
                                  <w:hideMark/>
                                </w:tcPr>
                                <w:p w14:paraId="709EF689"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wash</w:t>
                                  </w:r>
                                </w:p>
                              </w:tc>
                              <w:tc>
                                <w:tcPr>
                                  <w:tcW w:w="539" w:type="dxa"/>
                                  <w:tcBorders>
                                    <w:top w:val="double" w:sz="4" w:space="0" w:color="auto"/>
                                    <w:left w:val="nil"/>
                                    <w:bottom w:val="nil"/>
                                    <w:right w:val="nil"/>
                                  </w:tcBorders>
                                  <w:shd w:val="clear" w:color="auto" w:fill="auto"/>
                                  <w:noWrap/>
                                  <w:vAlign w:val="center"/>
                                  <w:hideMark/>
                                </w:tcPr>
                                <w:p w14:paraId="1D64E11B"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BVI</w:t>
                                  </w:r>
                                </w:p>
                              </w:tc>
                              <w:tc>
                                <w:tcPr>
                                  <w:tcW w:w="539" w:type="dxa"/>
                                  <w:tcBorders>
                                    <w:top w:val="double" w:sz="4" w:space="0" w:color="auto"/>
                                    <w:left w:val="nil"/>
                                    <w:bottom w:val="nil"/>
                                    <w:right w:val="nil"/>
                                  </w:tcBorders>
                                  <w:shd w:val="clear" w:color="auto" w:fill="auto"/>
                                  <w:noWrap/>
                                  <w:vAlign w:val="center"/>
                                  <w:hideMark/>
                                </w:tcPr>
                                <w:p w14:paraId="421C7BAF"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BFI</w:t>
                                  </w:r>
                                </w:p>
                              </w:tc>
                              <w:tc>
                                <w:tcPr>
                                  <w:tcW w:w="539" w:type="dxa"/>
                                  <w:tcBorders>
                                    <w:top w:val="double" w:sz="4" w:space="0" w:color="auto"/>
                                    <w:left w:val="nil"/>
                                    <w:bottom w:val="nil"/>
                                    <w:right w:val="nil"/>
                                  </w:tcBorders>
                                  <w:shd w:val="clear" w:color="auto" w:fill="auto"/>
                                  <w:noWrap/>
                                  <w:vAlign w:val="center"/>
                                  <w:hideMark/>
                                </w:tcPr>
                                <w:p w14:paraId="59C1CF3A"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MTT</w:t>
                                  </w:r>
                                </w:p>
                              </w:tc>
                            </w:tr>
                            <w:tr w:rsidR="00545A51" w:rsidRPr="00D62618" w14:paraId="2F773BED" w14:textId="77777777" w:rsidTr="002C6647">
                              <w:trPr>
                                <w:trHeight w:val="300"/>
                              </w:trPr>
                              <w:tc>
                                <w:tcPr>
                                  <w:tcW w:w="647" w:type="dxa"/>
                                  <w:vMerge w:val="restart"/>
                                  <w:tcBorders>
                                    <w:top w:val="nil"/>
                                    <w:left w:val="nil"/>
                                    <w:right w:val="nil"/>
                                  </w:tcBorders>
                                  <w:vAlign w:val="center"/>
                                </w:tcPr>
                                <w:p w14:paraId="239D2F68"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Gamma model</w:t>
                                  </w:r>
                                </w:p>
                              </w:tc>
                              <w:tc>
                                <w:tcPr>
                                  <w:tcW w:w="431" w:type="dxa"/>
                                  <w:tcBorders>
                                    <w:top w:val="nil"/>
                                    <w:left w:val="nil"/>
                                    <w:bottom w:val="nil"/>
                                    <w:right w:val="nil"/>
                                  </w:tcBorders>
                                  <w:vAlign w:val="center"/>
                                </w:tcPr>
                                <w:p w14:paraId="60306A58"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R</w:t>
                                  </w:r>
                                </w:p>
                              </w:tc>
                              <w:tc>
                                <w:tcPr>
                                  <w:tcW w:w="539" w:type="dxa"/>
                                  <w:tcBorders>
                                    <w:top w:val="nil"/>
                                    <w:left w:val="nil"/>
                                    <w:bottom w:val="nil"/>
                                    <w:right w:val="nil"/>
                                  </w:tcBorders>
                                  <w:shd w:val="clear" w:color="auto" w:fill="auto"/>
                                  <w:noWrap/>
                                  <w:hideMark/>
                                </w:tcPr>
                                <w:p w14:paraId="3C6C8956" w14:textId="40DAC585" w:rsidR="00545A51" w:rsidRPr="00D62618" w:rsidRDefault="00545A51" w:rsidP="00646B91">
                                  <w:pPr>
                                    <w:jc w:val="center"/>
                                    <w:rPr>
                                      <w:color w:val="000000" w:themeColor="text1"/>
                                      <w:sz w:val="16"/>
                                      <w:szCs w:val="16"/>
                                      <w:lang w:val="en-GB" w:eastAsia="it-IT"/>
                                    </w:rPr>
                                  </w:pPr>
                                  <w:r w:rsidRPr="00D62618">
                                    <w:rPr>
                                      <w:color w:val="000000" w:themeColor="text1"/>
                                      <w:sz w:val="16"/>
                                    </w:rPr>
                                    <w:t>0.95</w:t>
                                  </w:r>
                                </w:p>
                              </w:tc>
                              <w:tc>
                                <w:tcPr>
                                  <w:tcW w:w="539" w:type="dxa"/>
                                  <w:tcBorders>
                                    <w:top w:val="nil"/>
                                    <w:left w:val="nil"/>
                                    <w:bottom w:val="nil"/>
                                    <w:right w:val="nil"/>
                                  </w:tcBorders>
                                  <w:shd w:val="clear" w:color="auto" w:fill="auto"/>
                                  <w:noWrap/>
                                  <w:hideMark/>
                                </w:tcPr>
                                <w:p w14:paraId="2ADD7A24" w14:textId="3F7F1295" w:rsidR="00545A51" w:rsidRPr="00D62618" w:rsidRDefault="00545A51" w:rsidP="00646B91">
                                  <w:pPr>
                                    <w:jc w:val="center"/>
                                    <w:rPr>
                                      <w:color w:val="000000" w:themeColor="text1"/>
                                      <w:sz w:val="16"/>
                                      <w:szCs w:val="16"/>
                                      <w:lang w:val="en-GB"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0DA37F03" w14:textId="45F35694" w:rsidR="00545A51" w:rsidRPr="00D62618" w:rsidRDefault="00545A51" w:rsidP="00646B91">
                                  <w:pPr>
                                    <w:jc w:val="center"/>
                                    <w:rPr>
                                      <w:color w:val="000000" w:themeColor="text1"/>
                                      <w:sz w:val="16"/>
                                      <w:szCs w:val="16"/>
                                      <w:lang w:val="en-GB" w:eastAsia="it-IT"/>
                                    </w:rPr>
                                  </w:pPr>
                                  <w:r w:rsidRPr="00D62618">
                                    <w:rPr>
                                      <w:color w:val="000000" w:themeColor="text1"/>
                                      <w:sz w:val="16"/>
                                    </w:rPr>
                                    <w:t>0.93</w:t>
                                  </w:r>
                                </w:p>
                              </w:tc>
                              <w:tc>
                                <w:tcPr>
                                  <w:tcW w:w="539" w:type="dxa"/>
                                  <w:tcBorders>
                                    <w:top w:val="nil"/>
                                    <w:left w:val="nil"/>
                                    <w:bottom w:val="nil"/>
                                    <w:right w:val="nil"/>
                                  </w:tcBorders>
                                  <w:shd w:val="clear" w:color="auto" w:fill="auto"/>
                                  <w:noWrap/>
                                  <w:hideMark/>
                                </w:tcPr>
                                <w:p w14:paraId="544C57F3" w14:textId="68D58190" w:rsidR="00545A51" w:rsidRPr="00D62618" w:rsidRDefault="00545A51" w:rsidP="00646B91">
                                  <w:pPr>
                                    <w:jc w:val="center"/>
                                    <w:rPr>
                                      <w:color w:val="000000" w:themeColor="text1"/>
                                      <w:sz w:val="16"/>
                                      <w:szCs w:val="16"/>
                                      <w:lang w:val="en-GB" w:eastAsia="it-IT"/>
                                    </w:rPr>
                                  </w:pPr>
                                  <w:r w:rsidRPr="00D62618">
                                    <w:rPr>
                                      <w:color w:val="000000" w:themeColor="text1"/>
                                      <w:sz w:val="16"/>
                                    </w:rPr>
                                    <w:t>0.93</w:t>
                                  </w:r>
                                </w:p>
                              </w:tc>
                              <w:tc>
                                <w:tcPr>
                                  <w:tcW w:w="539" w:type="dxa"/>
                                  <w:tcBorders>
                                    <w:top w:val="nil"/>
                                    <w:left w:val="nil"/>
                                    <w:bottom w:val="nil"/>
                                    <w:right w:val="nil"/>
                                  </w:tcBorders>
                                  <w:shd w:val="clear" w:color="auto" w:fill="auto"/>
                                  <w:noWrap/>
                                  <w:hideMark/>
                                </w:tcPr>
                                <w:p w14:paraId="0FD6F885" w14:textId="43041A9D" w:rsidR="00545A51" w:rsidRPr="00D62618" w:rsidRDefault="00545A51" w:rsidP="00646B91">
                                  <w:pPr>
                                    <w:jc w:val="center"/>
                                    <w:rPr>
                                      <w:color w:val="000000" w:themeColor="text1"/>
                                      <w:sz w:val="16"/>
                                      <w:szCs w:val="16"/>
                                      <w:lang w:val="en-GB" w:eastAsia="it-IT"/>
                                    </w:rPr>
                                  </w:pPr>
                                  <w:r w:rsidRPr="00D62618">
                                    <w:rPr>
                                      <w:color w:val="000000" w:themeColor="text1"/>
                                      <w:sz w:val="16"/>
                                    </w:rPr>
                                    <w:t>0.87</w:t>
                                  </w:r>
                                </w:p>
                              </w:tc>
                              <w:tc>
                                <w:tcPr>
                                  <w:tcW w:w="539" w:type="dxa"/>
                                  <w:tcBorders>
                                    <w:top w:val="nil"/>
                                    <w:left w:val="nil"/>
                                    <w:bottom w:val="nil"/>
                                    <w:right w:val="nil"/>
                                  </w:tcBorders>
                                  <w:shd w:val="clear" w:color="auto" w:fill="auto"/>
                                  <w:noWrap/>
                                  <w:hideMark/>
                                </w:tcPr>
                                <w:p w14:paraId="4508C7BB" w14:textId="6A0CA1AA" w:rsidR="00545A51" w:rsidRPr="00D62618" w:rsidRDefault="00545A51" w:rsidP="00646B91">
                                  <w:pPr>
                                    <w:jc w:val="center"/>
                                    <w:rPr>
                                      <w:color w:val="000000" w:themeColor="text1"/>
                                      <w:sz w:val="16"/>
                                      <w:szCs w:val="16"/>
                                      <w:lang w:val="en-GB" w:eastAsia="it-IT"/>
                                    </w:rPr>
                                  </w:pPr>
                                  <w:r w:rsidRPr="00D62618">
                                    <w:rPr>
                                      <w:color w:val="000000" w:themeColor="text1"/>
                                      <w:sz w:val="16"/>
                                    </w:rPr>
                                    <w:t>0.97</w:t>
                                  </w:r>
                                </w:p>
                              </w:tc>
                              <w:tc>
                                <w:tcPr>
                                  <w:tcW w:w="539" w:type="dxa"/>
                                  <w:tcBorders>
                                    <w:top w:val="nil"/>
                                    <w:left w:val="nil"/>
                                    <w:bottom w:val="nil"/>
                                    <w:right w:val="nil"/>
                                  </w:tcBorders>
                                  <w:shd w:val="clear" w:color="auto" w:fill="auto"/>
                                  <w:noWrap/>
                                  <w:hideMark/>
                                </w:tcPr>
                                <w:p w14:paraId="7CE31A5C" w14:textId="613CEBD1" w:rsidR="00545A51" w:rsidRPr="00D62618" w:rsidRDefault="00545A51" w:rsidP="00646B91">
                                  <w:pPr>
                                    <w:jc w:val="center"/>
                                    <w:rPr>
                                      <w:color w:val="000000" w:themeColor="text1"/>
                                      <w:sz w:val="16"/>
                                      <w:szCs w:val="16"/>
                                      <w:lang w:val="en-GB" w:eastAsia="it-IT"/>
                                    </w:rPr>
                                  </w:pPr>
                                  <w:r w:rsidRPr="00D62618">
                                    <w:rPr>
                                      <w:color w:val="000000" w:themeColor="text1"/>
                                      <w:sz w:val="16"/>
                                    </w:rPr>
                                    <w:t>0.83</w:t>
                                  </w:r>
                                </w:p>
                              </w:tc>
                            </w:tr>
                            <w:tr w:rsidR="00545A51" w:rsidRPr="00D62618" w14:paraId="04E1901F" w14:textId="77777777" w:rsidTr="002C6647">
                              <w:trPr>
                                <w:trHeight w:val="300"/>
                              </w:trPr>
                              <w:tc>
                                <w:tcPr>
                                  <w:tcW w:w="647" w:type="dxa"/>
                                  <w:vMerge/>
                                  <w:tcBorders>
                                    <w:left w:val="nil"/>
                                    <w:right w:val="nil"/>
                                  </w:tcBorders>
                                  <w:vAlign w:val="center"/>
                                </w:tcPr>
                                <w:p w14:paraId="0C42BA5C" w14:textId="77777777" w:rsidR="00545A51" w:rsidRPr="00221A06" w:rsidRDefault="00545A51" w:rsidP="00646B91">
                                  <w:pPr>
                                    <w:jc w:val="center"/>
                                    <w:rPr>
                                      <w:color w:val="000000"/>
                                      <w:sz w:val="16"/>
                                      <w:szCs w:val="16"/>
                                      <w:lang w:val="en-GB" w:eastAsia="it-IT"/>
                                    </w:rPr>
                                  </w:pPr>
                                </w:p>
                              </w:tc>
                              <w:tc>
                                <w:tcPr>
                                  <w:tcW w:w="431" w:type="dxa"/>
                                  <w:tcBorders>
                                    <w:top w:val="nil"/>
                                    <w:left w:val="nil"/>
                                    <w:bottom w:val="nil"/>
                                    <w:right w:val="nil"/>
                                  </w:tcBorders>
                                  <w:vAlign w:val="center"/>
                                </w:tcPr>
                                <w:p w14:paraId="76F404EE"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m</w:t>
                                  </w:r>
                                </w:p>
                              </w:tc>
                              <w:tc>
                                <w:tcPr>
                                  <w:tcW w:w="539" w:type="dxa"/>
                                  <w:tcBorders>
                                    <w:top w:val="nil"/>
                                    <w:left w:val="nil"/>
                                    <w:bottom w:val="nil"/>
                                    <w:right w:val="nil"/>
                                  </w:tcBorders>
                                  <w:shd w:val="clear" w:color="auto" w:fill="auto"/>
                                  <w:noWrap/>
                                  <w:hideMark/>
                                </w:tcPr>
                                <w:p w14:paraId="0A6E106E" w14:textId="331BB99D" w:rsidR="00545A51" w:rsidRPr="00D62618" w:rsidRDefault="00545A51" w:rsidP="00646B91">
                                  <w:pPr>
                                    <w:jc w:val="center"/>
                                    <w:rPr>
                                      <w:color w:val="000000" w:themeColor="text1"/>
                                      <w:sz w:val="16"/>
                                      <w:szCs w:val="16"/>
                                      <w:lang w:val="en-GB" w:eastAsia="it-IT"/>
                                    </w:rPr>
                                  </w:pPr>
                                  <w:r w:rsidRPr="00D62618">
                                    <w:rPr>
                                      <w:color w:val="000000" w:themeColor="text1"/>
                                      <w:sz w:val="16"/>
                                    </w:rPr>
                                    <w:t>0.85</w:t>
                                  </w:r>
                                </w:p>
                              </w:tc>
                              <w:tc>
                                <w:tcPr>
                                  <w:tcW w:w="539" w:type="dxa"/>
                                  <w:tcBorders>
                                    <w:top w:val="nil"/>
                                    <w:left w:val="nil"/>
                                    <w:bottom w:val="nil"/>
                                    <w:right w:val="nil"/>
                                  </w:tcBorders>
                                  <w:shd w:val="clear" w:color="auto" w:fill="auto"/>
                                  <w:noWrap/>
                                  <w:hideMark/>
                                </w:tcPr>
                                <w:p w14:paraId="3B790A14" w14:textId="78D13427" w:rsidR="00545A51" w:rsidRPr="00D62618" w:rsidRDefault="00545A51" w:rsidP="00646B91">
                                  <w:pPr>
                                    <w:jc w:val="center"/>
                                    <w:rPr>
                                      <w:color w:val="000000" w:themeColor="text1"/>
                                      <w:sz w:val="16"/>
                                      <w:szCs w:val="16"/>
                                      <w:lang w:val="en-GB" w:eastAsia="it-IT"/>
                                    </w:rPr>
                                  </w:pPr>
                                  <w:r w:rsidRPr="00D62618">
                                    <w:rPr>
                                      <w:color w:val="000000" w:themeColor="text1"/>
                                      <w:sz w:val="16"/>
                                    </w:rPr>
                                    <w:t>0.98</w:t>
                                  </w:r>
                                </w:p>
                              </w:tc>
                              <w:tc>
                                <w:tcPr>
                                  <w:tcW w:w="539" w:type="dxa"/>
                                  <w:tcBorders>
                                    <w:top w:val="nil"/>
                                    <w:left w:val="nil"/>
                                    <w:bottom w:val="nil"/>
                                    <w:right w:val="nil"/>
                                  </w:tcBorders>
                                  <w:shd w:val="clear" w:color="auto" w:fill="auto"/>
                                  <w:noWrap/>
                                  <w:hideMark/>
                                </w:tcPr>
                                <w:p w14:paraId="2D846AFF" w14:textId="585E9D9F" w:rsidR="00545A51" w:rsidRPr="00D62618" w:rsidRDefault="00545A51" w:rsidP="00646B91">
                                  <w:pPr>
                                    <w:jc w:val="center"/>
                                    <w:rPr>
                                      <w:color w:val="000000" w:themeColor="text1"/>
                                      <w:sz w:val="16"/>
                                      <w:szCs w:val="16"/>
                                      <w:lang w:val="en-GB" w:eastAsia="it-IT"/>
                                    </w:rPr>
                                  </w:pPr>
                                  <w:r w:rsidRPr="00D62618">
                                    <w:rPr>
                                      <w:color w:val="000000" w:themeColor="text1"/>
                                      <w:sz w:val="16"/>
                                    </w:rPr>
                                    <w:t>0.80</w:t>
                                  </w:r>
                                </w:p>
                              </w:tc>
                              <w:tc>
                                <w:tcPr>
                                  <w:tcW w:w="539" w:type="dxa"/>
                                  <w:tcBorders>
                                    <w:top w:val="nil"/>
                                    <w:left w:val="nil"/>
                                    <w:bottom w:val="nil"/>
                                    <w:right w:val="nil"/>
                                  </w:tcBorders>
                                  <w:shd w:val="clear" w:color="auto" w:fill="auto"/>
                                  <w:noWrap/>
                                  <w:hideMark/>
                                </w:tcPr>
                                <w:p w14:paraId="4C098849" w14:textId="48206613" w:rsidR="00545A51" w:rsidRPr="00D62618" w:rsidRDefault="00545A51" w:rsidP="00646B91">
                                  <w:pPr>
                                    <w:jc w:val="center"/>
                                    <w:rPr>
                                      <w:color w:val="000000" w:themeColor="text1"/>
                                      <w:sz w:val="16"/>
                                      <w:szCs w:val="16"/>
                                      <w:lang w:val="en-GB" w:eastAsia="it-IT"/>
                                    </w:rPr>
                                  </w:pPr>
                                  <w:r w:rsidRPr="00D62618">
                                    <w:rPr>
                                      <w:color w:val="000000" w:themeColor="text1"/>
                                      <w:sz w:val="16"/>
                                    </w:rPr>
                                    <w:t>0.80</w:t>
                                  </w:r>
                                </w:p>
                              </w:tc>
                              <w:tc>
                                <w:tcPr>
                                  <w:tcW w:w="539" w:type="dxa"/>
                                  <w:tcBorders>
                                    <w:top w:val="nil"/>
                                    <w:left w:val="nil"/>
                                    <w:bottom w:val="nil"/>
                                    <w:right w:val="nil"/>
                                  </w:tcBorders>
                                  <w:shd w:val="clear" w:color="auto" w:fill="auto"/>
                                  <w:noWrap/>
                                  <w:hideMark/>
                                </w:tcPr>
                                <w:p w14:paraId="24BE3595" w14:textId="6B3228C1" w:rsidR="00545A51" w:rsidRPr="00D62618" w:rsidRDefault="00545A51" w:rsidP="00646B91">
                                  <w:pPr>
                                    <w:jc w:val="center"/>
                                    <w:rPr>
                                      <w:color w:val="000000" w:themeColor="text1"/>
                                      <w:sz w:val="16"/>
                                      <w:szCs w:val="16"/>
                                      <w:lang w:val="en-GB" w:eastAsia="it-IT"/>
                                    </w:rPr>
                                  </w:pPr>
                                  <w:r w:rsidRPr="00D62618">
                                    <w:rPr>
                                      <w:color w:val="000000" w:themeColor="text1"/>
                                      <w:sz w:val="16"/>
                                    </w:rPr>
                                    <w:t>0.64</w:t>
                                  </w:r>
                                </w:p>
                              </w:tc>
                              <w:tc>
                                <w:tcPr>
                                  <w:tcW w:w="539" w:type="dxa"/>
                                  <w:tcBorders>
                                    <w:top w:val="nil"/>
                                    <w:left w:val="nil"/>
                                    <w:bottom w:val="nil"/>
                                    <w:right w:val="nil"/>
                                  </w:tcBorders>
                                  <w:shd w:val="clear" w:color="auto" w:fill="auto"/>
                                  <w:noWrap/>
                                  <w:hideMark/>
                                </w:tcPr>
                                <w:p w14:paraId="301A5F89" w14:textId="38B0225A" w:rsidR="00545A51" w:rsidRPr="00D62618" w:rsidRDefault="00545A51" w:rsidP="00646B91">
                                  <w:pPr>
                                    <w:jc w:val="center"/>
                                    <w:rPr>
                                      <w:color w:val="000000" w:themeColor="text1"/>
                                      <w:sz w:val="16"/>
                                      <w:szCs w:val="16"/>
                                      <w:lang w:eastAsia="it-IT"/>
                                    </w:rPr>
                                  </w:pPr>
                                  <w:r w:rsidRPr="00D62618">
                                    <w:rPr>
                                      <w:color w:val="000000" w:themeColor="text1"/>
                                      <w:sz w:val="16"/>
                                    </w:rPr>
                                    <w:t>0.90</w:t>
                                  </w:r>
                                </w:p>
                              </w:tc>
                              <w:tc>
                                <w:tcPr>
                                  <w:tcW w:w="539" w:type="dxa"/>
                                  <w:tcBorders>
                                    <w:top w:val="nil"/>
                                    <w:left w:val="nil"/>
                                    <w:bottom w:val="nil"/>
                                    <w:right w:val="nil"/>
                                  </w:tcBorders>
                                  <w:shd w:val="clear" w:color="auto" w:fill="auto"/>
                                  <w:noWrap/>
                                  <w:hideMark/>
                                </w:tcPr>
                                <w:p w14:paraId="7ECFCC67" w14:textId="4756B85F" w:rsidR="00545A51" w:rsidRPr="00D62618" w:rsidRDefault="00545A51" w:rsidP="00646B91">
                                  <w:pPr>
                                    <w:jc w:val="center"/>
                                    <w:rPr>
                                      <w:color w:val="000000" w:themeColor="text1"/>
                                      <w:sz w:val="16"/>
                                      <w:szCs w:val="16"/>
                                      <w:lang w:eastAsia="it-IT"/>
                                    </w:rPr>
                                  </w:pPr>
                                  <w:r w:rsidRPr="00D62618">
                                    <w:rPr>
                                      <w:color w:val="000000" w:themeColor="text1"/>
                                      <w:sz w:val="16"/>
                                    </w:rPr>
                                    <w:t>0.62</w:t>
                                  </w:r>
                                </w:p>
                              </w:tc>
                            </w:tr>
                            <w:tr w:rsidR="00545A51" w:rsidRPr="00D62618" w14:paraId="57FA24E5" w14:textId="77777777" w:rsidTr="002C6647">
                              <w:trPr>
                                <w:trHeight w:val="300"/>
                              </w:trPr>
                              <w:tc>
                                <w:tcPr>
                                  <w:tcW w:w="647" w:type="dxa"/>
                                  <w:vMerge/>
                                  <w:tcBorders>
                                    <w:left w:val="nil"/>
                                    <w:bottom w:val="single" w:sz="4" w:space="0" w:color="auto"/>
                                    <w:right w:val="nil"/>
                                  </w:tcBorders>
                                </w:tcPr>
                                <w:p w14:paraId="5C629CBF" w14:textId="77777777" w:rsidR="00545A51" w:rsidRPr="00221A06" w:rsidRDefault="00545A51" w:rsidP="00646B91">
                                  <w:pPr>
                                    <w:jc w:val="right"/>
                                    <w:rPr>
                                      <w:color w:val="000000"/>
                                      <w:sz w:val="16"/>
                                      <w:szCs w:val="16"/>
                                      <w:lang w:eastAsia="it-IT"/>
                                    </w:rPr>
                                  </w:pPr>
                                </w:p>
                              </w:tc>
                              <w:tc>
                                <w:tcPr>
                                  <w:tcW w:w="431" w:type="dxa"/>
                                  <w:tcBorders>
                                    <w:top w:val="nil"/>
                                    <w:left w:val="nil"/>
                                    <w:bottom w:val="single" w:sz="4" w:space="0" w:color="auto"/>
                                    <w:right w:val="nil"/>
                                  </w:tcBorders>
                                  <w:vAlign w:val="center"/>
                                </w:tcPr>
                                <w:p w14:paraId="4E244106" w14:textId="77777777" w:rsidR="00545A51" w:rsidRPr="00221A06" w:rsidRDefault="00545A51" w:rsidP="00646B91">
                                  <w:pPr>
                                    <w:jc w:val="center"/>
                                    <w:rPr>
                                      <w:color w:val="000000"/>
                                      <w:sz w:val="16"/>
                                      <w:szCs w:val="16"/>
                                      <w:lang w:eastAsia="it-IT"/>
                                    </w:rPr>
                                  </w:pPr>
                                  <w:r w:rsidRPr="00221A06">
                                    <w:rPr>
                                      <w:color w:val="000000"/>
                                      <w:sz w:val="16"/>
                                      <w:szCs w:val="16"/>
                                      <w:lang w:eastAsia="it-IT"/>
                                    </w:rPr>
                                    <w:t>q</w:t>
                                  </w:r>
                                </w:p>
                              </w:tc>
                              <w:tc>
                                <w:tcPr>
                                  <w:tcW w:w="539" w:type="dxa"/>
                                  <w:tcBorders>
                                    <w:top w:val="nil"/>
                                    <w:left w:val="nil"/>
                                    <w:bottom w:val="single" w:sz="4" w:space="0" w:color="auto"/>
                                    <w:right w:val="nil"/>
                                  </w:tcBorders>
                                  <w:shd w:val="clear" w:color="auto" w:fill="auto"/>
                                  <w:noWrap/>
                                  <w:hideMark/>
                                </w:tcPr>
                                <w:p w14:paraId="5FDF63C3" w14:textId="490A110A" w:rsidR="00545A51" w:rsidRPr="00D62618" w:rsidRDefault="00545A51" w:rsidP="00646B91">
                                  <w:pPr>
                                    <w:jc w:val="center"/>
                                    <w:rPr>
                                      <w:color w:val="000000" w:themeColor="text1"/>
                                      <w:sz w:val="16"/>
                                      <w:szCs w:val="16"/>
                                      <w:lang w:eastAsia="it-IT"/>
                                    </w:rPr>
                                  </w:pPr>
                                  <w:r w:rsidRPr="00D62618">
                                    <w:rPr>
                                      <w:color w:val="000000" w:themeColor="text1"/>
                                      <w:sz w:val="16"/>
                                    </w:rPr>
                                    <w:t>5.83</w:t>
                                  </w:r>
                                </w:p>
                              </w:tc>
                              <w:tc>
                                <w:tcPr>
                                  <w:tcW w:w="539" w:type="dxa"/>
                                  <w:tcBorders>
                                    <w:top w:val="nil"/>
                                    <w:left w:val="nil"/>
                                    <w:bottom w:val="single" w:sz="4" w:space="0" w:color="auto"/>
                                    <w:right w:val="nil"/>
                                  </w:tcBorders>
                                  <w:shd w:val="clear" w:color="auto" w:fill="auto"/>
                                  <w:noWrap/>
                                  <w:hideMark/>
                                </w:tcPr>
                                <w:p w14:paraId="18030EDA" w14:textId="09F67F7E"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single" w:sz="4" w:space="0" w:color="auto"/>
                                    <w:right w:val="nil"/>
                                  </w:tcBorders>
                                  <w:shd w:val="clear" w:color="auto" w:fill="auto"/>
                                  <w:noWrap/>
                                  <w:hideMark/>
                                </w:tcPr>
                                <w:p w14:paraId="485D80F6" w14:textId="32D8197F" w:rsidR="00545A51" w:rsidRPr="00D62618" w:rsidRDefault="00545A51" w:rsidP="00646B91">
                                  <w:pPr>
                                    <w:jc w:val="center"/>
                                    <w:rPr>
                                      <w:color w:val="000000" w:themeColor="text1"/>
                                      <w:sz w:val="16"/>
                                      <w:szCs w:val="16"/>
                                      <w:lang w:eastAsia="it-IT"/>
                                    </w:rPr>
                                  </w:pPr>
                                  <w:r w:rsidRPr="00D62618">
                                    <w:rPr>
                                      <w:color w:val="000000" w:themeColor="text1"/>
                                      <w:sz w:val="16"/>
                                    </w:rPr>
                                    <w:t>1.01</w:t>
                                  </w:r>
                                </w:p>
                              </w:tc>
                              <w:tc>
                                <w:tcPr>
                                  <w:tcW w:w="539" w:type="dxa"/>
                                  <w:tcBorders>
                                    <w:top w:val="nil"/>
                                    <w:left w:val="nil"/>
                                    <w:bottom w:val="single" w:sz="4" w:space="0" w:color="auto"/>
                                    <w:right w:val="nil"/>
                                  </w:tcBorders>
                                  <w:shd w:val="clear" w:color="auto" w:fill="auto"/>
                                  <w:noWrap/>
                                  <w:hideMark/>
                                </w:tcPr>
                                <w:p w14:paraId="462926F2" w14:textId="4AD84E53" w:rsidR="00545A51" w:rsidRPr="00D62618" w:rsidRDefault="00545A51" w:rsidP="00646B91">
                                  <w:pPr>
                                    <w:jc w:val="center"/>
                                    <w:rPr>
                                      <w:color w:val="000000" w:themeColor="text1"/>
                                      <w:sz w:val="16"/>
                                      <w:szCs w:val="16"/>
                                      <w:lang w:eastAsia="it-IT"/>
                                    </w:rPr>
                                  </w:pPr>
                                  <w:r w:rsidRPr="00D62618">
                                    <w:rPr>
                                      <w:color w:val="000000" w:themeColor="text1"/>
                                      <w:sz w:val="16"/>
                                    </w:rPr>
                                    <w:t>11.63</w:t>
                                  </w:r>
                                </w:p>
                              </w:tc>
                              <w:tc>
                                <w:tcPr>
                                  <w:tcW w:w="539" w:type="dxa"/>
                                  <w:tcBorders>
                                    <w:top w:val="nil"/>
                                    <w:left w:val="nil"/>
                                    <w:bottom w:val="single" w:sz="4" w:space="0" w:color="auto"/>
                                    <w:right w:val="nil"/>
                                  </w:tcBorders>
                                  <w:shd w:val="clear" w:color="auto" w:fill="auto"/>
                                  <w:noWrap/>
                                  <w:hideMark/>
                                </w:tcPr>
                                <w:p w14:paraId="33C7F9FE" w14:textId="5C10E008" w:rsidR="00545A51" w:rsidRPr="00D62618" w:rsidRDefault="00545A51" w:rsidP="00646B91">
                                  <w:pPr>
                                    <w:jc w:val="center"/>
                                    <w:rPr>
                                      <w:color w:val="000000" w:themeColor="text1"/>
                                      <w:sz w:val="16"/>
                                      <w:szCs w:val="16"/>
                                      <w:lang w:eastAsia="it-IT"/>
                                    </w:rPr>
                                  </w:pPr>
                                  <w:r w:rsidRPr="00D62618">
                                    <w:rPr>
                                      <w:color w:val="000000" w:themeColor="text1"/>
                                      <w:sz w:val="16"/>
                                    </w:rPr>
                                    <w:t>0.06</w:t>
                                  </w:r>
                                </w:p>
                              </w:tc>
                              <w:tc>
                                <w:tcPr>
                                  <w:tcW w:w="539" w:type="dxa"/>
                                  <w:tcBorders>
                                    <w:top w:val="nil"/>
                                    <w:left w:val="nil"/>
                                    <w:bottom w:val="single" w:sz="4" w:space="0" w:color="auto"/>
                                    <w:right w:val="nil"/>
                                  </w:tcBorders>
                                  <w:shd w:val="clear" w:color="auto" w:fill="auto"/>
                                  <w:noWrap/>
                                  <w:hideMark/>
                                </w:tcPr>
                                <w:p w14:paraId="19CE4437" w14:textId="6321B344"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single" w:sz="4" w:space="0" w:color="auto"/>
                                    <w:right w:val="nil"/>
                                  </w:tcBorders>
                                  <w:shd w:val="clear" w:color="auto" w:fill="auto"/>
                                  <w:noWrap/>
                                  <w:hideMark/>
                                </w:tcPr>
                                <w:p w14:paraId="191BBBA3" w14:textId="226D899A" w:rsidR="00545A51" w:rsidRPr="00D62618" w:rsidRDefault="00545A51" w:rsidP="00646B91">
                                  <w:pPr>
                                    <w:jc w:val="center"/>
                                    <w:rPr>
                                      <w:color w:val="000000" w:themeColor="text1"/>
                                      <w:sz w:val="16"/>
                                      <w:szCs w:val="16"/>
                                      <w:lang w:eastAsia="it-IT"/>
                                    </w:rPr>
                                  </w:pPr>
                                  <w:r w:rsidRPr="00D62618">
                                    <w:rPr>
                                      <w:color w:val="000000" w:themeColor="text1"/>
                                      <w:sz w:val="16"/>
                                    </w:rPr>
                                    <w:t>14.16</w:t>
                                  </w:r>
                                </w:p>
                              </w:tc>
                            </w:tr>
                            <w:tr w:rsidR="00545A51" w:rsidRPr="00D62618" w14:paraId="3CED9139" w14:textId="77777777" w:rsidTr="00221A06">
                              <w:trPr>
                                <w:trHeight w:val="300"/>
                              </w:trPr>
                              <w:tc>
                                <w:tcPr>
                                  <w:tcW w:w="647" w:type="dxa"/>
                                  <w:tcBorders>
                                    <w:top w:val="single" w:sz="4" w:space="0" w:color="auto"/>
                                    <w:left w:val="nil"/>
                                    <w:bottom w:val="nil"/>
                                    <w:right w:val="nil"/>
                                  </w:tcBorders>
                                </w:tcPr>
                                <w:p w14:paraId="3CCFCFB8" w14:textId="77777777" w:rsidR="00545A51" w:rsidRPr="00221A06" w:rsidRDefault="00545A51" w:rsidP="00221A06">
                                  <w:pPr>
                                    <w:rPr>
                                      <w:color w:val="000000"/>
                                      <w:sz w:val="16"/>
                                      <w:szCs w:val="16"/>
                                      <w:lang w:eastAsia="it-IT"/>
                                    </w:rPr>
                                  </w:pPr>
                                </w:p>
                              </w:tc>
                              <w:tc>
                                <w:tcPr>
                                  <w:tcW w:w="431" w:type="dxa"/>
                                  <w:tcBorders>
                                    <w:top w:val="single" w:sz="4" w:space="0" w:color="auto"/>
                                    <w:left w:val="nil"/>
                                    <w:bottom w:val="nil"/>
                                    <w:right w:val="nil"/>
                                  </w:tcBorders>
                                  <w:vAlign w:val="center"/>
                                </w:tcPr>
                                <w:p w14:paraId="0B60A8AD" w14:textId="77777777" w:rsidR="00545A51" w:rsidRPr="00221A06" w:rsidRDefault="00545A51" w:rsidP="00221A06">
                                  <w:pPr>
                                    <w:jc w:val="center"/>
                                    <w:rPr>
                                      <w:color w:val="000000"/>
                                      <w:sz w:val="16"/>
                                      <w:szCs w:val="16"/>
                                      <w:lang w:eastAsia="it-IT"/>
                                    </w:rPr>
                                  </w:pPr>
                                </w:p>
                              </w:tc>
                              <w:tc>
                                <w:tcPr>
                                  <w:tcW w:w="539" w:type="dxa"/>
                                  <w:tcBorders>
                                    <w:top w:val="single" w:sz="4" w:space="0" w:color="auto"/>
                                    <w:left w:val="nil"/>
                                    <w:bottom w:val="nil"/>
                                    <w:right w:val="nil"/>
                                  </w:tcBorders>
                                  <w:shd w:val="clear" w:color="auto" w:fill="auto"/>
                                  <w:noWrap/>
                                  <w:vAlign w:val="center"/>
                                  <w:hideMark/>
                                </w:tcPr>
                                <w:p w14:paraId="1633BEBB"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max</w:t>
                                  </w:r>
                                </w:p>
                              </w:tc>
                              <w:tc>
                                <w:tcPr>
                                  <w:tcW w:w="539" w:type="dxa"/>
                                  <w:tcBorders>
                                    <w:top w:val="single" w:sz="4" w:space="0" w:color="auto"/>
                                    <w:left w:val="nil"/>
                                    <w:bottom w:val="nil"/>
                                    <w:right w:val="nil"/>
                                  </w:tcBorders>
                                  <w:shd w:val="clear" w:color="auto" w:fill="auto"/>
                                  <w:noWrap/>
                                  <w:vAlign w:val="center"/>
                                  <w:hideMark/>
                                </w:tcPr>
                                <w:p w14:paraId="5A28C328"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y</w:t>
                                  </w:r>
                                  <w:r w:rsidRPr="00D62618">
                                    <w:rPr>
                                      <w:color w:val="000000" w:themeColor="text1"/>
                                      <w:sz w:val="16"/>
                                      <w:szCs w:val="16"/>
                                      <w:vertAlign w:val="subscript"/>
                                      <w:lang w:eastAsia="it-IT"/>
                                    </w:rPr>
                                    <w:t>max</w:t>
                                  </w:r>
                                </w:p>
                              </w:tc>
                              <w:tc>
                                <w:tcPr>
                                  <w:tcW w:w="539" w:type="dxa"/>
                                  <w:tcBorders>
                                    <w:top w:val="single" w:sz="4" w:space="0" w:color="auto"/>
                                    <w:left w:val="nil"/>
                                    <w:bottom w:val="nil"/>
                                    <w:right w:val="nil"/>
                                  </w:tcBorders>
                                  <w:shd w:val="clear" w:color="auto" w:fill="auto"/>
                                  <w:noWrap/>
                                  <w:vAlign w:val="center"/>
                                  <w:hideMark/>
                                </w:tcPr>
                                <w:p w14:paraId="68D3AA59"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raise</w:t>
                                  </w:r>
                                </w:p>
                              </w:tc>
                              <w:tc>
                                <w:tcPr>
                                  <w:tcW w:w="539" w:type="dxa"/>
                                  <w:tcBorders>
                                    <w:top w:val="single" w:sz="4" w:space="0" w:color="auto"/>
                                    <w:left w:val="nil"/>
                                    <w:bottom w:val="nil"/>
                                    <w:right w:val="nil"/>
                                  </w:tcBorders>
                                  <w:shd w:val="clear" w:color="auto" w:fill="auto"/>
                                  <w:noWrap/>
                                  <w:vAlign w:val="center"/>
                                  <w:hideMark/>
                                </w:tcPr>
                                <w:p w14:paraId="1B3B09DA"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wash</w:t>
                                  </w:r>
                                </w:p>
                              </w:tc>
                              <w:tc>
                                <w:tcPr>
                                  <w:tcW w:w="539" w:type="dxa"/>
                                  <w:tcBorders>
                                    <w:top w:val="single" w:sz="4" w:space="0" w:color="auto"/>
                                    <w:left w:val="nil"/>
                                    <w:bottom w:val="nil"/>
                                    <w:right w:val="nil"/>
                                  </w:tcBorders>
                                  <w:shd w:val="clear" w:color="auto" w:fill="auto"/>
                                  <w:noWrap/>
                                  <w:vAlign w:val="center"/>
                                  <w:hideMark/>
                                </w:tcPr>
                                <w:p w14:paraId="42F5AACA"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BVI</w:t>
                                  </w:r>
                                </w:p>
                              </w:tc>
                              <w:tc>
                                <w:tcPr>
                                  <w:tcW w:w="539" w:type="dxa"/>
                                  <w:tcBorders>
                                    <w:top w:val="single" w:sz="4" w:space="0" w:color="auto"/>
                                    <w:left w:val="nil"/>
                                    <w:bottom w:val="nil"/>
                                    <w:right w:val="nil"/>
                                  </w:tcBorders>
                                  <w:shd w:val="clear" w:color="auto" w:fill="auto"/>
                                  <w:noWrap/>
                                  <w:vAlign w:val="center"/>
                                  <w:hideMark/>
                                </w:tcPr>
                                <w:p w14:paraId="65A5E2DE"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BFI</w:t>
                                  </w:r>
                                </w:p>
                              </w:tc>
                              <w:tc>
                                <w:tcPr>
                                  <w:tcW w:w="539" w:type="dxa"/>
                                  <w:tcBorders>
                                    <w:top w:val="single" w:sz="4" w:space="0" w:color="auto"/>
                                    <w:left w:val="nil"/>
                                    <w:bottom w:val="nil"/>
                                    <w:right w:val="nil"/>
                                  </w:tcBorders>
                                  <w:shd w:val="clear" w:color="auto" w:fill="auto"/>
                                  <w:noWrap/>
                                  <w:vAlign w:val="center"/>
                                  <w:hideMark/>
                                </w:tcPr>
                                <w:p w14:paraId="27FD5689"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MTT</w:t>
                                  </w:r>
                                </w:p>
                              </w:tc>
                            </w:tr>
                            <w:tr w:rsidR="00545A51" w:rsidRPr="00D62618" w14:paraId="1458E0AB" w14:textId="77777777" w:rsidTr="002C6647">
                              <w:trPr>
                                <w:trHeight w:val="300"/>
                              </w:trPr>
                              <w:tc>
                                <w:tcPr>
                                  <w:tcW w:w="647" w:type="dxa"/>
                                  <w:vMerge w:val="restart"/>
                                  <w:tcBorders>
                                    <w:top w:val="nil"/>
                                    <w:left w:val="nil"/>
                                    <w:right w:val="nil"/>
                                  </w:tcBorders>
                                  <w:vAlign w:val="center"/>
                                </w:tcPr>
                                <w:p w14:paraId="00E90E2E" w14:textId="77777777" w:rsidR="00545A51" w:rsidRPr="00221A06" w:rsidRDefault="00545A51" w:rsidP="00646B91">
                                  <w:pPr>
                                    <w:jc w:val="center"/>
                                    <w:rPr>
                                      <w:color w:val="000000"/>
                                      <w:sz w:val="16"/>
                                      <w:szCs w:val="16"/>
                                      <w:lang w:eastAsia="it-IT"/>
                                    </w:rPr>
                                  </w:pPr>
                                  <w:r w:rsidRPr="00221A06">
                                    <w:rPr>
                                      <w:color w:val="000000"/>
                                      <w:sz w:val="16"/>
                                      <w:szCs w:val="16"/>
                                      <w:lang w:eastAsia="it-IT"/>
                                    </w:rPr>
                                    <w:t>SCR model</w:t>
                                  </w:r>
                                </w:p>
                              </w:tc>
                              <w:tc>
                                <w:tcPr>
                                  <w:tcW w:w="431" w:type="dxa"/>
                                  <w:tcBorders>
                                    <w:top w:val="nil"/>
                                    <w:left w:val="nil"/>
                                    <w:bottom w:val="nil"/>
                                    <w:right w:val="nil"/>
                                  </w:tcBorders>
                                  <w:vAlign w:val="center"/>
                                </w:tcPr>
                                <w:p w14:paraId="07D19F5B" w14:textId="77777777" w:rsidR="00545A51" w:rsidRPr="00221A06" w:rsidRDefault="00545A51" w:rsidP="00646B91">
                                  <w:pPr>
                                    <w:jc w:val="center"/>
                                    <w:rPr>
                                      <w:color w:val="000000"/>
                                      <w:sz w:val="16"/>
                                      <w:szCs w:val="16"/>
                                      <w:lang w:eastAsia="it-IT"/>
                                    </w:rPr>
                                  </w:pPr>
                                  <w:r w:rsidRPr="00221A06">
                                    <w:rPr>
                                      <w:color w:val="000000"/>
                                      <w:sz w:val="16"/>
                                      <w:szCs w:val="16"/>
                                      <w:lang w:eastAsia="it-IT"/>
                                    </w:rPr>
                                    <w:t>R</w:t>
                                  </w:r>
                                </w:p>
                              </w:tc>
                              <w:tc>
                                <w:tcPr>
                                  <w:tcW w:w="539" w:type="dxa"/>
                                  <w:tcBorders>
                                    <w:top w:val="nil"/>
                                    <w:left w:val="nil"/>
                                    <w:bottom w:val="nil"/>
                                    <w:right w:val="nil"/>
                                  </w:tcBorders>
                                  <w:shd w:val="clear" w:color="auto" w:fill="auto"/>
                                  <w:noWrap/>
                                  <w:hideMark/>
                                </w:tcPr>
                                <w:p w14:paraId="0FDB12B8" w14:textId="4B595211" w:rsidR="00545A51" w:rsidRPr="00D62618" w:rsidRDefault="00545A51" w:rsidP="00646B91">
                                  <w:pPr>
                                    <w:jc w:val="center"/>
                                    <w:rPr>
                                      <w:color w:val="000000" w:themeColor="text1"/>
                                      <w:sz w:val="16"/>
                                      <w:szCs w:val="16"/>
                                      <w:lang w:eastAsia="it-IT"/>
                                    </w:rPr>
                                  </w:pPr>
                                  <w:r w:rsidRPr="00D62618">
                                    <w:rPr>
                                      <w:color w:val="000000" w:themeColor="text1"/>
                                      <w:sz w:val="16"/>
                                    </w:rPr>
                                    <w:t>0.94</w:t>
                                  </w:r>
                                </w:p>
                              </w:tc>
                              <w:tc>
                                <w:tcPr>
                                  <w:tcW w:w="539" w:type="dxa"/>
                                  <w:tcBorders>
                                    <w:top w:val="nil"/>
                                    <w:left w:val="nil"/>
                                    <w:bottom w:val="nil"/>
                                    <w:right w:val="nil"/>
                                  </w:tcBorders>
                                  <w:shd w:val="clear" w:color="auto" w:fill="auto"/>
                                  <w:noWrap/>
                                  <w:hideMark/>
                                </w:tcPr>
                                <w:p w14:paraId="6269E5B6" w14:textId="00809D20" w:rsidR="00545A51" w:rsidRPr="00D62618" w:rsidRDefault="00545A51" w:rsidP="00646B91">
                                  <w:pPr>
                                    <w:jc w:val="center"/>
                                    <w:rPr>
                                      <w:color w:val="000000" w:themeColor="text1"/>
                                      <w:sz w:val="16"/>
                                      <w:szCs w:val="16"/>
                                      <w:lang w:eastAsia="it-IT"/>
                                    </w:rPr>
                                  </w:pPr>
                                  <w:r w:rsidRPr="00D62618">
                                    <w:rPr>
                                      <w:color w:val="000000" w:themeColor="text1"/>
                                      <w:sz w:val="16"/>
                                    </w:rPr>
                                    <w:t>0.98</w:t>
                                  </w:r>
                                </w:p>
                              </w:tc>
                              <w:tc>
                                <w:tcPr>
                                  <w:tcW w:w="539" w:type="dxa"/>
                                  <w:tcBorders>
                                    <w:top w:val="nil"/>
                                    <w:left w:val="nil"/>
                                    <w:bottom w:val="nil"/>
                                    <w:right w:val="nil"/>
                                  </w:tcBorders>
                                  <w:shd w:val="clear" w:color="auto" w:fill="auto"/>
                                  <w:noWrap/>
                                  <w:hideMark/>
                                </w:tcPr>
                                <w:p w14:paraId="139E568B" w14:textId="047DA6E2"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c>
                                <w:tcPr>
                                  <w:tcW w:w="539" w:type="dxa"/>
                                  <w:tcBorders>
                                    <w:top w:val="nil"/>
                                    <w:left w:val="nil"/>
                                    <w:bottom w:val="nil"/>
                                    <w:right w:val="nil"/>
                                  </w:tcBorders>
                                  <w:shd w:val="clear" w:color="auto" w:fill="auto"/>
                                  <w:noWrap/>
                                  <w:hideMark/>
                                </w:tcPr>
                                <w:p w14:paraId="3C6ABF01" w14:textId="073F3429"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c>
                                <w:tcPr>
                                  <w:tcW w:w="539" w:type="dxa"/>
                                  <w:tcBorders>
                                    <w:top w:val="nil"/>
                                    <w:left w:val="nil"/>
                                    <w:bottom w:val="nil"/>
                                    <w:right w:val="nil"/>
                                  </w:tcBorders>
                                  <w:shd w:val="clear" w:color="auto" w:fill="auto"/>
                                  <w:noWrap/>
                                  <w:hideMark/>
                                </w:tcPr>
                                <w:p w14:paraId="662E5F27" w14:textId="61554DB6" w:rsidR="00545A51" w:rsidRPr="00D62618" w:rsidRDefault="00545A51" w:rsidP="00646B91">
                                  <w:pPr>
                                    <w:jc w:val="center"/>
                                    <w:rPr>
                                      <w:color w:val="000000" w:themeColor="text1"/>
                                      <w:sz w:val="16"/>
                                      <w:szCs w:val="16"/>
                                      <w:lang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1C055A8C" w14:textId="4764D2D6" w:rsidR="00545A51" w:rsidRPr="00D62618" w:rsidRDefault="00545A51" w:rsidP="00646B91">
                                  <w:pPr>
                                    <w:jc w:val="center"/>
                                    <w:rPr>
                                      <w:color w:val="000000" w:themeColor="text1"/>
                                      <w:sz w:val="16"/>
                                      <w:szCs w:val="16"/>
                                      <w:lang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146F7E9C" w14:textId="5360A615"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r>
                            <w:tr w:rsidR="00545A51" w:rsidRPr="00D62618" w14:paraId="0F2A1609" w14:textId="77777777" w:rsidTr="002C6647">
                              <w:trPr>
                                <w:trHeight w:val="300"/>
                              </w:trPr>
                              <w:tc>
                                <w:tcPr>
                                  <w:tcW w:w="647" w:type="dxa"/>
                                  <w:vMerge/>
                                  <w:tcBorders>
                                    <w:left w:val="nil"/>
                                    <w:right w:val="nil"/>
                                  </w:tcBorders>
                                </w:tcPr>
                                <w:p w14:paraId="30AFCA3A" w14:textId="77777777" w:rsidR="00545A51" w:rsidRPr="00221A06" w:rsidRDefault="00545A51" w:rsidP="00646B91">
                                  <w:pPr>
                                    <w:jc w:val="right"/>
                                    <w:rPr>
                                      <w:color w:val="000000"/>
                                      <w:sz w:val="16"/>
                                      <w:szCs w:val="16"/>
                                      <w:lang w:eastAsia="it-IT"/>
                                    </w:rPr>
                                  </w:pPr>
                                </w:p>
                              </w:tc>
                              <w:tc>
                                <w:tcPr>
                                  <w:tcW w:w="431" w:type="dxa"/>
                                  <w:tcBorders>
                                    <w:top w:val="nil"/>
                                    <w:left w:val="nil"/>
                                    <w:bottom w:val="nil"/>
                                    <w:right w:val="nil"/>
                                  </w:tcBorders>
                                  <w:vAlign w:val="center"/>
                                </w:tcPr>
                                <w:p w14:paraId="62EDDF32" w14:textId="77777777" w:rsidR="00545A51" w:rsidRPr="00221A06" w:rsidRDefault="00545A51" w:rsidP="00646B91">
                                  <w:pPr>
                                    <w:jc w:val="center"/>
                                    <w:rPr>
                                      <w:color w:val="000000"/>
                                      <w:sz w:val="16"/>
                                      <w:szCs w:val="16"/>
                                      <w:lang w:eastAsia="it-IT"/>
                                    </w:rPr>
                                  </w:pPr>
                                  <w:r w:rsidRPr="00221A06">
                                    <w:rPr>
                                      <w:color w:val="000000"/>
                                      <w:sz w:val="16"/>
                                      <w:szCs w:val="16"/>
                                      <w:lang w:eastAsia="it-IT"/>
                                    </w:rPr>
                                    <w:t>m</w:t>
                                  </w:r>
                                </w:p>
                              </w:tc>
                              <w:tc>
                                <w:tcPr>
                                  <w:tcW w:w="539" w:type="dxa"/>
                                  <w:tcBorders>
                                    <w:top w:val="nil"/>
                                    <w:left w:val="nil"/>
                                    <w:bottom w:val="nil"/>
                                    <w:right w:val="nil"/>
                                  </w:tcBorders>
                                  <w:shd w:val="clear" w:color="auto" w:fill="auto"/>
                                  <w:noWrap/>
                                  <w:hideMark/>
                                </w:tcPr>
                                <w:p w14:paraId="5A986FFB" w14:textId="7A2209CF" w:rsidR="00545A51" w:rsidRPr="00D62618" w:rsidRDefault="00545A51" w:rsidP="00646B91">
                                  <w:pPr>
                                    <w:jc w:val="center"/>
                                    <w:rPr>
                                      <w:color w:val="000000" w:themeColor="text1"/>
                                      <w:sz w:val="16"/>
                                      <w:szCs w:val="16"/>
                                      <w:lang w:eastAsia="it-IT"/>
                                    </w:rPr>
                                  </w:pPr>
                                  <w:r w:rsidRPr="00D62618">
                                    <w:rPr>
                                      <w:color w:val="000000" w:themeColor="text1"/>
                                      <w:sz w:val="16"/>
                                    </w:rPr>
                                    <w:t>0.86</w:t>
                                  </w:r>
                                </w:p>
                              </w:tc>
                              <w:tc>
                                <w:tcPr>
                                  <w:tcW w:w="539" w:type="dxa"/>
                                  <w:tcBorders>
                                    <w:top w:val="nil"/>
                                    <w:left w:val="nil"/>
                                    <w:bottom w:val="nil"/>
                                    <w:right w:val="nil"/>
                                  </w:tcBorders>
                                  <w:shd w:val="clear" w:color="auto" w:fill="auto"/>
                                  <w:noWrap/>
                                  <w:hideMark/>
                                </w:tcPr>
                                <w:p w14:paraId="250CE2D3" w14:textId="403317C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7A668F0B" w14:textId="2211235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4B8A8365" w14:textId="5781687F"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1BDF90D6" w14:textId="0BA03EAE" w:rsidR="00545A51" w:rsidRPr="00D62618" w:rsidRDefault="00545A51" w:rsidP="00646B91">
                                  <w:pPr>
                                    <w:jc w:val="center"/>
                                    <w:rPr>
                                      <w:color w:val="000000" w:themeColor="text1"/>
                                      <w:sz w:val="16"/>
                                      <w:szCs w:val="16"/>
                                      <w:lang w:eastAsia="it-IT"/>
                                    </w:rPr>
                                  </w:pPr>
                                  <w:r w:rsidRPr="00D62618">
                                    <w:rPr>
                                      <w:color w:val="000000" w:themeColor="text1"/>
                                      <w:sz w:val="16"/>
                                    </w:rPr>
                                    <w:t>0.76</w:t>
                                  </w:r>
                                </w:p>
                              </w:tc>
                              <w:tc>
                                <w:tcPr>
                                  <w:tcW w:w="539" w:type="dxa"/>
                                  <w:tcBorders>
                                    <w:top w:val="nil"/>
                                    <w:left w:val="nil"/>
                                    <w:bottom w:val="nil"/>
                                    <w:right w:val="nil"/>
                                  </w:tcBorders>
                                  <w:shd w:val="clear" w:color="auto" w:fill="auto"/>
                                  <w:noWrap/>
                                  <w:hideMark/>
                                </w:tcPr>
                                <w:p w14:paraId="6AC41EBB" w14:textId="6ACD46E2" w:rsidR="00545A51" w:rsidRPr="00D62618" w:rsidRDefault="00545A51" w:rsidP="00646B91">
                                  <w:pPr>
                                    <w:jc w:val="center"/>
                                    <w:rPr>
                                      <w:color w:val="000000" w:themeColor="text1"/>
                                      <w:sz w:val="16"/>
                                      <w:szCs w:val="16"/>
                                      <w:lang w:eastAsia="it-IT"/>
                                    </w:rPr>
                                  </w:pPr>
                                  <w:r w:rsidRPr="00D62618">
                                    <w:rPr>
                                      <w:color w:val="000000" w:themeColor="text1"/>
                                      <w:sz w:val="16"/>
                                    </w:rPr>
                                    <w:t>0.94</w:t>
                                  </w:r>
                                </w:p>
                              </w:tc>
                              <w:tc>
                                <w:tcPr>
                                  <w:tcW w:w="539" w:type="dxa"/>
                                  <w:tcBorders>
                                    <w:top w:val="nil"/>
                                    <w:left w:val="nil"/>
                                    <w:bottom w:val="nil"/>
                                    <w:right w:val="nil"/>
                                  </w:tcBorders>
                                  <w:shd w:val="clear" w:color="auto" w:fill="auto"/>
                                  <w:noWrap/>
                                  <w:hideMark/>
                                </w:tcPr>
                                <w:p w14:paraId="00DBE698" w14:textId="0E7D85A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r>
                            <w:tr w:rsidR="00545A51" w:rsidRPr="00D62618" w14:paraId="024E2927" w14:textId="77777777" w:rsidTr="002C6647">
                              <w:trPr>
                                <w:trHeight w:val="300"/>
                              </w:trPr>
                              <w:tc>
                                <w:tcPr>
                                  <w:tcW w:w="647" w:type="dxa"/>
                                  <w:vMerge/>
                                  <w:tcBorders>
                                    <w:left w:val="nil"/>
                                    <w:bottom w:val="double" w:sz="4" w:space="0" w:color="auto"/>
                                    <w:right w:val="nil"/>
                                  </w:tcBorders>
                                </w:tcPr>
                                <w:p w14:paraId="5C9C0F51" w14:textId="77777777" w:rsidR="00545A51" w:rsidRPr="00221A06" w:rsidRDefault="00545A51" w:rsidP="00646B91">
                                  <w:pPr>
                                    <w:jc w:val="right"/>
                                    <w:rPr>
                                      <w:color w:val="000000"/>
                                      <w:sz w:val="16"/>
                                      <w:szCs w:val="16"/>
                                      <w:lang w:eastAsia="it-IT"/>
                                    </w:rPr>
                                  </w:pPr>
                                </w:p>
                              </w:tc>
                              <w:tc>
                                <w:tcPr>
                                  <w:tcW w:w="431" w:type="dxa"/>
                                  <w:tcBorders>
                                    <w:top w:val="nil"/>
                                    <w:left w:val="nil"/>
                                    <w:bottom w:val="double" w:sz="4" w:space="0" w:color="auto"/>
                                    <w:right w:val="nil"/>
                                  </w:tcBorders>
                                  <w:vAlign w:val="center"/>
                                </w:tcPr>
                                <w:p w14:paraId="6A0476AB" w14:textId="77777777" w:rsidR="00545A51" w:rsidRPr="00221A06" w:rsidRDefault="00545A51" w:rsidP="00646B91">
                                  <w:pPr>
                                    <w:jc w:val="center"/>
                                    <w:rPr>
                                      <w:color w:val="000000"/>
                                      <w:sz w:val="16"/>
                                      <w:szCs w:val="16"/>
                                      <w:lang w:eastAsia="it-IT"/>
                                    </w:rPr>
                                  </w:pPr>
                                  <w:r w:rsidRPr="00221A06">
                                    <w:rPr>
                                      <w:color w:val="000000"/>
                                      <w:sz w:val="16"/>
                                      <w:szCs w:val="16"/>
                                      <w:lang w:eastAsia="it-IT"/>
                                    </w:rPr>
                                    <w:t>q</w:t>
                                  </w:r>
                                </w:p>
                              </w:tc>
                              <w:tc>
                                <w:tcPr>
                                  <w:tcW w:w="539" w:type="dxa"/>
                                  <w:tcBorders>
                                    <w:top w:val="nil"/>
                                    <w:left w:val="nil"/>
                                    <w:bottom w:val="double" w:sz="4" w:space="0" w:color="auto"/>
                                    <w:right w:val="nil"/>
                                  </w:tcBorders>
                                  <w:shd w:val="clear" w:color="auto" w:fill="auto"/>
                                  <w:noWrap/>
                                  <w:hideMark/>
                                </w:tcPr>
                                <w:p w14:paraId="4849775B" w14:textId="63DD34F7" w:rsidR="00545A51" w:rsidRPr="00D62618" w:rsidRDefault="00545A51" w:rsidP="00646B91">
                                  <w:pPr>
                                    <w:jc w:val="center"/>
                                    <w:rPr>
                                      <w:color w:val="000000" w:themeColor="text1"/>
                                      <w:sz w:val="16"/>
                                      <w:szCs w:val="16"/>
                                      <w:lang w:eastAsia="it-IT"/>
                                    </w:rPr>
                                  </w:pPr>
                                  <w:r w:rsidRPr="00D62618">
                                    <w:rPr>
                                      <w:color w:val="000000" w:themeColor="text1"/>
                                      <w:sz w:val="16"/>
                                    </w:rPr>
                                    <w:t>6.16</w:t>
                                  </w:r>
                                </w:p>
                              </w:tc>
                              <w:tc>
                                <w:tcPr>
                                  <w:tcW w:w="539" w:type="dxa"/>
                                  <w:tcBorders>
                                    <w:top w:val="nil"/>
                                    <w:left w:val="nil"/>
                                    <w:bottom w:val="double" w:sz="4" w:space="0" w:color="auto"/>
                                    <w:right w:val="nil"/>
                                  </w:tcBorders>
                                  <w:shd w:val="clear" w:color="auto" w:fill="auto"/>
                                  <w:noWrap/>
                                  <w:hideMark/>
                                </w:tcPr>
                                <w:p w14:paraId="4574B3DA" w14:textId="6B55CAAD"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double" w:sz="4" w:space="0" w:color="auto"/>
                                    <w:right w:val="nil"/>
                                  </w:tcBorders>
                                  <w:shd w:val="clear" w:color="auto" w:fill="auto"/>
                                  <w:noWrap/>
                                  <w:hideMark/>
                                </w:tcPr>
                                <w:p w14:paraId="29248B36" w14:textId="0EF8D8D7" w:rsidR="00545A51" w:rsidRPr="00D62618" w:rsidRDefault="00545A51" w:rsidP="00646B91">
                                  <w:pPr>
                                    <w:jc w:val="center"/>
                                    <w:rPr>
                                      <w:color w:val="000000" w:themeColor="text1"/>
                                      <w:sz w:val="16"/>
                                      <w:szCs w:val="16"/>
                                      <w:lang w:eastAsia="it-IT"/>
                                    </w:rPr>
                                  </w:pPr>
                                  <w:r w:rsidRPr="00D62618">
                                    <w:rPr>
                                      <w:color w:val="000000" w:themeColor="text1"/>
                                      <w:sz w:val="16"/>
                                    </w:rPr>
                                    <w:t>1.38</w:t>
                                  </w:r>
                                </w:p>
                              </w:tc>
                              <w:tc>
                                <w:tcPr>
                                  <w:tcW w:w="539" w:type="dxa"/>
                                  <w:tcBorders>
                                    <w:top w:val="nil"/>
                                    <w:left w:val="nil"/>
                                    <w:bottom w:val="double" w:sz="4" w:space="0" w:color="auto"/>
                                    <w:right w:val="nil"/>
                                  </w:tcBorders>
                                  <w:shd w:val="clear" w:color="auto" w:fill="auto"/>
                                  <w:noWrap/>
                                  <w:hideMark/>
                                </w:tcPr>
                                <w:p w14:paraId="79FD685C" w14:textId="4586846E" w:rsidR="00545A51" w:rsidRPr="00D62618" w:rsidRDefault="00545A51" w:rsidP="00646B91">
                                  <w:pPr>
                                    <w:jc w:val="center"/>
                                    <w:rPr>
                                      <w:color w:val="000000" w:themeColor="text1"/>
                                      <w:sz w:val="16"/>
                                      <w:szCs w:val="16"/>
                                      <w:lang w:eastAsia="it-IT"/>
                                    </w:rPr>
                                  </w:pPr>
                                  <w:r w:rsidRPr="00D62618">
                                    <w:rPr>
                                      <w:color w:val="000000" w:themeColor="text1"/>
                                      <w:sz w:val="16"/>
                                    </w:rPr>
                                    <w:t>15.98</w:t>
                                  </w:r>
                                </w:p>
                              </w:tc>
                              <w:tc>
                                <w:tcPr>
                                  <w:tcW w:w="539" w:type="dxa"/>
                                  <w:tcBorders>
                                    <w:top w:val="nil"/>
                                    <w:left w:val="nil"/>
                                    <w:bottom w:val="double" w:sz="4" w:space="0" w:color="auto"/>
                                    <w:right w:val="nil"/>
                                  </w:tcBorders>
                                  <w:shd w:val="clear" w:color="auto" w:fill="auto"/>
                                  <w:noWrap/>
                                  <w:hideMark/>
                                </w:tcPr>
                                <w:p w14:paraId="09999826" w14:textId="3365F96B" w:rsidR="00545A51" w:rsidRPr="00D62618" w:rsidRDefault="00545A51" w:rsidP="00646B91">
                                  <w:pPr>
                                    <w:jc w:val="center"/>
                                    <w:rPr>
                                      <w:color w:val="000000" w:themeColor="text1"/>
                                      <w:sz w:val="16"/>
                                      <w:szCs w:val="16"/>
                                      <w:lang w:eastAsia="it-IT"/>
                                    </w:rPr>
                                  </w:pPr>
                                  <w:r w:rsidRPr="00D62618">
                                    <w:rPr>
                                      <w:color w:val="000000" w:themeColor="text1"/>
                                      <w:sz w:val="16"/>
                                    </w:rPr>
                                    <w:t>0.03</w:t>
                                  </w:r>
                                </w:p>
                              </w:tc>
                              <w:tc>
                                <w:tcPr>
                                  <w:tcW w:w="539" w:type="dxa"/>
                                  <w:tcBorders>
                                    <w:top w:val="nil"/>
                                    <w:left w:val="nil"/>
                                    <w:bottom w:val="double" w:sz="4" w:space="0" w:color="auto"/>
                                    <w:right w:val="nil"/>
                                  </w:tcBorders>
                                  <w:shd w:val="clear" w:color="auto" w:fill="auto"/>
                                  <w:noWrap/>
                                  <w:hideMark/>
                                </w:tcPr>
                                <w:p w14:paraId="646E8DB2" w14:textId="28C176AC"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double" w:sz="4" w:space="0" w:color="auto"/>
                                    <w:right w:val="nil"/>
                                  </w:tcBorders>
                                  <w:shd w:val="clear" w:color="auto" w:fill="auto"/>
                                  <w:noWrap/>
                                  <w:hideMark/>
                                </w:tcPr>
                                <w:p w14:paraId="003EBFBB" w14:textId="0D5BBC13" w:rsidR="00545A51" w:rsidRPr="00D62618" w:rsidRDefault="00545A51" w:rsidP="00646B91">
                                  <w:pPr>
                                    <w:jc w:val="center"/>
                                    <w:rPr>
                                      <w:color w:val="000000" w:themeColor="text1"/>
                                      <w:sz w:val="16"/>
                                      <w:szCs w:val="16"/>
                                      <w:lang w:eastAsia="it-IT"/>
                                    </w:rPr>
                                  </w:pPr>
                                  <w:r w:rsidRPr="00D62618">
                                    <w:rPr>
                                      <w:color w:val="000000" w:themeColor="text1"/>
                                      <w:sz w:val="16"/>
                                    </w:rPr>
                                    <w:t>14.60</w:t>
                                  </w:r>
                                </w:p>
                              </w:tc>
                            </w:tr>
                          </w:tbl>
                          <w:p w14:paraId="18740211" w14:textId="5F160F88" w:rsidR="00545A51" w:rsidRPr="00B11FAE" w:rsidRDefault="00545A51" w:rsidP="00221A06">
                            <w:pPr>
                              <w:pStyle w:val="Testonotaapidipagina"/>
                            </w:pPr>
                            <w:r w:rsidRPr="00221A06">
                              <w:t>Values of Pearson’s correlation coefficient (</w:t>
                            </w:r>
                            <m:oMath>
                              <m:r>
                                <w:rPr>
                                  <w:rFonts w:ascii="Cambria Math" w:hAnsi="Cambria Math"/>
                                </w:rPr>
                                <m:t>R</m:t>
                              </m:r>
                            </m:oMath>
                            <w:r w:rsidRPr="00221A06">
                              <w:t>), slope (</w:t>
                            </w:r>
                            <m:oMath>
                              <m:r>
                                <w:rPr>
                                  <w:rFonts w:ascii="Cambria Math" w:hAnsi="Cambria Math"/>
                                </w:rPr>
                                <m:t>m</m:t>
                              </m:r>
                            </m:oMath>
                            <w:r w:rsidRPr="00221A06">
                              <w:t>) and intercept (</w:t>
                            </w:r>
                            <m:oMath>
                              <m:r>
                                <w:rPr>
                                  <w:rFonts w:ascii="Cambria Math" w:hAnsi="Cambria Math"/>
                                </w:rPr>
                                <m:t>q</m:t>
                              </m:r>
                            </m:oMath>
                            <w:r w:rsidRPr="00221A06">
                              <w:t xml:space="preserve">) between VB and NLLS estimates for macroparameters of </w:t>
                            </w:r>
                            <w:r w:rsidRPr="00B11FAE">
                              <w:t>interest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max</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y</m:t>
                                  </m:r>
                                </m:e>
                                <m:sub>
                                  <m:r>
                                    <w:rPr>
                                      <w:rFonts w:ascii="Cambria Math" w:hAnsi="Cambria Math" w:cs="Arial"/>
                                      <w:lang w:val="en-GB"/>
                                    </w:rPr>
                                    <m:t>max</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raise</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wash</m:t>
                                  </m:r>
                                </m:sub>
                              </m:sSub>
                            </m:oMath>
                            <w:r w:rsidRPr="00B11FAE">
                              <w:rPr>
                                <w:rFonts w:ascii="Arial" w:hAnsi="Arial" w:cs="Arial"/>
                                <w:lang w:val="en-GB"/>
                              </w:rPr>
                              <w:t xml:space="preserve">, </w:t>
                            </w:r>
                            <m:oMath>
                              <m:r>
                                <w:rPr>
                                  <w:rFonts w:ascii="Cambria Math" w:hAnsi="Cambria Math" w:cs="Arial"/>
                                  <w:lang w:val="en-GB"/>
                                </w:rPr>
                                <m:t>MTT</m:t>
                              </m:r>
                            </m:oMath>
                            <w:r w:rsidRPr="00B11FAE">
                              <w:rPr>
                                <w:rFonts w:ascii="Arial" w:eastAsiaTheme="minorEastAsia" w:hAnsi="Arial" w:cs="Arial"/>
                                <w:lang w:val="en-GB"/>
                              </w:rPr>
                              <w:t>,</w:t>
                            </w:r>
                            <w:r w:rsidRPr="00B11FAE">
                              <w:rPr>
                                <w:rFonts w:ascii="Arial" w:hAnsi="Arial" w:cs="Arial"/>
                                <w:lang w:val="en-GB"/>
                              </w:rPr>
                              <w:t xml:space="preserve"> </w:t>
                            </w:r>
                            <m:oMath>
                              <m:r>
                                <w:rPr>
                                  <w:rFonts w:ascii="Cambria Math" w:hAnsi="Cambria Math" w:cs="Arial"/>
                                  <w:lang w:val="en-GB"/>
                                </w:rPr>
                                <m:t>BFI</m:t>
                              </m:r>
                            </m:oMath>
                            <w:r w:rsidRPr="00B11FAE">
                              <w:rPr>
                                <w:rFonts w:ascii="Arial" w:hAnsi="Arial" w:cs="Arial"/>
                                <w:lang w:val="en-GB"/>
                              </w:rPr>
                              <w:t xml:space="preserve"> and </w:t>
                            </w:r>
                            <m:oMath>
                              <m:r>
                                <w:rPr>
                                  <w:rFonts w:ascii="Cambria Math" w:hAnsi="Cambria Math" w:cs="Arial"/>
                                  <w:lang w:val="en-GB"/>
                                </w:rPr>
                                <m:t>BVI</m:t>
                              </m:r>
                            </m:oMath>
                            <w:r w:rsidRPr="00B11FAE">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8F58A" id="_x0000_s1032" type="#_x0000_t202" style="position:absolute;left:0;text-align:left;margin-left:0;margin-top:236.05pt;width:251.5pt;height:182.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" o:allowincell="f" stroked="f">
                <v:textbox inset="0,0,0,0">
                  <w:txbxContent>
                    <w:p w14:paraId="23320464" w14:textId="4E8D04A8" w:rsidR="00545A51" w:rsidRDefault="00545A51" w:rsidP="00221A06">
                      <w:pPr>
                        <w:pStyle w:val="TableTitle"/>
                      </w:pPr>
                      <w:r>
                        <w:t>TABLE II</w:t>
                      </w:r>
                    </w:p>
                    <w:p w14:paraId="50DF2A06" w14:textId="5A2087DF" w:rsidR="00545A51" w:rsidRDefault="00545A51" w:rsidP="00221A06">
                      <w:pPr>
                        <w:pStyle w:val="TableTitle"/>
                      </w:pPr>
                      <w:r w:rsidRPr="00221A06">
                        <w:t>Scatter analysis of NLLS vs. VB macroparameter estimates</w:t>
                      </w:r>
                    </w:p>
                    <w:tbl>
                      <w:tblPr>
                        <w:tblW w:w="4851" w:type="dxa"/>
                        <w:tblCellMar>
                          <w:left w:w="70" w:type="dxa"/>
                          <w:right w:w="70" w:type="dxa"/>
                        </w:tblCellMar>
                        <w:tblLook w:val="04A0" w:firstRow="1" w:lastRow="0" w:firstColumn="1" w:lastColumn="0" w:noHBand="0" w:noVBand="1"/>
                      </w:tblPr>
                      <w:tblGrid>
                        <w:gridCol w:w="647"/>
                        <w:gridCol w:w="431"/>
                        <w:gridCol w:w="539"/>
                        <w:gridCol w:w="539"/>
                        <w:gridCol w:w="539"/>
                        <w:gridCol w:w="539"/>
                        <w:gridCol w:w="539"/>
                        <w:gridCol w:w="539"/>
                        <w:gridCol w:w="539"/>
                      </w:tblGrid>
                      <w:tr w:rsidR="00545A51" w:rsidRPr="00221A06" w14:paraId="7B37B810" w14:textId="77777777" w:rsidTr="00221A06">
                        <w:trPr>
                          <w:trHeight w:val="300"/>
                        </w:trPr>
                        <w:tc>
                          <w:tcPr>
                            <w:tcW w:w="647" w:type="dxa"/>
                            <w:tcBorders>
                              <w:top w:val="double" w:sz="4" w:space="0" w:color="auto"/>
                              <w:left w:val="nil"/>
                              <w:bottom w:val="nil"/>
                              <w:right w:val="nil"/>
                            </w:tcBorders>
                          </w:tcPr>
                          <w:p w14:paraId="5A9BF674" w14:textId="77777777" w:rsidR="00545A51" w:rsidRPr="00221A06" w:rsidRDefault="00545A51" w:rsidP="00221A06">
                            <w:pPr>
                              <w:rPr>
                                <w:color w:val="000000"/>
                                <w:sz w:val="16"/>
                                <w:szCs w:val="16"/>
                                <w:lang w:val="en-GB" w:eastAsia="it-IT"/>
                              </w:rPr>
                            </w:pPr>
                          </w:p>
                        </w:tc>
                        <w:tc>
                          <w:tcPr>
                            <w:tcW w:w="431" w:type="dxa"/>
                            <w:tcBorders>
                              <w:top w:val="double" w:sz="4" w:space="0" w:color="auto"/>
                              <w:left w:val="nil"/>
                              <w:bottom w:val="nil"/>
                              <w:right w:val="nil"/>
                            </w:tcBorders>
                          </w:tcPr>
                          <w:p w14:paraId="2C4AAC6A" w14:textId="77777777" w:rsidR="00545A51" w:rsidRPr="00221A06" w:rsidRDefault="00545A51" w:rsidP="00221A06">
                            <w:pPr>
                              <w:rPr>
                                <w:color w:val="000000"/>
                                <w:sz w:val="16"/>
                                <w:szCs w:val="16"/>
                                <w:lang w:val="en-GB" w:eastAsia="it-IT"/>
                              </w:rPr>
                            </w:pPr>
                          </w:p>
                        </w:tc>
                        <w:tc>
                          <w:tcPr>
                            <w:tcW w:w="539" w:type="dxa"/>
                            <w:tcBorders>
                              <w:top w:val="double" w:sz="4" w:space="0" w:color="auto"/>
                              <w:left w:val="nil"/>
                              <w:bottom w:val="nil"/>
                              <w:right w:val="nil"/>
                            </w:tcBorders>
                            <w:shd w:val="clear" w:color="auto" w:fill="auto"/>
                            <w:noWrap/>
                            <w:vAlign w:val="center"/>
                            <w:hideMark/>
                          </w:tcPr>
                          <w:p w14:paraId="47C5240B"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max</w:t>
                            </w:r>
                          </w:p>
                        </w:tc>
                        <w:tc>
                          <w:tcPr>
                            <w:tcW w:w="539" w:type="dxa"/>
                            <w:tcBorders>
                              <w:top w:val="double" w:sz="4" w:space="0" w:color="auto"/>
                              <w:left w:val="nil"/>
                              <w:bottom w:val="nil"/>
                              <w:right w:val="nil"/>
                            </w:tcBorders>
                            <w:shd w:val="clear" w:color="auto" w:fill="auto"/>
                            <w:noWrap/>
                            <w:vAlign w:val="center"/>
                            <w:hideMark/>
                          </w:tcPr>
                          <w:p w14:paraId="7104830C"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y</w:t>
                            </w:r>
                            <w:r w:rsidRPr="00221A06">
                              <w:rPr>
                                <w:color w:val="000000"/>
                                <w:sz w:val="16"/>
                                <w:szCs w:val="16"/>
                                <w:vertAlign w:val="subscript"/>
                                <w:lang w:val="en-GB" w:eastAsia="it-IT"/>
                              </w:rPr>
                              <w:t>max</w:t>
                            </w:r>
                          </w:p>
                        </w:tc>
                        <w:tc>
                          <w:tcPr>
                            <w:tcW w:w="539" w:type="dxa"/>
                            <w:tcBorders>
                              <w:top w:val="double" w:sz="4" w:space="0" w:color="auto"/>
                              <w:left w:val="nil"/>
                              <w:bottom w:val="nil"/>
                              <w:right w:val="nil"/>
                            </w:tcBorders>
                            <w:shd w:val="clear" w:color="auto" w:fill="auto"/>
                            <w:noWrap/>
                            <w:vAlign w:val="center"/>
                            <w:hideMark/>
                          </w:tcPr>
                          <w:p w14:paraId="55246762"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raise</w:t>
                            </w:r>
                          </w:p>
                        </w:tc>
                        <w:tc>
                          <w:tcPr>
                            <w:tcW w:w="539" w:type="dxa"/>
                            <w:tcBorders>
                              <w:top w:val="double" w:sz="4" w:space="0" w:color="auto"/>
                              <w:left w:val="nil"/>
                              <w:bottom w:val="nil"/>
                              <w:right w:val="nil"/>
                            </w:tcBorders>
                            <w:shd w:val="clear" w:color="auto" w:fill="auto"/>
                            <w:noWrap/>
                            <w:vAlign w:val="center"/>
                            <w:hideMark/>
                          </w:tcPr>
                          <w:p w14:paraId="709EF689"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t</w:t>
                            </w:r>
                            <w:r w:rsidRPr="00221A06">
                              <w:rPr>
                                <w:color w:val="000000"/>
                                <w:sz w:val="16"/>
                                <w:szCs w:val="16"/>
                                <w:vertAlign w:val="subscript"/>
                                <w:lang w:val="en-GB" w:eastAsia="it-IT"/>
                              </w:rPr>
                              <w:t>wash</w:t>
                            </w:r>
                          </w:p>
                        </w:tc>
                        <w:tc>
                          <w:tcPr>
                            <w:tcW w:w="539" w:type="dxa"/>
                            <w:tcBorders>
                              <w:top w:val="double" w:sz="4" w:space="0" w:color="auto"/>
                              <w:left w:val="nil"/>
                              <w:bottom w:val="nil"/>
                              <w:right w:val="nil"/>
                            </w:tcBorders>
                            <w:shd w:val="clear" w:color="auto" w:fill="auto"/>
                            <w:noWrap/>
                            <w:vAlign w:val="center"/>
                            <w:hideMark/>
                          </w:tcPr>
                          <w:p w14:paraId="1D64E11B"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BVI</w:t>
                            </w:r>
                          </w:p>
                        </w:tc>
                        <w:tc>
                          <w:tcPr>
                            <w:tcW w:w="539" w:type="dxa"/>
                            <w:tcBorders>
                              <w:top w:val="double" w:sz="4" w:space="0" w:color="auto"/>
                              <w:left w:val="nil"/>
                              <w:bottom w:val="nil"/>
                              <w:right w:val="nil"/>
                            </w:tcBorders>
                            <w:shd w:val="clear" w:color="auto" w:fill="auto"/>
                            <w:noWrap/>
                            <w:vAlign w:val="center"/>
                            <w:hideMark/>
                          </w:tcPr>
                          <w:p w14:paraId="421C7BAF"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BFI</w:t>
                            </w:r>
                          </w:p>
                        </w:tc>
                        <w:tc>
                          <w:tcPr>
                            <w:tcW w:w="539" w:type="dxa"/>
                            <w:tcBorders>
                              <w:top w:val="double" w:sz="4" w:space="0" w:color="auto"/>
                              <w:left w:val="nil"/>
                              <w:bottom w:val="nil"/>
                              <w:right w:val="nil"/>
                            </w:tcBorders>
                            <w:shd w:val="clear" w:color="auto" w:fill="auto"/>
                            <w:noWrap/>
                            <w:vAlign w:val="center"/>
                            <w:hideMark/>
                          </w:tcPr>
                          <w:p w14:paraId="59C1CF3A" w14:textId="77777777" w:rsidR="00545A51" w:rsidRPr="00221A06" w:rsidRDefault="00545A51" w:rsidP="00221A06">
                            <w:pPr>
                              <w:jc w:val="center"/>
                              <w:rPr>
                                <w:color w:val="000000"/>
                                <w:sz w:val="16"/>
                                <w:szCs w:val="16"/>
                                <w:lang w:val="en-GB" w:eastAsia="it-IT"/>
                              </w:rPr>
                            </w:pPr>
                            <w:r w:rsidRPr="00221A06">
                              <w:rPr>
                                <w:color w:val="000000"/>
                                <w:sz w:val="16"/>
                                <w:szCs w:val="16"/>
                                <w:lang w:val="en-GB" w:eastAsia="it-IT"/>
                              </w:rPr>
                              <w:t>MTT</w:t>
                            </w:r>
                          </w:p>
                        </w:tc>
                      </w:tr>
                      <w:tr w:rsidR="00545A51" w:rsidRPr="00D62618" w14:paraId="2F773BED" w14:textId="77777777" w:rsidTr="002C6647">
                        <w:trPr>
                          <w:trHeight w:val="300"/>
                        </w:trPr>
                        <w:tc>
                          <w:tcPr>
                            <w:tcW w:w="647" w:type="dxa"/>
                            <w:vMerge w:val="restart"/>
                            <w:tcBorders>
                              <w:top w:val="nil"/>
                              <w:left w:val="nil"/>
                              <w:right w:val="nil"/>
                            </w:tcBorders>
                            <w:vAlign w:val="center"/>
                          </w:tcPr>
                          <w:p w14:paraId="239D2F68"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Gamma model</w:t>
                            </w:r>
                          </w:p>
                        </w:tc>
                        <w:tc>
                          <w:tcPr>
                            <w:tcW w:w="431" w:type="dxa"/>
                            <w:tcBorders>
                              <w:top w:val="nil"/>
                              <w:left w:val="nil"/>
                              <w:bottom w:val="nil"/>
                              <w:right w:val="nil"/>
                            </w:tcBorders>
                            <w:vAlign w:val="center"/>
                          </w:tcPr>
                          <w:p w14:paraId="60306A58"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R</w:t>
                            </w:r>
                          </w:p>
                        </w:tc>
                        <w:tc>
                          <w:tcPr>
                            <w:tcW w:w="539" w:type="dxa"/>
                            <w:tcBorders>
                              <w:top w:val="nil"/>
                              <w:left w:val="nil"/>
                              <w:bottom w:val="nil"/>
                              <w:right w:val="nil"/>
                            </w:tcBorders>
                            <w:shd w:val="clear" w:color="auto" w:fill="auto"/>
                            <w:noWrap/>
                            <w:hideMark/>
                          </w:tcPr>
                          <w:p w14:paraId="3C6C8956" w14:textId="40DAC585" w:rsidR="00545A51" w:rsidRPr="00D62618" w:rsidRDefault="00545A51" w:rsidP="00646B91">
                            <w:pPr>
                              <w:jc w:val="center"/>
                              <w:rPr>
                                <w:color w:val="000000" w:themeColor="text1"/>
                                <w:sz w:val="16"/>
                                <w:szCs w:val="16"/>
                                <w:lang w:val="en-GB" w:eastAsia="it-IT"/>
                              </w:rPr>
                            </w:pPr>
                            <w:r w:rsidRPr="00D62618">
                              <w:rPr>
                                <w:color w:val="000000" w:themeColor="text1"/>
                                <w:sz w:val="16"/>
                              </w:rPr>
                              <w:t>0.95</w:t>
                            </w:r>
                          </w:p>
                        </w:tc>
                        <w:tc>
                          <w:tcPr>
                            <w:tcW w:w="539" w:type="dxa"/>
                            <w:tcBorders>
                              <w:top w:val="nil"/>
                              <w:left w:val="nil"/>
                              <w:bottom w:val="nil"/>
                              <w:right w:val="nil"/>
                            </w:tcBorders>
                            <w:shd w:val="clear" w:color="auto" w:fill="auto"/>
                            <w:noWrap/>
                            <w:hideMark/>
                          </w:tcPr>
                          <w:p w14:paraId="2ADD7A24" w14:textId="3F7F1295" w:rsidR="00545A51" w:rsidRPr="00D62618" w:rsidRDefault="00545A51" w:rsidP="00646B91">
                            <w:pPr>
                              <w:jc w:val="center"/>
                              <w:rPr>
                                <w:color w:val="000000" w:themeColor="text1"/>
                                <w:sz w:val="16"/>
                                <w:szCs w:val="16"/>
                                <w:lang w:val="en-GB"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0DA37F03" w14:textId="45F35694" w:rsidR="00545A51" w:rsidRPr="00D62618" w:rsidRDefault="00545A51" w:rsidP="00646B91">
                            <w:pPr>
                              <w:jc w:val="center"/>
                              <w:rPr>
                                <w:color w:val="000000" w:themeColor="text1"/>
                                <w:sz w:val="16"/>
                                <w:szCs w:val="16"/>
                                <w:lang w:val="en-GB" w:eastAsia="it-IT"/>
                              </w:rPr>
                            </w:pPr>
                            <w:r w:rsidRPr="00D62618">
                              <w:rPr>
                                <w:color w:val="000000" w:themeColor="text1"/>
                                <w:sz w:val="16"/>
                              </w:rPr>
                              <w:t>0.93</w:t>
                            </w:r>
                          </w:p>
                        </w:tc>
                        <w:tc>
                          <w:tcPr>
                            <w:tcW w:w="539" w:type="dxa"/>
                            <w:tcBorders>
                              <w:top w:val="nil"/>
                              <w:left w:val="nil"/>
                              <w:bottom w:val="nil"/>
                              <w:right w:val="nil"/>
                            </w:tcBorders>
                            <w:shd w:val="clear" w:color="auto" w:fill="auto"/>
                            <w:noWrap/>
                            <w:hideMark/>
                          </w:tcPr>
                          <w:p w14:paraId="544C57F3" w14:textId="68D58190" w:rsidR="00545A51" w:rsidRPr="00D62618" w:rsidRDefault="00545A51" w:rsidP="00646B91">
                            <w:pPr>
                              <w:jc w:val="center"/>
                              <w:rPr>
                                <w:color w:val="000000" w:themeColor="text1"/>
                                <w:sz w:val="16"/>
                                <w:szCs w:val="16"/>
                                <w:lang w:val="en-GB" w:eastAsia="it-IT"/>
                              </w:rPr>
                            </w:pPr>
                            <w:r w:rsidRPr="00D62618">
                              <w:rPr>
                                <w:color w:val="000000" w:themeColor="text1"/>
                                <w:sz w:val="16"/>
                              </w:rPr>
                              <w:t>0.93</w:t>
                            </w:r>
                          </w:p>
                        </w:tc>
                        <w:tc>
                          <w:tcPr>
                            <w:tcW w:w="539" w:type="dxa"/>
                            <w:tcBorders>
                              <w:top w:val="nil"/>
                              <w:left w:val="nil"/>
                              <w:bottom w:val="nil"/>
                              <w:right w:val="nil"/>
                            </w:tcBorders>
                            <w:shd w:val="clear" w:color="auto" w:fill="auto"/>
                            <w:noWrap/>
                            <w:hideMark/>
                          </w:tcPr>
                          <w:p w14:paraId="0FD6F885" w14:textId="43041A9D" w:rsidR="00545A51" w:rsidRPr="00D62618" w:rsidRDefault="00545A51" w:rsidP="00646B91">
                            <w:pPr>
                              <w:jc w:val="center"/>
                              <w:rPr>
                                <w:color w:val="000000" w:themeColor="text1"/>
                                <w:sz w:val="16"/>
                                <w:szCs w:val="16"/>
                                <w:lang w:val="en-GB" w:eastAsia="it-IT"/>
                              </w:rPr>
                            </w:pPr>
                            <w:r w:rsidRPr="00D62618">
                              <w:rPr>
                                <w:color w:val="000000" w:themeColor="text1"/>
                                <w:sz w:val="16"/>
                              </w:rPr>
                              <w:t>0.87</w:t>
                            </w:r>
                          </w:p>
                        </w:tc>
                        <w:tc>
                          <w:tcPr>
                            <w:tcW w:w="539" w:type="dxa"/>
                            <w:tcBorders>
                              <w:top w:val="nil"/>
                              <w:left w:val="nil"/>
                              <w:bottom w:val="nil"/>
                              <w:right w:val="nil"/>
                            </w:tcBorders>
                            <w:shd w:val="clear" w:color="auto" w:fill="auto"/>
                            <w:noWrap/>
                            <w:hideMark/>
                          </w:tcPr>
                          <w:p w14:paraId="4508C7BB" w14:textId="6A0CA1AA" w:rsidR="00545A51" w:rsidRPr="00D62618" w:rsidRDefault="00545A51" w:rsidP="00646B91">
                            <w:pPr>
                              <w:jc w:val="center"/>
                              <w:rPr>
                                <w:color w:val="000000" w:themeColor="text1"/>
                                <w:sz w:val="16"/>
                                <w:szCs w:val="16"/>
                                <w:lang w:val="en-GB" w:eastAsia="it-IT"/>
                              </w:rPr>
                            </w:pPr>
                            <w:r w:rsidRPr="00D62618">
                              <w:rPr>
                                <w:color w:val="000000" w:themeColor="text1"/>
                                <w:sz w:val="16"/>
                              </w:rPr>
                              <w:t>0.97</w:t>
                            </w:r>
                          </w:p>
                        </w:tc>
                        <w:tc>
                          <w:tcPr>
                            <w:tcW w:w="539" w:type="dxa"/>
                            <w:tcBorders>
                              <w:top w:val="nil"/>
                              <w:left w:val="nil"/>
                              <w:bottom w:val="nil"/>
                              <w:right w:val="nil"/>
                            </w:tcBorders>
                            <w:shd w:val="clear" w:color="auto" w:fill="auto"/>
                            <w:noWrap/>
                            <w:hideMark/>
                          </w:tcPr>
                          <w:p w14:paraId="7CE31A5C" w14:textId="613CEBD1" w:rsidR="00545A51" w:rsidRPr="00D62618" w:rsidRDefault="00545A51" w:rsidP="00646B91">
                            <w:pPr>
                              <w:jc w:val="center"/>
                              <w:rPr>
                                <w:color w:val="000000" w:themeColor="text1"/>
                                <w:sz w:val="16"/>
                                <w:szCs w:val="16"/>
                                <w:lang w:val="en-GB" w:eastAsia="it-IT"/>
                              </w:rPr>
                            </w:pPr>
                            <w:r w:rsidRPr="00D62618">
                              <w:rPr>
                                <w:color w:val="000000" w:themeColor="text1"/>
                                <w:sz w:val="16"/>
                              </w:rPr>
                              <w:t>0.83</w:t>
                            </w:r>
                          </w:p>
                        </w:tc>
                      </w:tr>
                      <w:tr w:rsidR="00545A51" w:rsidRPr="00D62618" w14:paraId="04E1901F" w14:textId="77777777" w:rsidTr="002C6647">
                        <w:trPr>
                          <w:trHeight w:val="300"/>
                        </w:trPr>
                        <w:tc>
                          <w:tcPr>
                            <w:tcW w:w="647" w:type="dxa"/>
                            <w:vMerge/>
                            <w:tcBorders>
                              <w:left w:val="nil"/>
                              <w:right w:val="nil"/>
                            </w:tcBorders>
                            <w:vAlign w:val="center"/>
                          </w:tcPr>
                          <w:p w14:paraId="0C42BA5C" w14:textId="77777777" w:rsidR="00545A51" w:rsidRPr="00221A06" w:rsidRDefault="00545A51" w:rsidP="00646B91">
                            <w:pPr>
                              <w:jc w:val="center"/>
                              <w:rPr>
                                <w:color w:val="000000"/>
                                <w:sz w:val="16"/>
                                <w:szCs w:val="16"/>
                                <w:lang w:val="en-GB" w:eastAsia="it-IT"/>
                              </w:rPr>
                            </w:pPr>
                          </w:p>
                        </w:tc>
                        <w:tc>
                          <w:tcPr>
                            <w:tcW w:w="431" w:type="dxa"/>
                            <w:tcBorders>
                              <w:top w:val="nil"/>
                              <w:left w:val="nil"/>
                              <w:bottom w:val="nil"/>
                              <w:right w:val="nil"/>
                            </w:tcBorders>
                            <w:vAlign w:val="center"/>
                          </w:tcPr>
                          <w:p w14:paraId="76F404EE" w14:textId="77777777" w:rsidR="00545A51" w:rsidRPr="00221A06" w:rsidRDefault="00545A51" w:rsidP="00646B91">
                            <w:pPr>
                              <w:jc w:val="center"/>
                              <w:rPr>
                                <w:color w:val="000000"/>
                                <w:sz w:val="16"/>
                                <w:szCs w:val="16"/>
                                <w:lang w:val="en-GB" w:eastAsia="it-IT"/>
                              </w:rPr>
                            </w:pPr>
                            <w:r w:rsidRPr="00221A06">
                              <w:rPr>
                                <w:color w:val="000000"/>
                                <w:sz w:val="16"/>
                                <w:szCs w:val="16"/>
                                <w:lang w:val="en-GB" w:eastAsia="it-IT"/>
                              </w:rPr>
                              <w:t>m</w:t>
                            </w:r>
                          </w:p>
                        </w:tc>
                        <w:tc>
                          <w:tcPr>
                            <w:tcW w:w="539" w:type="dxa"/>
                            <w:tcBorders>
                              <w:top w:val="nil"/>
                              <w:left w:val="nil"/>
                              <w:bottom w:val="nil"/>
                              <w:right w:val="nil"/>
                            </w:tcBorders>
                            <w:shd w:val="clear" w:color="auto" w:fill="auto"/>
                            <w:noWrap/>
                            <w:hideMark/>
                          </w:tcPr>
                          <w:p w14:paraId="0A6E106E" w14:textId="331BB99D" w:rsidR="00545A51" w:rsidRPr="00D62618" w:rsidRDefault="00545A51" w:rsidP="00646B91">
                            <w:pPr>
                              <w:jc w:val="center"/>
                              <w:rPr>
                                <w:color w:val="000000" w:themeColor="text1"/>
                                <w:sz w:val="16"/>
                                <w:szCs w:val="16"/>
                                <w:lang w:val="en-GB" w:eastAsia="it-IT"/>
                              </w:rPr>
                            </w:pPr>
                            <w:r w:rsidRPr="00D62618">
                              <w:rPr>
                                <w:color w:val="000000" w:themeColor="text1"/>
                                <w:sz w:val="16"/>
                              </w:rPr>
                              <w:t>0.85</w:t>
                            </w:r>
                          </w:p>
                        </w:tc>
                        <w:tc>
                          <w:tcPr>
                            <w:tcW w:w="539" w:type="dxa"/>
                            <w:tcBorders>
                              <w:top w:val="nil"/>
                              <w:left w:val="nil"/>
                              <w:bottom w:val="nil"/>
                              <w:right w:val="nil"/>
                            </w:tcBorders>
                            <w:shd w:val="clear" w:color="auto" w:fill="auto"/>
                            <w:noWrap/>
                            <w:hideMark/>
                          </w:tcPr>
                          <w:p w14:paraId="3B790A14" w14:textId="78D13427" w:rsidR="00545A51" w:rsidRPr="00D62618" w:rsidRDefault="00545A51" w:rsidP="00646B91">
                            <w:pPr>
                              <w:jc w:val="center"/>
                              <w:rPr>
                                <w:color w:val="000000" w:themeColor="text1"/>
                                <w:sz w:val="16"/>
                                <w:szCs w:val="16"/>
                                <w:lang w:val="en-GB" w:eastAsia="it-IT"/>
                              </w:rPr>
                            </w:pPr>
                            <w:r w:rsidRPr="00D62618">
                              <w:rPr>
                                <w:color w:val="000000" w:themeColor="text1"/>
                                <w:sz w:val="16"/>
                              </w:rPr>
                              <w:t>0.98</w:t>
                            </w:r>
                          </w:p>
                        </w:tc>
                        <w:tc>
                          <w:tcPr>
                            <w:tcW w:w="539" w:type="dxa"/>
                            <w:tcBorders>
                              <w:top w:val="nil"/>
                              <w:left w:val="nil"/>
                              <w:bottom w:val="nil"/>
                              <w:right w:val="nil"/>
                            </w:tcBorders>
                            <w:shd w:val="clear" w:color="auto" w:fill="auto"/>
                            <w:noWrap/>
                            <w:hideMark/>
                          </w:tcPr>
                          <w:p w14:paraId="2D846AFF" w14:textId="585E9D9F" w:rsidR="00545A51" w:rsidRPr="00D62618" w:rsidRDefault="00545A51" w:rsidP="00646B91">
                            <w:pPr>
                              <w:jc w:val="center"/>
                              <w:rPr>
                                <w:color w:val="000000" w:themeColor="text1"/>
                                <w:sz w:val="16"/>
                                <w:szCs w:val="16"/>
                                <w:lang w:val="en-GB" w:eastAsia="it-IT"/>
                              </w:rPr>
                            </w:pPr>
                            <w:r w:rsidRPr="00D62618">
                              <w:rPr>
                                <w:color w:val="000000" w:themeColor="text1"/>
                                <w:sz w:val="16"/>
                              </w:rPr>
                              <w:t>0.80</w:t>
                            </w:r>
                          </w:p>
                        </w:tc>
                        <w:tc>
                          <w:tcPr>
                            <w:tcW w:w="539" w:type="dxa"/>
                            <w:tcBorders>
                              <w:top w:val="nil"/>
                              <w:left w:val="nil"/>
                              <w:bottom w:val="nil"/>
                              <w:right w:val="nil"/>
                            </w:tcBorders>
                            <w:shd w:val="clear" w:color="auto" w:fill="auto"/>
                            <w:noWrap/>
                            <w:hideMark/>
                          </w:tcPr>
                          <w:p w14:paraId="4C098849" w14:textId="48206613" w:rsidR="00545A51" w:rsidRPr="00D62618" w:rsidRDefault="00545A51" w:rsidP="00646B91">
                            <w:pPr>
                              <w:jc w:val="center"/>
                              <w:rPr>
                                <w:color w:val="000000" w:themeColor="text1"/>
                                <w:sz w:val="16"/>
                                <w:szCs w:val="16"/>
                                <w:lang w:val="en-GB" w:eastAsia="it-IT"/>
                              </w:rPr>
                            </w:pPr>
                            <w:r w:rsidRPr="00D62618">
                              <w:rPr>
                                <w:color w:val="000000" w:themeColor="text1"/>
                                <w:sz w:val="16"/>
                              </w:rPr>
                              <w:t>0.80</w:t>
                            </w:r>
                          </w:p>
                        </w:tc>
                        <w:tc>
                          <w:tcPr>
                            <w:tcW w:w="539" w:type="dxa"/>
                            <w:tcBorders>
                              <w:top w:val="nil"/>
                              <w:left w:val="nil"/>
                              <w:bottom w:val="nil"/>
                              <w:right w:val="nil"/>
                            </w:tcBorders>
                            <w:shd w:val="clear" w:color="auto" w:fill="auto"/>
                            <w:noWrap/>
                            <w:hideMark/>
                          </w:tcPr>
                          <w:p w14:paraId="24BE3595" w14:textId="6B3228C1" w:rsidR="00545A51" w:rsidRPr="00D62618" w:rsidRDefault="00545A51" w:rsidP="00646B91">
                            <w:pPr>
                              <w:jc w:val="center"/>
                              <w:rPr>
                                <w:color w:val="000000" w:themeColor="text1"/>
                                <w:sz w:val="16"/>
                                <w:szCs w:val="16"/>
                                <w:lang w:val="en-GB" w:eastAsia="it-IT"/>
                              </w:rPr>
                            </w:pPr>
                            <w:r w:rsidRPr="00D62618">
                              <w:rPr>
                                <w:color w:val="000000" w:themeColor="text1"/>
                                <w:sz w:val="16"/>
                              </w:rPr>
                              <w:t>0.64</w:t>
                            </w:r>
                          </w:p>
                        </w:tc>
                        <w:tc>
                          <w:tcPr>
                            <w:tcW w:w="539" w:type="dxa"/>
                            <w:tcBorders>
                              <w:top w:val="nil"/>
                              <w:left w:val="nil"/>
                              <w:bottom w:val="nil"/>
                              <w:right w:val="nil"/>
                            </w:tcBorders>
                            <w:shd w:val="clear" w:color="auto" w:fill="auto"/>
                            <w:noWrap/>
                            <w:hideMark/>
                          </w:tcPr>
                          <w:p w14:paraId="301A5F89" w14:textId="38B0225A" w:rsidR="00545A51" w:rsidRPr="00D62618" w:rsidRDefault="00545A51" w:rsidP="00646B91">
                            <w:pPr>
                              <w:jc w:val="center"/>
                              <w:rPr>
                                <w:color w:val="000000" w:themeColor="text1"/>
                                <w:sz w:val="16"/>
                                <w:szCs w:val="16"/>
                                <w:lang w:eastAsia="it-IT"/>
                              </w:rPr>
                            </w:pPr>
                            <w:r w:rsidRPr="00D62618">
                              <w:rPr>
                                <w:color w:val="000000" w:themeColor="text1"/>
                                <w:sz w:val="16"/>
                              </w:rPr>
                              <w:t>0.90</w:t>
                            </w:r>
                          </w:p>
                        </w:tc>
                        <w:tc>
                          <w:tcPr>
                            <w:tcW w:w="539" w:type="dxa"/>
                            <w:tcBorders>
                              <w:top w:val="nil"/>
                              <w:left w:val="nil"/>
                              <w:bottom w:val="nil"/>
                              <w:right w:val="nil"/>
                            </w:tcBorders>
                            <w:shd w:val="clear" w:color="auto" w:fill="auto"/>
                            <w:noWrap/>
                            <w:hideMark/>
                          </w:tcPr>
                          <w:p w14:paraId="7ECFCC67" w14:textId="4756B85F" w:rsidR="00545A51" w:rsidRPr="00D62618" w:rsidRDefault="00545A51" w:rsidP="00646B91">
                            <w:pPr>
                              <w:jc w:val="center"/>
                              <w:rPr>
                                <w:color w:val="000000" w:themeColor="text1"/>
                                <w:sz w:val="16"/>
                                <w:szCs w:val="16"/>
                                <w:lang w:eastAsia="it-IT"/>
                              </w:rPr>
                            </w:pPr>
                            <w:r w:rsidRPr="00D62618">
                              <w:rPr>
                                <w:color w:val="000000" w:themeColor="text1"/>
                                <w:sz w:val="16"/>
                              </w:rPr>
                              <w:t>0.62</w:t>
                            </w:r>
                          </w:p>
                        </w:tc>
                      </w:tr>
                      <w:tr w:rsidR="00545A51" w:rsidRPr="00D62618" w14:paraId="57FA24E5" w14:textId="77777777" w:rsidTr="002C6647">
                        <w:trPr>
                          <w:trHeight w:val="300"/>
                        </w:trPr>
                        <w:tc>
                          <w:tcPr>
                            <w:tcW w:w="647" w:type="dxa"/>
                            <w:vMerge/>
                            <w:tcBorders>
                              <w:left w:val="nil"/>
                              <w:bottom w:val="single" w:sz="4" w:space="0" w:color="auto"/>
                              <w:right w:val="nil"/>
                            </w:tcBorders>
                          </w:tcPr>
                          <w:p w14:paraId="5C629CBF" w14:textId="77777777" w:rsidR="00545A51" w:rsidRPr="00221A06" w:rsidRDefault="00545A51" w:rsidP="00646B91">
                            <w:pPr>
                              <w:jc w:val="right"/>
                              <w:rPr>
                                <w:color w:val="000000"/>
                                <w:sz w:val="16"/>
                                <w:szCs w:val="16"/>
                                <w:lang w:eastAsia="it-IT"/>
                              </w:rPr>
                            </w:pPr>
                          </w:p>
                        </w:tc>
                        <w:tc>
                          <w:tcPr>
                            <w:tcW w:w="431" w:type="dxa"/>
                            <w:tcBorders>
                              <w:top w:val="nil"/>
                              <w:left w:val="nil"/>
                              <w:bottom w:val="single" w:sz="4" w:space="0" w:color="auto"/>
                              <w:right w:val="nil"/>
                            </w:tcBorders>
                            <w:vAlign w:val="center"/>
                          </w:tcPr>
                          <w:p w14:paraId="4E244106" w14:textId="77777777" w:rsidR="00545A51" w:rsidRPr="00221A06" w:rsidRDefault="00545A51" w:rsidP="00646B91">
                            <w:pPr>
                              <w:jc w:val="center"/>
                              <w:rPr>
                                <w:color w:val="000000"/>
                                <w:sz w:val="16"/>
                                <w:szCs w:val="16"/>
                                <w:lang w:eastAsia="it-IT"/>
                              </w:rPr>
                            </w:pPr>
                            <w:r w:rsidRPr="00221A06">
                              <w:rPr>
                                <w:color w:val="000000"/>
                                <w:sz w:val="16"/>
                                <w:szCs w:val="16"/>
                                <w:lang w:eastAsia="it-IT"/>
                              </w:rPr>
                              <w:t>q</w:t>
                            </w:r>
                          </w:p>
                        </w:tc>
                        <w:tc>
                          <w:tcPr>
                            <w:tcW w:w="539" w:type="dxa"/>
                            <w:tcBorders>
                              <w:top w:val="nil"/>
                              <w:left w:val="nil"/>
                              <w:bottom w:val="single" w:sz="4" w:space="0" w:color="auto"/>
                              <w:right w:val="nil"/>
                            </w:tcBorders>
                            <w:shd w:val="clear" w:color="auto" w:fill="auto"/>
                            <w:noWrap/>
                            <w:hideMark/>
                          </w:tcPr>
                          <w:p w14:paraId="5FDF63C3" w14:textId="490A110A" w:rsidR="00545A51" w:rsidRPr="00D62618" w:rsidRDefault="00545A51" w:rsidP="00646B91">
                            <w:pPr>
                              <w:jc w:val="center"/>
                              <w:rPr>
                                <w:color w:val="000000" w:themeColor="text1"/>
                                <w:sz w:val="16"/>
                                <w:szCs w:val="16"/>
                                <w:lang w:eastAsia="it-IT"/>
                              </w:rPr>
                            </w:pPr>
                            <w:r w:rsidRPr="00D62618">
                              <w:rPr>
                                <w:color w:val="000000" w:themeColor="text1"/>
                                <w:sz w:val="16"/>
                              </w:rPr>
                              <w:t>5.83</w:t>
                            </w:r>
                          </w:p>
                        </w:tc>
                        <w:tc>
                          <w:tcPr>
                            <w:tcW w:w="539" w:type="dxa"/>
                            <w:tcBorders>
                              <w:top w:val="nil"/>
                              <w:left w:val="nil"/>
                              <w:bottom w:val="single" w:sz="4" w:space="0" w:color="auto"/>
                              <w:right w:val="nil"/>
                            </w:tcBorders>
                            <w:shd w:val="clear" w:color="auto" w:fill="auto"/>
                            <w:noWrap/>
                            <w:hideMark/>
                          </w:tcPr>
                          <w:p w14:paraId="18030EDA" w14:textId="09F67F7E"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single" w:sz="4" w:space="0" w:color="auto"/>
                              <w:right w:val="nil"/>
                            </w:tcBorders>
                            <w:shd w:val="clear" w:color="auto" w:fill="auto"/>
                            <w:noWrap/>
                            <w:hideMark/>
                          </w:tcPr>
                          <w:p w14:paraId="485D80F6" w14:textId="32D8197F" w:rsidR="00545A51" w:rsidRPr="00D62618" w:rsidRDefault="00545A51" w:rsidP="00646B91">
                            <w:pPr>
                              <w:jc w:val="center"/>
                              <w:rPr>
                                <w:color w:val="000000" w:themeColor="text1"/>
                                <w:sz w:val="16"/>
                                <w:szCs w:val="16"/>
                                <w:lang w:eastAsia="it-IT"/>
                              </w:rPr>
                            </w:pPr>
                            <w:r w:rsidRPr="00D62618">
                              <w:rPr>
                                <w:color w:val="000000" w:themeColor="text1"/>
                                <w:sz w:val="16"/>
                              </w:rPr>
                              <w:t>1.01</w:t>
                            </w:r>
                          </w:p>
                        </w:tc>
                        <w:tc>
                          <w:tcPr>
                            <w:tcW w:w="539" w:type="dxa"/>
                            <w:tcBorders>
                              <w:top w:val="nil"/>
                              <w:left w:val="nil"/>
                              <w:bottom w:val="single" w:sz="4" w:space="0" w:color="auto"/>
                              <w:right w:val="nil"/>
                            </w:tcBorders>
                            <w:shd w:val="clear" w:color="auto" w:fill="auto"/>
                            <w:noWrap/>
                            <w:hideMark/>
                          </w:tcPr>
                          <w:p w14:paraId="462926F2" w14:textId="4AD84E53" w:rsidR="00545A51" w:rsidRPr="00D62618" w:rsidRDefault="00545A51" w:rsidP="00646B91">
                            <w:pPr>
                              <w:jc w:val="center"/>
                              <w:rPr>
                                <w:color w:val="000000" w:themeColor="text1"/>
                                <w:sz w:val="16"/>
                                <w:szCs w:val="16"/>
                                <w:lang w:eastAsia="it-IT"/>
                              </w:rPr>
                            </w:pPr>
                            <w:r w:rsidRPr="00D62618">
                              <w:rPr>
                                <w:color w:val="000000" w:themeColor="text1"/>
                                <w:sz w:val="16"/>
                              </w:rPr>
                              <w:t>11.63</w:t>
                            </w:r>
                          </w:p>
                        </w:tc>
                        <w:tc>
                          <w:tcPr>
                            <w:tcW w:w="539" w:type="dxa"/>
                            <w:tcBorders>
                              <w:top w:val="nil"/>
                              <w:left w:val="nil"/>
                              <w:bottom w:val="single" w:sz="4" w:space="0" w:color="auto"/>
                              <w:right w:val="nil"/>
                            </w:tcBorders>
                            <w:shd w:val="clear" w:color="auto" w:fill="auto"/>
                            <w:noWrap/>
                            <w:hideMark/>
                          </w:tcPr>
                          <w:p w14:paraId="33C7F9FE" w14:textId="5C10E008" w:rsidR="00545A51" w:rsidRPr="00D62618" w:rsidRDefault="00545A51" w:rsidP="00646B91">
                            <w:pPr>
                              <w:jc w:val="center"/>
                              <w:rPr>
                                <w:color w:val="000000" w:themeColor="text1"/>
                                <w:sz w:val="16"/>
                                <w:szCs w:val="16"/>
                                <w:lang w:eastAsia="it-IT"/>
                              </w:rPr>
                            </w:pPr>
                            <w:r w:rsidRPr="00D62618">
                              <w:rPr>
                                <w:color w:val="000000" w:themeColor="text1"/>
                                <w:sz w:val="16"/>
                              </w:rPr>
                              <w:t>0.06</w:t>
                            </w:r>
                          </w:p>
                        </w:tc>
                        <w:tc>
                          <w:tcPr>
                            <w:tcW w:w="539" w:type="dxa"/>
                            <w:tcBorders>
                              <w:top w:val="nil"/>
                              <w:left w:val="nil"/>
                              <w:bottom w:val="single" w:sz="4" w:space="0" w:color="auto"/>
                              <w:right w:val="nil"/>
                            </w:tcBorders>
                            <w:shd w:val="clear" w:color="auto" w:fill="auto"/>
                            <w:noWrap/>
                            <w:hideMark/>
                          </w:tcPr>
                          <w:p w14:paraId="19CE4437" w14:textId="6321B344"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single" w:sz="4" w:space="0" w:color="auto"/>
                              <w:right w:val="nil"/>
                            </w:tcBorders>
                            <w:shd w:val="clear" w:color="auto" w:fill="auto"/>
                            <w:noWrap/>
                            <w:hideMark/>
                          </w:tcPr>
                          <w:p w14:paraId="191BBBA3" w14:textId="226D899A" w:rsidR="00545A51" w:rsidRPr="00D62618" w:rsidRDefault="00545A51" w:rsidP="00646B91">
                            <w:pPr>
                              <w:jc w:val="center"/>
                              <w:rPr>
                                <w:color w:val="000000" w:themeColor="text1"/>
                                <w:sz w:val="16"/>
                                <w:szCs w:val="16"/>
                                <w:lang w:eastAsia="it-IT"/>
                              </w:rPr>
                            </w:pPr>
                            <w:r w:rsidRPr="00D62618">
                              <w:rPr>
                                <w:color w:val="000000" w:themeColor="text1"/>
                                <w:sz w:val="16"/>
                              </w:rPr>
                              <w:t>14.16</w:t>
                            </w:r>
                          </w:p>
                        </w:tc>
                      </w:tr>
                      <w:tr w:rsidR="00545A51" w:rsidRPr="00D62618" w14:paraId="3CED9139" w14:textId="77777777" w:rsidTr="00221A06">
                        <w:trPr>
                          <w:trHeight w:val="300"/>
                        </w:trPr>
                        <w:tc>
                          <w:tcPr>
                            <w:tcW w:w="647" w:type="dxa"/>
                            <w:tcBorders>
                              <w:top w:val="single" w:sz="4" w:space="0" w:color="auto"/>
                              <w:left w:val="nil"/>
                              <w:bottom w:val="nil"/>
                              <w:right w:val="nil"/>
                            </w:tcBorders>
                          </w:tcPr>
                          <w:p w14:paraId="3CCFCFB8" w14:textId="77777777" w:rsidR="00545A51" w:rsidRPr="00221A06" w:rsidRDefault="00545A51" w:rsidP="00221A06">
                            <w:pPr>
                              <w:rPr>
                                <w:color w:val="000000"/>
                                <w:sz w:val="16"/>
                                <w:szCs w:val="16"/>
                                <w:lang w:eastAsia="it-IT"/>
                              </w:rPr>
                            </w:pPr>
                          </w:p>
                        </w:tc>
                        <w:tc>
                          <w:tcPr>
                            <w:tcW w:w="431" w:type="dxa"/>
                            <w:tcBorders>
                              <w:top w:val="single" w:sz="4" w:space="0" w:color="auto"/>
                              <w:left w:val="nil"/>
                              <w:bottom w:val="nil"/>
                              <w:right w:val="nil"/>
                            </w:tcBorders>
                            <w:vAlign w:val="center"/>
                          </w:tcPr>
                          <w:p w14:paraId="0B60A8AD" w14:textId="77777777" w:rsidR="00545A51" w:rsidRPr="00221A06" w:rsidRDefault="00545A51" w:rsidP="00221A06">
                            <w:pPr>
                              <w:jc w:val="center"/>
                              <w:rPr>
                                <w:color w:val="000000"/>
                                <w:sz w:val="16"/>
                                <w:szCs w:val="16"/>
                                <w:lang w:eastAsia="it-IT"/>
                              </w:rPr>
                            </w:pPr>
                          </w:p>
                        </w:tc>
                        <w:tc>
                          <w:tcPr>
                            <w:tcW w:w="539" w:type="dxa"/>
                            <w:tcBorders>
                              <w:top w:val="single" w:sz="4" w:space="0" w:color="auto"/>
                              <w:left w:val="nil"/>
                              <w:bottom w:val="nil"/>
                              <w:right w:val="nil"/>
                            </w:tcBorders>
                            <w:shd w:val="clear" w:color="auto" w:fill="auto"/>
                            <w:noWrap/>
                            <w:vAlign w:val="center"/>
                            <w:hideMark/>
                          </w:tcPr>
                          <w:p w14:paraId="1633BEBB"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max</w:t>
                            </w:r>
                          </w:p>
                        </w:tc>
                        <w:tc>
                          <w:tcPr>
                            <w:tcW w:w="539" w:type="dxa"/>
                            <w:tcBorders>
                              <w:top w:val="single" w:sz="4" w:space="0" w:color="auto"/>
                              <w:left w:val="nil"/>
                              <w:bottom w:val="nil"/>
                              <w:right w:val="nil"/>
                            </w:tcBorders>
                            <w:shd w:val="clear" w:color="auto" w:fill="auto"/>
                            <w:noWrap/>
                            <w:vAlign w:val="center"/>
                            <w:hideMark/>
                          </w:tcPr>
                          <w:p w14:paraId="5A28C328"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y</w:t>
                            </w:r>
                            <w:r w:rsidRPr="00D62618">
                              <w:rPr>
                                <w:color w:val="000000" w:themeColor="text1"/>
                                <w:sz w:val="16"/>
                                <w:szCs w:val="16"/>
                                <w:vertAlign w:val="subscript"/>
                                <w:lang w:eastAsia="it-IT"/>
                              </w:rPr>
                              <w:t>max</w:t>
                            </w:r>
                          </w:p>
                        </w:tc>
                        <w:tc>
                          <w:tcPr>
                            <w:tcW w:w="539" w:type="dxa"/>
                            <w:tcBorders>
                              <w:top w:val="single" w:sz="4" w:space="0" w:color="auto"/>
                              <w:left w:val="nil"/>
                              <w:bottom w:val="nil"/>
                              <w:right w:val="nil"/>
                            </w:tcBorders>
                            <w:shd w:val="clear" w:color="auto" w:fill="auto"/>
                            <w:noWrap/>
                            <w:vAlign w:val="center"/>
                            <w:hideMark/>
                          </w:tcPr>
                          <w:p w14:paraId="68D3AA59"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raise</w:t>
                            </w:r>
                          </w:p>
                        </w:tc>
                        <w:tc>
                          <w:tcPr>
                            <w:tcW w:w="539" w:type="dxa"/>
                            <w:tcBorders>
                              <w:top w:val="single" w:sz="4" w:space="0" w:color="auto"/>
                              <w:left w:val="nil"/>
                              <w:bottom w:val="nil"/>
                              <w:right w:val="nil"/>
                            </w:tcBorders>
                            <w:shd w:val="clear" w:color="auto" w:fill="auto"/>
                            <w:noWrap/>
                            <w:vAlign w:val="center"/>
                            <w:hideMark/>
                          </w:tcPr>
                          <w:p w14:paraId="1B3B09DA"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t</w:t>
                            </w:r>
                            <w:r w:rsidRPr="00D62618">
                              <w:rPr>
                                <w:color w:val="000000" w:themeColor="text1"/>
                                <w:sz w:val="16"/>
                                <w:szCs w:val="16"/>
                                <w:vertAlign w:val="subscript"/>
                                <w:lang w:eastAsia="it-IT"/>
                              </w:rPr>
                              <w:t>wash</w:t>
                            </w:r>
                          </w:p>
                        </w:tc>
                        <w:tc>
                          <w:tcPr>
                            <w:tcW w:w="539" w:type="dxa"/>
                            <w:tcBorders>
                              <w:top w:val="single" w:sz="4" w:space="0" w:color="auto"/>
                              <w:left w:val="nil"/>
                              <w:bottom w:val="nil"/>
                              <w:right w:val="nil"/>
                            </w:tcBorders>
                            <w:shd w:val="clear" w:color="auto" w:fill="auto"/>
                            <w:noWrap/>
                            <w:vAlign w:val="center"/>
                            <w:hideMark/>
                          </w:tcPr>
                          <w:p w14:paraId="42F5AACA"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BVI</w:t>
                            </w:r>
                          </w:p>
                        </w:tc>
                        <w:tc>
                          <w:tcPr>
                            <w:tcW w:w="539" w:type="dxa"/>
                            <w:tcBorders>
                              <w:top w:val="single" w:sz="4" w:space="0" w:color="auto"/>
                              <w:left w:val="nil"/>
                              <w:bottom w:val="nil"/>
                              <w:right w:val="nil"/>
                            </w:tcBorders>
                            <w:shd w:val="clear" w:color="auto" w:fill="auto"/>
                            <w:noWrap/>
                            <w:vAlign w:val="center"/>
                            <w:hideMark/>
                          </w:tcPr>
                          <w:p w14:paraId="65A5E2DE"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BFI</w:t>
                            </w:r>
                          </w:p>
                        </w:tc>
                        <w:tc>
                          <w:tcPr>
                            <w:tcW w:w="539" w:type="dxa"/>
                            <w:tcBorders>
                              <w:top w:val="single" w:sz="4" w:space="0" w:color="auto"/>
                              <w:left w:val="nil"/>
                              <w:bottom w:val="nil"/>
                              <w:right w:val="nil"/>
                            </w:tcBorders>
                            <w:shd w:val="clear" w:color="auto" w:fill="auto"/>
                            <w:noWrap/>
                            <w:vAlign w:val="center"/>
                            <w:hideMark/>
                          </w:tcPr>
                          <w:p w14:paraId="27FD5689" w14:textId="77777777" w:rsidR="00545A51" w:rsidRPr="00D62618" w:rsidRDefault="00545A51" w:rsidP="00221A06">
                            <w:pPr>
                              <w:jc w:val="center"/>
                              <w:rPr>
                                <w:color w:val="000000" w:themeColor="text1"/>
                                <w:sz w:val="16"/>
                                <w:szCs w:val="16"/>
                                <w:lang w:eastAsia="it-IT"/>
                              </w:rPr>
                            </w:pPr>
                            <w:r w:rsidRPr="00D62618">
                              <w:rPr>
                                <w:color w:val="000000" w:themeColor="text1"/>
                                <w:sz w:val="16"/>
                                <w:szCs w:val="16"/>
                                <w:lang w:eastAsia="it-IT"/>
                              </w:rPr>
                              <w:t>MTT</w:t>
                            </w:r>
                          </w:p>
                        </w:tc>
                      </w:tr>
                      <w:tr w:rsidR="00545A51" w:rsidRPr="00D62618" w14:paraId="1458E0AB" w14:textId="77777777" w:rsidTr="002C6647">
                        <w:trPr>
                          <w:trHeight w:val="300"/>
                        </w:trPr>
                        <w:tc>
                          <w:tcPr>
                            <w:tcW w:w="647" w:type="dxa"/>
                            <w:vMerge w:val="restart"/>
                            <w:tcBorders>
                              <w:top w:val="nil"/>
                              <w:left w:val="nil"/>
                              <w:right w:val="nil"/>
                            </w:tcBorders>
                            <w:vAlign w:val="center"/>
                          </w:tcPr>
                          <w:p w14:paraId="00E90E2E" w14:textId="77777777" w:rsidR="00545A51" w:rsidRPr="00221A06" w:rsidRDefault="00545A51" w:rsidP="00646B91">
                            <w:pPr>
                              <w:jc w:val="center"/>
                              <w:rPr>
                                <w:color w:val="000000"/>
                                <w:sz w:val="16"/>
                                <w:szCs w:val="16"/>
                                <w:lang w:eastAsia="it-IT"/>
                              </w:rPr>
                            </w:pPr>
                            <w:r w:rsidRPr="00221A06">
                              <w:rPr>
                                <w:color w:val="000000"/>
                                <w:sz w:val="16"/>
                                <w:szCs w:val="16"/>
                                <w:lang w:eastAsia="it-IT"/>
                              </w:rPr>
                              <w:t>SCR model</w:t>
                            </w:r>
                          </w:p>
                        </w:tc>
                        <w:tc>
                          <w:tcPr>
                            <w:tcW w:w="431" w:type="dxa"/>
                            <w:tcBorders>
                              <w:top w:val="nil"/>
                              <w:left w:val="nil"/>
                              <w:bottom w:val="nil"/>
                              <w:right w:val="nil"/>
                            </w:tcBorders>
                            <w:vAlign w:val="center"/>
                          </w:tcPr>
                          <w:p w14:paraId="07D19F5B" w14:textId="77777777" w:rsidR="00545A51" w:rsidRPr="00221A06" w:rsidRDefault="00545A51" w:rsidP="00646B91">
                            <w:pPr>
                              <w:jc w:val="center"/>
                              <w:rPr>
                                <w:color w:val="000000"/>
                                <w:sz w:val="16"/>
                                <w:szCs w:val="16"/>
                                <w:lang w:eastAsia="it-IT"/>
                              </w:rPr>
                            </w:pPr>
                            <w:r w:rsidRPr="00221A06">
                              <w:rPr>
                                <w:color w:val="000000"/>
                                <w:sz w:val="16"/>
                                <w:szCs w:val="16"/>
                                <w:lang w:eastAsia="it-IT"/>
                              </w:rPr>
                              <w:t>R</w:t>
                            </w:r>
                          </w:p>
                        </w:tc>
                        <w:tc>
                          <w:tcPr>
                            <w:tcW w:w="539" w:type="dxa"/>
                            <w:tcBorders>
                              <w:top w:val="nil"/>
                              <w:left w:val="nil"/>
                              <w:bottom w:val="nil"/>
                              <w:right w:val="nil"/>
                            </w:tcBorders>
                            <w:shd w:val="clear" w:color="auto" w:fill="auto"/>
                            <w:noWrap/>
                            <w:hideMark/>
                          </w:tcPr>
                          <w:p w14:paraId="0FDB12B8" w14:textId="4B595211" w:rsidR="00545A51" w:rsidRPr="00D62618" w:rsidRDefault="00545A51" w:rsidP="00646B91">
                            <w:pPr>
                              <w:jc w:val="center"/>
                              <w:rPr>
                                <w:color w:val="000000" w:themeColor="text1"/>
                                <w:sz w:val="16"/>
                                <w:szCs w:val="16"/>
                                <w:lang w:eastAsia="it-IT"/>
                              </w:rPr>
                            </w:pPr>
                            <w:r w:rsidRPr="00D62618">
                              <w:rPr>
                                <w:color w:val="000000" w:themeColor="text1"/>
                                <w:sz w:val="16"/>
                              </w:rPr>
                              <w:t>0.94</w:t>
                            </w:r>
                          </w:p>
                        </w:tc>
                        <w:tc>
                          <w:tcPr>
                            <w:tcW w:w="539" w:type="dxa"/>
                            <w:tcBorders>
                              <w:top w:val="nil"/>
                              <w:left w:val="nil"/>
                              <w:bottom w:val="nil"/>
                              <w:right w:val="nil"/>
                            </w:tcBorders>
                            <w:shd w:val="clear" w:color="auto" w:fill="auto"/>
                            <w:noWrap/>
                            <w:hideMark/>
                          </w:tcPr>
                          <w:p w14:paraId="6269E5B6" w14:textId="00809D20" w:rsidR="00545A51" w:rsidRPr="00D62618" w:rsidRDefault="00545A51" w:rsidP="00646B91">
                            <w:pPr>
                              <w:jc w:val="center"/>
                              <w:rPr>
                                <w:color w:val="000000" w:themeColor="text1"/>
                                <w:sz w:val="16"/>
                                <w:szCs w:val="16"/>
                                <w:lang w:eastAsia="it-IT"/>
                              </w:rPr>
                            </w:pPr>
                            <w:r w:rsidRPr="00D62618">
                              <w:rPr>
                                <w:color w:val="000000" w:themeColor="text1"/>
                                <w:sz w:val="16"/>
                              </w:rPr>
                              <w:t>0.98</w:t>
                            </w:r>
                          </w:p>
                        </w:tc>
                        <w:tc>
                          <w:tcPr>
                            <w:tcW w:w="539" w:type="dxa"/>
                            <w:tcBorders>
                              <w:top w:val="nil"/>
                              <w:left w:val="nil"/>
                              <w:bottom w:val="nil"/>
                              <w:right w:val="nil"/>
                            </w:tcBorders>
                            <w:shd w:val="clear" w:color="auto" w:fill="auto"/>
                            <w:noWrap/>
                            <w:hideMark/>
                          </w:tcPr>
                          <w:p w14:paraId="139E568B" w14:textId="047DA6E2"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c>
                          <w:tcPr>
                            <w:tcW w:w="539" w:type="dxa"/>
                            <w:tcBorders>
                              <w:top w:val="nil"/>
                              <w:left w:val="nil"/>
                              <w:bottom w:val="nil"/>
                              <w:right w:val="nil"/>
                            </w:tcBorders>
                            <w:shd w:val="clear" w:color="auto" w:fill="auto"/>
                            <w:noWrap/>
                            <w:hideMark/>
                          </w:tcPr>
                          <w:p w14:paraId="3C6ABF01" w14:textId="073F3429"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c>
                          <w:tcPr>
                            <w:tcW w:w="539" w:type="dxa"/>
                            <w:tcBorders>
                              <w:top w:val="nil"/>
                              <w:left w:val="nil"/>
                              <w:bottom w:val="nil"/>
                              <w:right w:val="nil"/>
                            </w:tcBorders>
                            <w:shd w:val="clear" w:color="auto" w:fill="auto"/>
                            <w:noWrap/>
                            <w:hideMark/>
                          </w:tcPr>
                          <w:p w14:paraId="662E5F27" w14:textId="61554DB6" w:rsidR="00545A51" w:rsidRPr="00D62618" w:rsidRDefault="00545A51" w:rsidP="00646B91">
                            <w:pPr>
                              <w:jc w:val="center"/>
                              <w:rPr>
                                <w:color w:val="000000" w:themeColor="text1"/>
                                <w:sz w:val="16"/>
                                <w:szCs w:val="16"/>
                                <w:lang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1C055A8C" w14:textId="4764D2D6" w:rsidR="00545A51" w:rsidRPr="00D62618" w:rsidRDefault="00545A51" w:rsidP="00646B91">
                            <w:pPr>
                              <w:jc w:val="center"/>
                              <w:rPr>
                                <w:color w:val="000000" w:themeColor="text1"/>
                                <w:sz w:val="16"/>
                                <w:szCs w:val="16"/>
                                <w:lang w:eastAsia="it-IT"/>
                              </w:rPr>
                            </w:pPr>
                            <w:r w:rsidRPr="00D62618">
                              <w:rPr>
                                <w:color w:val="000000" w:themeColor="text1"/>
                                <w:sz w:val="16"/>
                              </w:rPr>
                              <w:t>0.96</w:t>
                            </w:r>
                          </w:p>
                        </w:tc>
                        <w:tc>
                          <w:tcPr>
                            <w:tcW w:w="539" w:type="dxa"/>
                            <w:tcBorders>
                              <w:top w:val="nil"/>
                              <w:left w:val="nil"/>
                              <w:bottom w:val="nil"/>
                              <w:right w:val="nil"/>
                            </w:tcBorders>
                            <w:shd w:val="clear" w:color="auto" w:fill="auto"/>
                            <w:noWrap/>
                            <w:hideMark/>
                          </w:tcPr>
                          <w:p w14:paraId="146F7E9C" w14:textId="5360A615" w:rsidR="00545A51" w:rsidRPr="00D62618" w:rsidRDefault="00545A51" w:rsidP="00646B91">
                            <w:pPr>
                              <w:jc w:val="center"/>
                              <w:rPr>
                                <w:color w:val="000000" w:themeColor="text1"/>
                                <w:sz w:val="16"/>
                                <w:szCs w:val="16"/>
                                <w:lang w:eastAsia="it-IT"/>
                              </w:rPr>
                            </w:pPr>
                            <w:r w:rsidRPr="00D62618">
                              <w:rPr>
                                <w:color w:val="000000" w:themeColor="text1"/>
                                <w:sz w:val="16"/>
                              </w:rPr>
                              <w:t>0.88</w:t>
                            </w:r>
                          </w:p>
                        </w:tc>
                      </w:tr>
                      <w:tr w:rsidR="00545A51" w:rsidRPr="00D62618" w14:paraId="0F2A1609" w14:textId="77777777" w:rsidTr="002C6647">
                        <w:trPr>
                          <w:trHeight w:val="300"/>
                        </w:trPr>
                        <w:tc>
                          <w:tcPr>
                            <w:tcW w:w="647" w:type="dxa"/>
                            <w:vMerge/>
                            <w:tcBorders>
                              <w:left w:val="nil"/>
                              <w:right w:val="nil"/>
                            </w:tcBorders>
                          </w:tcPr>
                          <w:p w14:paraId="30AFCA3A" w14:textId="77777777" w:rsidR="00545A51" w:rsidRPr="00221A06" w:rsidRDefault="00545A51" w:rsidP="00646B91">
                            <w:pPr>
                              <w:jc w:val="right"/>
                              <w:rPr>
                                <w:color w:val="000000"/>
                                <w:sz w:val="16"/>
                                <w:szCs w:val="16"/>
                                <w:lang w:eastAsia="it-IT"/>
                              </w:rPr>
                            </w:pPr>
                          </w:p>
                        </w:tc>
                        <w:tc>
                          <w:tcPr>
                            <w:tcW w:w="431" w:type="dxa"/>
                            <w:tcBorders>
                              <w:top w:val="nil"/>
                              <w:left w:val="nil"/>
                              <w:bottom w:val="nil"/>
                              <w:right w:val="nil"/>
                            </w:tcBorders>
                            <w:vAlign w:val="center"/>
                          </w:tcPr>
                          <w:p w14:paraId="62EDDF32" w14:textId="77777777" w:rsidR="00545A51" w:rsidRPr="00221A06" w:rsidRDefault="00545A51" w:rsidP="00646B91">
                            <w:pPr>
                              <w:jc w:val="center"/>
                              <w:rPr>
                                <w:color w:val="000000"/>
                                <w:sz w:val="16"/>
                                <w:szCs w:val="16"/>
                                <w:lang w:eastAsia="it-IT"/>
                              </w:rPr>
                            </w:pPr>
                            <w:r w:rsidRPr="00221A06">
                              <w:rPr>
                                <w:color w:val="000000"/>
                                <w:sz w:val="16"/>
                                <w:szCs w:val="16"/>
                                <w:lang w:eastAsia="it-IT"/>
                              </w:rPr>
                              <w:t>m</w:t>
                            </w:r>
                          </w:p>
                        </w:tc>
                        <w:tc>
                          <w:tcPr>
                            <w:tcW w:w="539" w:type="dxa"/>
                            <w:tcBorders>
                              <w:top w:val="nil"/>
                              <w:left w:val="nil"/>
                              <w:bottom w:val="nil"/>
                              <w:right w:val="nil"/>
                            </w:tcBorders>
                            <w:shd w:val="clear" w:color="auto" w:fill="auto"/>
                            <w:noWrap/>
                            <w:hideMark/>
                          </w:tcPr>
                          <w:p w14:paraId="5A986FFB" w14:textId="7A2209CF" w:rsidR="00545A51" w:rsidRPr="00D62618" w:rsidRDefault="00545A51" w:rsidP="00646B91">
                            <w:pPr>
                              <w:jc w:val="center"/>
                              <w:rPr>
                                <w:color w:val="000000" w:themeColor="text1"/>
                                <w:sz w:val="16"/>
                                <w:szCs w:val="16"/>
                                <w:lang w:eastAsia="it-IT"/>
                              </w:rPr>
                            </w:pPr>
                            <w:r w:rsidRPr="00D62618">
                              <w:rPr>
                                <w:color w:val="000000" w:themeColor="text1"/>
                                <w:sz w:val="16"/>
                              </w:rPr>
                              <w:t>0.86</w:t>
                            </w:r>
                          </w:p>
                        </w:tc>
                        <w:tc>
                          <w:tcPr>
                            <w:tcW w:w="539" w:type="dxa"/>
                            <w:tcBorders>
                              <w:top w:val="nil"/>
                              <w:left w:val="nil"/>
                              <w:bottom w:val="nil"/>
                              <w:right w:val="nil"/>
                            </w:tcBorders>
                            <w:shd w:val="clear" w:color="auto" w:fill="auto"/>
                            <w:noWrap/>
                            <w:hideMark/>
                          </w:tcPr>
                          <w:p w14:paraId="250CE2D3" w14:textId="403317C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7A668F0B" w14:textId="2211235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4B8A8365" w14:textId="5781687F"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c>
                          <w:tcPr>
                            <w:tcW w:w="539" w:type="dxa"/>
                            <w:tcBorders>
                              <w:top w:val="nil"/>
                              <w:left w:val="nil"/>
                              <w:bottom w:val="nil"/>
                              <w:right w:val="nil"/>
                            </w:tcBorders>
                            <w:shd w:val="clear" w:color="auto" w:fill="auto"/>
                            <w:noWrap/>
                            <w:hideMark/>
                          </w:tcPr>
                          <w:p w14:paraId="1BDF90D6" w14:textId="0BA03EAE" w:rsidR="00545A51" w:rsidRPr="00D62618" w:rsidRDefault="00545A51" w:rsidP="00646B91">
                            <w:pPr>
                              <w:jc w:val="center"/>
                              <w:rPr>
                                <w:color w:val="000000" w:themeColor="text1"/>
                                <w:sz w:val="16"/>
                                <w:szCs w:val="16"/>
                                <w:lang w:eastAsia="it-IT"/>
                              </w:rPr>
                            </w:pPr>
                            <w:r w:rsidRPr="00D62618">
                              <w:rPr>
                                <w:color w:val="000000" w:themeColor="text1"/>
                                <w:sz w:val="16"/>
                              </w:rPr>
                              <w:t>0.76</w:t>
                            </w:r>
                          </w:p>
                        </w:tc>
                        <w:tc>
                          <w:tcPr>
                            <w:tcW w:w="539" w:type="dxa"/>
                            <w:tcBorders>
                              <w:top w:val="nil"/>
                              <w:left w:val="nil"/>
                              <w:bottom w:val="nil"/>
                              <w:right w:val="nil"/>
                            </w:tcBorders>
                            <w:shd w:val="clear" w:color="auto" w:fill="auto"/>
                            <w:noWrap/>
                            <w:hideMark/>
                          </w:tcPr>
                          <w:p w14:paraId="6AC41EBB" w14:textId="6ACD46E2" w:rsidR="00545A51" w:rsidRPr="00D62618" w:rsidRDefault="00545A51" w:rsidP="00646B91">
                            <w:pPr>
                              <w:jc w:val="center"/>
                              <w:rPr>
                                <w:color w:val="000000" w:themeColor="text1"/>
                                <w:sz w:val="16"/>
                                <w:szCs w:val="16"/>
                                <w:lang w:eastAsia="it-IT"/>
                              </w:rPr>
                            </w:pPr>
                            <w:r w:rsidRPr="00D62618">
                              <w:rPr>
                                <w:color w:val="000000" w:themeColor="text1"/>
                                <w:sz w:val="16"/>
                              </w:rPr>
                              <w:t>0.94</w:t>
                            </w:r>
                          </w:p>
                        </w:tc>
                        <w:tc>
                          <w:tcPr>
                            <w:tcW w:w="539" w:type="dxa"/>
                            <w:tcBorders>
                              <w:top w:val="nil"/>
                              <w:left w:val="nil"/>
                              <w:bottom w:val="nil"/>
                              <w:right w:val="nil"/>
                            </w:tcBorders>
                            <w:shd w:val="clear" w:color="auto" w:fill="auto"/>
                            <w:noWrap/>
                            <w:hideMark/>
                          </w:tcPr>
                          <w:p w14:paraId="00DBE698" w14:textId="0E7D85A9" w:rsidR="00545A51" w:rsidRPr="00D62618" w:rsidRDefault="00545A51" w:rsidP="00646B91">
                            <w:pPr>
                              <w:jc w:val="center"/>
                              <w:rPr>
                                <w:color w:val="000000" w:themeColor="text1"/>
                                <w:sz w:val="16"/>
                                <w:szCs w:val="16"/>
                                <w:lang w:eastAsia="it-IT"/>
                              </w:rPr>
                            </w:pPr>
                            <w:r w:rsidRPr="00D62618">
                              <w:rPr>
                                <w:color w:val="000000" w:themeColor="text1"/>
                                <w:sz w:val="16"/>
                              </w:rPr>
                              <w:t>0.79</w:t>
                            </w:r>
                          </w:p>
                        </w:tc>
                      </w:tr>
                      <w:tr w:rsidR="00545A51" w:rsidRPr="00D62618" w14:paraId="024E2927" w14:textId="77777777" w:rsidTr="002C6647">
                        <w:trPr>
                          <w:trHeight w:val="300"/>
                        </w:trPr>
                        <w:tc>
                          <w:tcPr>
                            <w:tcW w:w="647" w:type="dxa"/>
                            <w:vMerge/>
                            <w:tcBorders>
                              <w:left w:val="nil"/>
                              <w:bottom w:val="double" w:sz="4" w:space="0" w:color="auto"/>
                              <w:right w:val="nil"/>
                            </w:tcBorders>
                          </w:tcPr>
                          <w:p w14:paraId="5C9C0F51" w14:textId="77777777" w:rsidR="00545A51" w:rsidRPr="00221A06" w:rsidRDefault="00545A51" w:rsidP="00646B91">
                            <w:pPr>
                              <w:jc w:val="right"/>
                              <w:rPr>
                                <w:color w:val="000000"/>
                                <w:sz w:val="16"/>
                                <w:szCs w:val="16"/>
                                <w:lang w:eastAsia="it-IT"/>
                              </w:rPr>
                            </w:pPr>
                          </w:p>
                        </w:tc>
                        <w:tc>
                          <w:tcPr>
                            <w:tcW w:w="431" w:type="dxa"/>
                            <w:tcBorders>
                              <w:top w:val="nil"/>
                              <w:left w:val="nil"/>
                              <w:bottom w:val="double" w:sz="4" w:space="0" w:color="auto"/>
                              <w:right w:val="nil"/>
                            </w:tcBorders>
                            <w:vAlign w:val="center"/>
                          </w:tcPr>
                          <w:p w14:paraId="6A0476AB" w14:textId="77777777" w:rsidR="00545A51" w:rsidRPr="00221A06" w:rsidRDefault="00545A51" w:rsidP="00646B91">
                            <w:pPr>
                              <w:jc w:val="center"/>
                              <w:rPr>
                                <w:color w:val="000000"/>
                                <w:sz w:val="16"/>
                                <w:szCs w:val="16"/>
                                <w:lang w:eastAsia="it-IT"/>
                              </w:rPr>
                            </w:pPr>
                            <w:r w:rsidRPr="00221A06">
                              <w:rPr>
                                <w:color w:val="000000"/>
                                <w:sz w:val="16"/>
                                <w:szCs w:val="16"/>
                                <w:lang w:eastAsia="it-IT"/>
                              </w:rPr>
                              <w:t>q</w:t>
                            </w:r>
                          </w:p>
                        </w:tc>
                        <w:tc>
                          <w:tcPr>
                            <w:tcW w:w="539" w:type="dxa"/>
                            <w:tcBorders>
                              <w:top w:val="nil"/>
                              <w:left w:val="nil"/>
                              <w:bottom w:val="double" w:sz="4" w:space="0" w:color="auto"/>
                              <w:right w:val="nil"/>
                            </w:tcBorders>
                            <w:shd w:val="clear" w:color="auto" w:fill="auto"/>
                            <w:noWrap/>
                            <w:hideMark/>
                          </w:tcPr>
                          <w:p w14:paraId="4849775B" w14:textId="63DD34F7" w:rsidR="00545A51" w:rsidRPr="00D62618" w:rsidRDefault="00545A51" w:rsidP="00646B91">
                            <w:pPr>
                              <w:jc w:val="center"/>
                              <w:rPr>
                                <w:color w:val="000000" w:themeColor="text1"/>
                                <w:sz w:val="16"/>
                                <w:szCs w:val="16"/>
                                <w:lang w:eastAsia="it-IT"/>
                              </w:rPr>
                            </w:pPr>
                            <w:r w:rsidRPr="00D62618">
                              <w:rPr>
                                <w:color w:val="000000" w:themeColor="text1"/>
                                <w:sz w:val="16"/>
                              </w:rPr>
                              <w:t>6.16</w:t>
                            </w:r>
                          </w:p>
                        </w:tc>
                        <w:tc>
                          <w:tcPr>
                            <w:tcW w:w="539" w:type="dxa"/>
                            <w:tcBorders>
                              <w:top w:val="nil"/>
                              <w:left w:val="nil"/>
                              <w:bottom w:val="double" w:sz="4" w:space="0" w:color="auto"/>
                              <w:right w:val="nil"/>
                            </w:tcBorders>
                            <w:shd w:val="clear" w:color="auto" w:fill="auto"/>
                            <w:noWrap/>
                            <w:hideMark/>
                          </w:tcPr>
                          <w:p w14:paraId="4574B3DA" w14:textId="6B55CAAD"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double" w:sz="4" w:space="0" w:color="auto"/>
                              <w:right w:val="nil"/>
                            </w:tcBorders>
                            <w:shd w:val="clear" w:color="auto" w:fill="auto"/>
                            <w:noWrap/>
                            <w:hideMark/>
                          </w:tcPr>
                          <w:p w14:paraId="29248B36" w14:textId="0EF8D8D7" w:rsidR="00545A51" w:rsidRPr="00D62618" w:rsidRDefault="00545A51" w:rsidP="00646B91">
                            <w:pPr>
                              <w:jc w:val="center"/>
                              <w:rPr>
                                <w:color w:val="000000" w:themeColor="text1"/>
                                <w:sz w:val="16"/>
                                <w:szCs w:val="16"/>
                                <w:lang w:eastAsia="it-IT"/>
                              </w:rPr>
                            </w:pPr>
                            <w:r w:rsidRPr="00D62618">
                              <w:rPr>
                                <w:color w:val="000000" w:themeColor="text1"/>
                                <w:sz w:val="16"/>
                              </w:rPr>
                              <w:t>1.38</w:t>
                            </w:r>
                          </w:p>
                        </w:tc>
                        <w:tc>
                          <w:tcPr>
                            <w:tcW w:w="539" w:type="dxa"/>
                            <w:tcBorders>
                              <w:top w:val="nil"/>
                              <w:left w:val="nil"/>
                              <w:bottom w:val="double" w:sz="4" w:space="0" w:color="auto"/>
                              <w:right w:val="nil"/>
                            </w:tcBorders>
                            <w:shd w:val="clear" w:color="auto" w:fill="auto"/>
                            <w:noWrap/>
                            <w:hideMark/>
                          </w:tcPr>
                          <w:p w14:paraId="79FD685C" w14:textId="4586846E" w:rsidR="00545A51" w:rsidRPr="00D62618" w:rsidRDefault="00545A51" w:rsidP="00646B91">
                            <w:pPr>
                              <w:jc w:val="center"/>
                              <w:rPr>
                                <w:color w:val="000000" w:themeColor="text1"/>
                                <w:sz w:val="16"/>
                                <w:szCs w:val="16"/>
                                <w:lang w:eastAsia="it-IT"/>
                              </w:rPr>
                            </w:pPr>
                            <w:r w:rsidRPr="00D62618">
                              <w:rPr>
                                <w:color w:val="000000" w:themeColor="text1"/>
                                <w:sz w:val="16"/>
                              </w:rPr>
                              <w:t>15.98</w:t>
                            </w:r>
                          </w:p>
                        </w:tc>
                        <w:tc>
                          <w:tcPr>
                            <w:tcW w:w="539" w:type="dxa"/>
                            <w:tcBorders>
                              <w:top w:val="nil"/>
                              <w:left w:val="nil"/>
                              <w:bottom w:val="double" w:sz="4" w:space="0" w:color="auto"/>
                              <w:right w:val="nil"/>
                            </w:tcBorders>
                            <w:shd w:val="clear" w:color="auto" w:fill="auto"/>
                            <w:noWrap/>
                            <w:hideMark/>
                          </w:tcPr>
                          <w:p w14:paraId="09999826" w14:textId="3365F96B" w:rsidR="00545A51" w:rsidRPr="00D62618" w:rsidRDefault="00545A51" w:rsidP="00646B91">
                            <w:pPr>
                              <w:jc w:val="center"/>
                              <w:rPr>
                                <w:color w:val="000000" w:themeColor="text1"/>
                                <w:sz w:val="16"/>
                                <w:szCs w:val="16"/>
                                <w:lang w:eastAsia="it-IT"/>
                              </w:rPr>
                            </w:pPr>
                            <w:r w:rsidRPr="00D62618">
                              <w:rPr>
                                <w:color w:val="000000" w:themeColor="text1"/>
                                <w:sz w:val="16"/>
                              </w:rPr>
                              <w:t>0.03</w:t>
                            </w:r>
                          </w:p>
                        </w:tc>
                        <w:tc>
                          <w:tcPr>
                            <w:tcW w:w="539" w:type="dxa"/>
                            <w:tcBorders>
                              <w:top w:val="nil"/>
                              <w:left w:val="nil"/>
                              <w:bottom w:val="double" w:sz="4" w:space="0" w:color="auto"/>
                              <w:right w:val="nil"/>
                            </w:tcBorders>
                            <w:shd w:val="clear" w:color="auto" w:fill="auto"/>
                            <w:noWrap/>
                            <w:hideMark/>
                          </w:tcPr>
                          <w:p w14:paraId="646E8DB2" w14:textId="28C176AC" w:rsidR="00545A51" w:rsidRPr="00D62618" w:rsidRDefault="00545A51" w:rsidP="00646B91">
                            <w:pPr>
                              <w:jc w:val="center"/>
                              <w:rPr>
                                <w:color w:val="000000" w:themeColor="text1"/>
                                <w:sz w:val="16"/>
                                <w:szCs w:val="16"/>
                                <w:lang w:eastAsia="it-IT"/>
                              </w:rPr>
                            </w:pPr>
                            <w:r w:rsidRPr="00D62618">
                              <w:rPr>
                                <w:color w:val="000000" w:themeColor="text1"/>
                                <w:sz w:val="16"/>
                              </w:rPr>
                              <w:t>0.00</w:t>
                            </w:r>
                          </w:p>
                        </w:tc>
                        <w:tc>
                          <w:tcPr>
                            <w:tcW w:w="539" w:type="dxa"/>
                            <w:tcBorders>
                              <w:top w:val="nil"/>
                              <w:left w:val="nil"/>
                              <w:bottom w:val="double" w:sz="4" w:space="0" w:color="auto"/>
                              <w:right w:val="nil"/>
                            </w:tcBorders>
                            <w:shd w:val="clear" w:color="auto" w:fill="auto"/>
                            <w:noWrap/>
                            <w:hideMark/>
                          </w:tcPr>
                          <w:p w14:paraId="003EBFBB" w14:textId="0D5BBC13" w:rsidR="00545A51" w:rsidRPr="00D62618" w:rsidRDefault="00545A51" w:rsidP="00646B91">
                            <w:pPr>
                              <w:jc w:val="center"/>
                              <w:rPr>
                                <w:color w:val="000000" w:themeColor="text1"/>
                                <w:sz w:val="16"/>
                                <w:szCs w:val="16"/>
                                <w:lang w:eastAsia="it-IT"/>
                              </w:rPr>
                            </w:pPr>
                            <w:r w:rsidRPr="00D62618">
                              <w:rPr>
                                <w:color w:val="000000" w:themeColor="text1"/>
                                <w:sz w:val="16"/>
                              </w:rPr>
                              <w:t>14.60</w:t>
                            </w:r>
                          </w:p>
                        </w:tc>
                      </w:tr>
                    </w:tbl>
                    <w:p w14:paraId="18740211" w14:textId="5F160F88" w:rsidR="00545A51" w:rsidRPr="00B11FAE" w:rsidRDefault="00545A51" w:rsidP="00221A06">
                      <w:pPr>
                        <w:pStyle w:val="Testonotaapidipagina"/>
                      </w:pPr>
                      <w:r w:rsidRPr="00221A06">
                        <w:t>Values of Pearson’s correlation coefficient (</w:t>
                      </w:r>
                      <m:oMath>
                        <m:r>
                          <w:rPr>
                            <w:rFonts w:ascii="Cambria Math" w:hAnsi="Cambria Math"/>
                          </w:rPr>
                          <m:t>R</m:t>
                        </m:r>
                      </m:oMath>
                      <w:r w:rsidRPr="00221A06">
                        <w:t>), slope (</w:t>
                      </w:r>
                      <m:oMath>
                        <m:r>
                          <w:rPr>
                            <w:rFonts w:ascii="Cambria Math" w:hAnsi="Cambria Math"/>
                          </w:rPr>
                          <m:t>m</m:t>
                        </m:r>
                      </m:oMath>
                      <w:r w:rsidRPr="00221A06">
                        <w:t>) and intercept (</w:t>
                      </w:r>
                      <m:oMath>
                        <m:r>
                          <w:rPr>
                            <w:rFonts w:ascii="Cambria Math" w:hAnsi="Cambria Math"/>
                          </w:rPr>
                          <m:t>q</m:t>
                        </m:r>
                      </m:oMath>
                      <w:r w:rsidRPr="00221A06">
                        <w:t xml:space="preserve">) between VB and NLLS estimates for macroparameters of </w:t>
                      </w:r>
                      <w:r w:rsidRPr="00B11FAE">
                        <w:t>interest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max</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y</m:t>
                            </m:r>
                          </m:e>
                          <m:sub>
                            <m:r>
                              <w:rPr>
                                <w:rFonts w:ascii="Cambria Math" w:hAnsi="Cambria Math" w:cs="Arial"/>
                                <w:lang w:val="en-GB"/>
                              </w:rPr>
                              <m:t>max</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raise</m:t>
                            </m:r>
                          </m:sub>
                        </m:sSub>
                      </m:oMath>
                      <w:r w:rsidRPr="00B11FAE">
                        <w:rPr>
                          <w:rFonts w:ascii="Arial" w:hAnsi="Arial" w:cs="Arial"/>
                          <w:lang w:val="en-GB"/>
                        </w:rPr>
                        <w:t xml:space="preserve">, </w:t>
                      </w:r>
                      <m:oMath>
                        <m:sSub>
                          <m:sSubPr>
                            <m:ctrlPr>
                              <w:rPr>
                                <w:rFonts w:ascii="Cambria Math" w:hAnsi="Cambria Math" w:cs="Arial"/>
                                <w:i/>
                                <w:lang w:val="en-GB"/>
                              </w:rPr>
                            </m:ctrlPr>
                          </m:sSubPr>
                          <m:e>
                            <m:r>
                              <w:rPr>
                                <w:rFonts w:ascii="Cambria Math" w:hAnsi="Cambria Math" w:cs="Arial"/>
                                <w:lang w:val="en-GB"/>
                              </w:rPr>
                              <m:t>t</m:t>
                            </m:r>
                          </m:e>
                          <m:sub>
                            <m:r>
                              <w:rPr>
                                <w:rFonts w:ascii="Cambria Math" w:hAnsi="Cambria Math" w:cs="Arial"/>
                                <w:lang w:val="en-GB"/>
                              </w:rPr>
                              <m:t>wash</m:t>
                            </m:r>
                          </m:sub>
                        </m:sSub>
                      </m:oMath>
                      <w:r w:rsidRPr="00B11FAE">
                        <w:rPr>
                          <w:rFonts w:ascii="Arial" w:hAnsi="Arial" w:cs="Arial"/>
                          <w:lang w:val="en-GB"/>
                        </w:rPr>
                        <w:t xml:space="preserve">, </w:t>
                      </w:r>
                      <m:oMath>
                        <m:r>
                          <w:rPr>
                            <w:rFonts w:ascii="Cambria Math" w:hAnsi="Cambria Math" w:cs="Arial"/>
                            <w:lang w:val="en-GB"/>
                          </w:rPr>
                          <m:t>MTT</m:t>
                        </m:r>
                      </m:oMath>
                      <w:r w:rsidRPr="00B11FAE">
                        <w:rPr>
                          <w:rFonts w:ascii="Arial" w:eastAsiaTheme="minorEastAsia" w:hAnsi="Arial" w:cs="Arial"/>
                          <w:lang w:val="en-GB"/>
                        </w:rPr>
                        <w:t>,</w:t>
                      </w:r>
                      <w:r w:rsidRPr="00B11FAE">
                        <w:rPr>
                          <w:rFonts w:ascii="Arial" w:hAnsi="Arial" w:cs="Arial"/>
                          <w:lang w:val="en-GB"/>
                        </w:rPr>
                        <w:t xml:space="preserve"> </w:t>
                      </w:r>
                      <m:oMath>
                        <m:r>
                          <w:rPr>
                            <w:rFonts w:ascii="Cambria Math" w:hAnsi="Cambria Math" w:cs="Arial"/>
                            <w:lang w:val="en-GB"/>
                          </w:rPr>
                          <m:t>BFI</m:t>
                        </m:r>
                      </m:oMath>
                      <w:r w:rsidRPr="00B11FAE">
                        <w:rPr>
                          <w:rFonts w:ascii="Arial" w:hAnsi="Arial" w:cs="Arial"/>
                          <w:lang w:val="en-GB"/>
                        </w:rPr>
                        <w:t xml:space="preserve"> and </w:t>
                      </w:r>
                      <m:oMath>
                        <m:r>
                          <w:rPr>
                            <w:rFonts w:ascii="Cambria Math" w:hAnsi="Cambria Math" w:cs="Arial"/>
                            <w:lang w:val="en-GB"/>
                          </w:rPr>
                          <m:t>BVI</m:t>
                        </m:r>
                      </m:oMath>
                      <w:r w:rsidRPr="00B11FAE">
                        <w:t>).</w:t>
                      </w:r>
                    </w:p>
                  </w:txbxContent>
                </v:textbox>
                <w10:wrap type="square" anchorx="margin" anchory="margin"/>
              </v:shape>
            </w:pict>
          </mc:Fallback>
        </mc:AlternateContent>
      </w:r>
      <w:r w:rsidR="00F05629" w:rsidRPr="00975079">
        <w:t>For both Gamma</w:t>
      </w:r>
      <w:r w:rsidR="00350E78" w:rsidRPr="00975079">
        <w:t>-variate</w:t>
      </w:r>
      <w:r w:rsidR="00F05629" w:rsidRPr="00975079">
        <w:t xml:space="preserve"> and SCR model is possible to determine a set of 7 macroparameters of interest, </w:t>
      </w:r>
      <w:r w:rsidR="00D96EF8" w:rsidRPr="00975079">
        <w:t xml:space="preserve">namely the </w:t>
      </w:r>
      <w:r w:rsidR="00D96EF8" w:rsidRPr="00975079">
        <w:rPr>
          <w:lang w:val="en-GB"/>
        </w:rPr>
        <w:t xml:space="preserve">peak value </w:t>
      </w:r>
      <m:oMath>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max</m:t>
            </m:r>
          </m:sub>
        </m:sSub>
      </m:oMath>
      <w:r w:rsidR="00D96EF8" w:rsidRPr="00975079">
        <w:rPr>
          <w:lang w:val="en-GB"/>
        </w:rPr>
        <w:t>, the time of peak</w:t>
      </w:r>
      <w:r w:rsidR="00D96EF8" w:rsidRPr="00975079">
        <w:rPr>
          <w:rFonts w:eastAsiaTheme="minorEastAsia"/>
          <w:lang w:val="en-GB"/>
        </w:rPr>
        <w:t xml:space="preserv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max</m:t>
            </m:r>
          </m:sub>
        </m:sSub>
      </m:oMath>
      <w:r w:rsidR="00D96EF8" w:rsidRPr="00975079">
        <w:rPr>
          <w:lang w:val="en-GB"/>
        </w:rPr>
        <w:t xml:space="preserve">, the raise time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raise</m:t>
            </m:r>
          </m:sub>
        </m:sSub>
      </m:oMath>
      <w:r w:rsidR="00D96EF8" w:rsidRPr="00975079">
        <w:rPr>
          <w:lang w:val="en-GB"/>
        </w:rPr>
        <w:t xml:space="preserve"> and the washout time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oMath>
      <w:r w:rsidR="00D96EF8" w:rsidRPr="00975079">
        <w:rPr>
          <w:lang w:val="en-GB"/>
        </w:rPr>
        <w:t xml:space="preserve">, the mean transit time </w:t>
      </w:r>
      <m:oMath>
        <m:r>
          <w:rPr>
            <w:rFonts w:ascii="Cambria Math" w:hAnsi="Cambria Math"/>
            <w:lang w:val="en-GB"/>
          </w:rPr>
          <m:t>MTT</m:t>
        </m:r>
      </m:oMath>
      <w:r w:rsidR="00D96EF8" w:rsidRPr="00975079">
        <w:rPr>
          <w:rFonts w:eastAsiaTheme="minorEastAsia"/>
          <w:lang w:val="en-GB"/>
        </w:rPr>
        <w:t xml:space="preserve">, the </w:t>
      </w:r>
      <w:r w:rsidR="00D96EF8" w:rsidRPr="00975079">
        <w:rPr>
          <w:lang w:val="en-GB"/>
        </w:rPr>
        <w:t xml:space="preserve">blood flow index </w:t>
      </w:r>
      <m:oMath>
        <m:r>
          <w:rPr>
            <w:rFonts w:ascii="Cambria Math" w:hAnsi="Cambria Math"/>
            <w:lang w:val="en-GB"/>
          </w:rPr>
          <m:t>BFI</m:t>
        </m:r>
      </m:oMath>
      <w:r w:rsidR="00D96EF8" w:rsidRPr="00975079">
        <w:rPr>
          <w:lang w:val="en-GB"/>
        </w:rPr>
        <w:t xml:space="preserve"> and the blood volume index </w:t>
      </w:r>
      <m:oMath>
        <m:r>
          <w:rPr>
            <w:rFonts w:ascii="Cambria Math" w:hAnsi="Cambria Math"/>
            <w:lang w:val="en-GB"/>
          </w:rPr>
          <m:t>BVI</m:t>
        </m:r>
      </m:oMath>
      <w:r w:rsidR="00D96EF8" w:rsidRPr="00975079">
        <w:rPr>
          <w:rFonts w:eastAsiaTheme="minorEastAsia"/>
          <w:lang w:val="en-GB"/>
        </w:rPr>
        <w:t>.</w:t>
      </w:r>
      <w:r w:rsidR="00B107DE" w:rsidRPr="00975079">
        <w:rPr>
          <w:rFonts w:eastAsiaTheme="minorEastAsia"/>
          <w:lang w:val="en-GB"/>
        </w:rPr>
        <w:t xml:space="preserve"> </w:t>
      </w:r>
      <w:r w:rsidR="00F05629" w:rsidRPr="00975079">
        <w:t>We report here the equations for the ca</w:t>
      </w:r>
      <w:r w:rsidR="00D96EF8" w:rsidRPr="00975079">
        <w:t xml:space="preserve">lculation of these parameters. </w:t>
      </w:r>
      <w:r w:rsidR="00F05629" w:rsidRPr="00975079">
        <w:tab/>
      </w:r>
    </w:p>
    <w:p w14:paraId="74A2E7C1" w14:textId="1E0792DF" w:rsidR="00D96EF8" w:rsidRPr="00975079" w:rsidRDefault="00A44CC0" w:rsidP="00D96EF8">
      <w:pPr>
        <w:pStyle w:val="Equation"/>
      </w:pP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max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oMath>
      <w:r w:rsidR="00D96EF8" w:rsidRPr="00975079">
        <w:tab/>
        <w:t>(A.1)</w:t>
      </w:r>
    </w:p>
    <w:p w14:paraId="428BA14A" w14:textId="77C5F680" w:rsidR="00D96EF8" w:rsidRPr="00975079" w:rsidRDefault="00A44CC0" w:rsidP="00D96EF8">
      <w:pPr>
        <w:pStyle w:val="Equation"/>
      </w:pPr>
      <m:oMath>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max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oMath>
      <w:r w:rsidR="00D96EF8" w:rsidRPr="00975079">
        <w:tab/>
        <w:t>(A.2)</w:t>
      </w:r>
    </w:p>
    <w:p w14:paraId="6870E141" w14:textId="4C684C04" w:rsidR="00F05629" w:rsidRPr="00975079" w:rsidRDefault="00F05629" w:rsidP="0079732D">
      <w:pPr>
        <w:jc w:val="both"/>
      </w:pPr>
      <w:r w:rsidRPr="00975079">
        <w:t xml:space="preserve">since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0</m:t>
            </m:r>
          </m:sub>
        </m:sSub>
      </m:oMath>
      <w:r w:rsidRPr="00975079">
        <w:t xml:space="preserve"> has been normalized by the value of peak.</w:t>
      </w:r>
    </w:p>
    <w:p w14:paraId="288DF3D2" w14:textId="3E57E040" w:rsidR="00D96EF8" w:rsidRPr="00975079" w:rsidRDefault="00F05629" w:rsidP="0079732D">
      <w:pPr>
        <w:jc w:val="both"/>
      </w:pPr>
      <w:r w:rsidRPr="00975079">
        <w:t xml:space="preserve">The parameter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raise</m:t>
            </m:r>
          </m:sub>
        </m:sSub>
      </m:oMath>
      <w:r w:rsidR="00D96EF8" w:rsidRPr="00975079">
        <w:rPr>
          <w:lang w:val="en-GB"/>
        </w:rPr>
        <w:t xml:space="preserve"> </w:t>
      </w:r>
      <w:r w:rsidRPr="00975079">
        <w:t xml:space="preserve">and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oMath>
      <w:r w:rsidRPr="00975079">
        <w:t xml:space="preserve"> cannot be calculated in closed form, since often there is</w:t>
      </w:r>
      <w:bookmarkStart w:id="2" w:name="OLE_LINK26"/>
      <w:bookmarkStart w:id="3" w:name="OLE_LINK27"/>
      <w:bookmarkStart w:id="4" w:name="OLE_LINK28"/>
      <w:bookmarkStart w:id="5" w:name="OLE_LINK29"/>
      <w:r w:rsidR="00D96EF8" w:rsidRPr="00975079">
        <w:t xml:space="preserve"> no washout in the </w:t>
      </w:r>
      <w:r w:rsidR="00350E78" w:rsidRPr="00975079">
        <w:t>Gamma-variate</w:t>
      </w:r>
      <w:r w:rsidR="00D96EF8" w:rsidRPr="00975079">
        <w:t xml:space="preserve"> model:</w:t>
      </w:r>
    </w:p>
    <w:p w14:paraId="2FF3C7AE" w14:textId="7514AB30" w:rsidR="00D96EF8" w:rsidRPr="00975079" w:rsidRDefault="00A44CC0" w:rsidP="00D96EF8">
      <w:pPr>
        <w:pStyle w:val="Equation"/>
      </w:pP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raise</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w:bookmarkStart w:id="6" w:name="OLE_LINK14"/>
        <w:bookmarkStart w:id="7" w:name="OLE_LINK15"/>
        <w:bookmarkStart w:id="8" w:name="OLE_LINK16"/>
        <m:r>
          <w:rPr>
            <w:rFonts w:ascii="Cambria Math" w:hAnsi="Cambria Math"/>
            <w:lang w:val="en-GB"/>
          </w:rPr>
          <m:t>∙</m:t>
        </m:r>
        <w:bookmarkEnd w:id="6"/>
        <w:bookmarkEnd w:id="7"/>
        <w:bookmarkEnd w:id="8"/>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∙L</m:t>
        </m:r>
        <m:d>
          <m:dPr>
            <m:ctrlPr>
              <w:rPr>
                <w:rFonts w:ascii="Cambria Math" w:hAnsi="Cambria Math"/>
                <w:i/>
                <w:lang w:val="en-GB"/>
              </w:rPr>
            </m:ctrlPr>
          </m:dPr>
          <m:e>
            <m:r>
              <w:rPr>
                <w:rFonts w:ascii="Cambria Math" w:hAnsi="Cambria Math"/>
                <w:lang w:val="en-GB"/>
              </w:rPr>
              <m:t>0,-</m:t>
            </m:r>
            <m:f>
              <m:fPr>
                <m:type m:val="lin"/>
                <m:ctrlPr>
                  <w:rPr>
                    <w:rFonts w:ascii="Cambria Math" w:hAnsi="Cambria Math"/>
                    <w:i/>
                    <w:lang w:val="en-GB"/>
                  </w:rPr>
                </m:ctrlPr>
              </m:fPr>
              <m:num>
                <m:r>
                  <w:rPr>
                    <w:rFonts w:ascii="Cambria Math" w:hAnsi="Cambria Math"/>
                    <w:lang w:val="en-GB"/>
                  </w:rPr>
                  <m:t>1</m:t>
                </m:r>
              </m:num>
              <m:den>
                <m:r>
                  <w:rPr>
                    <w:rFonts w:ascii="Cambria Math" w:hAnsi="Cambria Math"/>
                    <w:lang w:val="en-GB"/>
                  </w:rPr>
                  <m:t>(2</m:t>
                </m:r>
                <m:func>
                  <m:funcPr>
                    <m:ctrlPr>
                      <w:rPr>
                        <w:rFonts w:ascii="Cambria Math" w:hAnsi="Cambria Math"/>
                        <w:lang w:val="en-GB"/>
                      </w:rPr>
                    </m:ctrlPr>
                  </m:funcPr>
                  <m:fName>
                    <m:r>
                      <m:rPr>
                        <m:sty m:val="p"/>
                      </m:rPr>
                      <w:rPr>
                        <w:rFonts w:ascii="Cambria Math" w:hAnsi="Cambria Math"/>
                        <w:lang w:val="en-GB"/>
                      </w:rPr>
                      <m:t>exp</m:t>
                    </m:r>
                    <m:ctrlPr>
                      <w:rPr>
                        <w:rFonts w:ascii="Cambria Math" w:hAnsi="Cambria Math"/>
                        <w:i/>
                        <w:lang w:val="en-GB"/>
                      </w:rPr>
                    </m:ctrlPr>
                  </m:fName>
                  <m:e>
                    <m:d>
                      <m:dPr>
                        <m:ctrlPr>
                          <w:rPr>
                            <w:rFonts w:ascii="Cambria Math" w:hAnsi="Cambria Math"/>
                            <w:i/>
                            <w:lang w:val="en-GB"/>
                          </w:rPr>
                        </m:ctrlPr>
                      </m:dPr>
                      <m:e>
                        <m:r>
                          <w:rPr>
                            <w:rFonts w:ascii="Cambria Math" w:hAnsi="Cambria Math"/>
                            <w:lang w:val="en-GB"/>
                          </w:rPr>
                          <m:t>1</m:t>
                        </m:r>
                      </m:e>
                    </m:d>
                  </m:e>
                </m:func>
                <m:r>
                  <w:rPr>
                    <w:rFonts w:ascii="Cambria Math" w:hAnsi="Cambria Math"/>
                    <w:lang w:val="en-GB"/>
                  </w:rPr>
                  <m:t>)</m:t>
                </m:r>
              </m:den>
            </m:f>
          </m:e>
        </m:d>
      </m:oMath>
      <w:r w:rsidR="00D96EF8" w:rsidRPr="00975079">
        <w:tab/>
        <w:t>(A.3)</w:t>
      </w:r>
    </w:p>
    <w:p w14:paraId="36402312" w14:textId="48965890" w:rsidR="00D96EF8" w:rsidRPr="00975079" w:rsidRDefault="00A44CC0" w:rsidP="00D96EF8">
      <w:pPr>
        <w:pStyle w:val="Equation"/>
      </w:pP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r>
          <w:rPr>
            <w:rFonts w:ascii="Cambria Math" w:hAnsi="Cambria Math"/>
            <w:lang w:val="en-GB"/>
          </w:rPr>
          <m:t>=-</m:t>
        </m:r>
        <w:bookmarkStart w:id="9" w:name="OLE_LINK32"/>
        <w:bookmarkStart w:id="10" w:name="OLE_LINK33"/>
        <w:bookmarkStart w:id="11" w:name="OLE_LINK34"/>
        <w:bookmarkStart w:id="12" w:name="OLE_LINK35"/>
        <w:bookmarkStart w:id="13" w:name="OLE_LINK36"/>
        <w:bookmarkStart w:id="14" w:name="OLE_LINK37"/>
        <w:bookmarkStart w:id="15" w:name="OLE_LINK38"/>
        <w:bookmarkStart w:id="16" w:name="OLE_LINK39"/>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w:bookmarkEnd w:id="9"/>
        <w:bookmarkEnd w:id="10"/>
        <w:bookmarkEnd w:id="11"/>
        <w:bookmarkEnd w:id="12"/>
        <w:bookmarkEnd w:id="13"/>
        <w:bookmarkEnd w:id="14"/>
        <w:bookmarkEnd w:id="15"/>
        <w:bookmarkEnd w:id="16"/>
        <m:r>
          <w:rPr>
            <w:rFonts w:ascii="Cambria Math" w:hAnsi="Cambria Math"/>
            <w:lang w:val="en-GB"/>
          </w:rPr>
          <m:t>∙L</m:t>
        </m:r>
        <m:d>
          <m:dPr>
            <m:ctrlPr>
              <w:rPr>
                <w:rFonts w:ascii="Cambria Math" w:hAnsi="Cambria Math"/>
                <w:i/>
                <w:lang w:val="en-GB"/>
              </w:rPr>
            </m:ctrlPr>
          </m:dPr>
          <m:e>
            <m:r>
              <w:rPr>
                <w:rFonts w:ascii="Cambria Math" w:hAnsi="Cambria Math"/>
                <w:lang w:val="en-GB"/>
              </w:rPr>
              <m:t>-1,-</m:t>
            </m:r>
            <m:f>
              <m:fPr>
                <m:type m:val="lin"/>
                <m:ctrlPr>
                  <w:rPr>
                    <w:rFonts w:ascii="Cambria Math" w:hAnsi="Cambria Math"/>
                    <w:i/>
                    <w:lang w:val="en-GB"/>
                  </w:rPr>
                </m:ctrlPr>
              </m:fPr>
              <m:num>
                <m:r>
                  <w:rPr>
                    <w:rFonts w:ascii="Cambria Math" w:hAnsi="Cambria Math"/>
                    <w:lang w:val="en-GB"/>
                  </w:rPr>
                  <m:t>1</m:t>
                </m:r>
              </m:num>
              <m:den>
                <m:r>
                  <w:rPr>
                    <w:rFonts w:ascii="Cambria Math" w:hAnsi="Cambria Math"/>
                    <w:lang w:val="en-GB"/>
                  </w:rPr>
                  <m:t>(2</m:t>
                </m:r>
                <m:func>
                  <m:funcPr>
                    <m:ctrlPr>
                      <w:rPr>
                        <w:rFonts w:ascii="Cambria Math" w:hAnsi="Cambria Math"/>
                        <w:lang w:val="en-GB"/>
                      </w:rPr>
                    </m:ctrlPr>
                  </m:funcPr>
                  <m:fName>
                    <m:r>
                      <m:rPr>
                        <m:sty m:val="p"/>
                      </m:rPr>
                      <w:rPr>
                        <w:rFonts w:ascii="Cambria Math" w:hAnsi="Cambria Math"/>
                        <w:lang w:val="en-GB"/>
                      </w:rPr>
                      <m:t>exp</m:t>
                    </m:r>
                    <m:ctrlPr>
                      <w:rPr>
                        <w:rFonts w:ascii="Cambria Math" w:hAnsi="Cambria Math"/>
                        <w:i/>
                        <w:lang w:val="en-GB"/>
                      </w:rPr>
                    </m:ctrlPr>
                  </m:fName>
                  <m:e>
                    <m:d>
                      <m:dPr>
                        <m:ctrlPr>
                          <w:rPr>
                            <w:rFonts w:ascii="Cambria Math" w:hAnsi="Cambria Math"/>
                            <w:i/>
                            <w:lang w:val="en-GB"/>
                          </w:rPr>
                        </m:ctrlPr>
                      </m:dPr>
                      <m:e>
                        <m:r>
                          <w:rPr>
                            <w:rFonts w:ascii="Cambria Math" w:hAnsi="Cambria Math"/>
                            <w:lang w:val="en-GB"/>
                          </w:rPr>
                          <m:t>1</m:t>
                        </m:r>
                      </m:e>
                    </m:d>
                  </m:e>
                </m:func>
                <m:r>
                  <w:rPr>
                    <w:rFonts w:ascii="Cambria Math" w:hAnsi="Cambria Math"/>
                    <w:lang w:val="en-GB"/>
                  </w:rPr>
                  <m:t>)</m:t>
                </m:r>
              </m:den>
            </m:f>
          </m:e>
        </m:d>
      </m:oMath>
      <w:r w:rsidR="00D96EF8" w:rsidRPr="00975079">
        <w:tab/>
        <w:t>(A.4)</w:t>
      </w:r>
    </w:p>
    <w:bookmarkEnd w:id="2"/>
    <w:bookmarkEnd w:id="3"/>
    <w:bookmarkEnd w:id="4"/>
    <w:bookmarkEnd w:id="5"/>
    <w:p w14:paraId="4FB80FD8" w14:textId="38C2A6E8" w:rsidR="00D96EF8" w:rsidRPr="00975079" w:rsidRDefault="00D96EF8" w:rsidP="0079732D">
      <w:pPr>
        <w:jc w:val="both"/>
      </w:pPr>
      <w:r w:rsidRPr="00975079">
        <w:t>w</w:t>
      </w:r>
      <w:r w:rsidR="00F05629" w:rsidRPr="00975079">
        <w:t xml:space="preserve">here </w:t>
      </w:r>
      <m:oMath>
        <m:r>
          <w:rPr>
            <w:rFonts w:ascii="Cambria Math" w:hAnsi="Cambria Math"/>
          </w:rPr>
          <m:t>L</m:t>
        </m:r>
      </m:oMath>
      <w:r w:rsidR="00F05629" w:rsidRPr="00975079">
        <w:t xml:space="preserve"> is the Lambert W function.</w:t>
      </w:r>
      <w:r w:rsidR="0068470B" w:rsidRPr="00975079">
        <w:t xml:space="preserve"> </w:t>
      </w:r>
    </w:p>
    <w:p w14:paraId="508A2948" w14:textId="7FF6633A" w:rsidR="00D96EF8" w:rsidRPr="00975079" w:rsidRDefault="00D96EF8" w:rsidP="00D96EF8">
      <w:pPr>
        <w:pStyle w:val="Equation"/>
      </w:pPr>
      <m:oMath>
        <m:r>
          <w:rPr>
            <w:rFonts w:ascii="Cambria Math" w:hAnsi="Cambria Math"/>
            <w:lang w:val="en-GB"/>
          </w:rPr>
          <m:t>MTT=</m:t>
        </m:r>
        <w:bookmarkStart w:id="17" w:name="OLE_LINK21"/>
        <w:bookmarkStart w:id="18" w:name="OLE_LINK22"/>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wash</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t</m:t>
            </m:r>
          </m:e>
          <m:sub>
            <w:bookmarkStart w:id="19" w:name="OLE_LINK19"/>
            <w:bookmarkStart w:id="20" w:name="OLE_LINK20"/>
            <m:r>
              <w:rPr>
                <w:rFonts w:ascii="Cambria Math" w:hAnsi="Cambria Math"/>
                <w:lang w:val="en-GB"/>
              </w:rPr>
              <m:t>raise</m:t>
            </m:r>
            <w:bookmarkEnd w:id="19"/>
            <w:bookmarkEnd w:id="20"/>
          </m:sub>
        </m:sSub>
      </m:oMath>
      <w:bookmarkEnd w:id="17"/>
      <w:bookmarkEnd w:id="18"/>
      <w:r w:rsidRPr="00975079">
        <w:tab/>
        <w:t>(A.5)</w:t>
      </w:r>
    </w:p>
    <w:p w14:paraId="5F5E9415" w14:textId="6BB979FE" w:rsidR="00D96EF8" w:rsidRPr="00975079" w:rsidRDefault="00D96EF8" w:rsidP="00D96EF8">
      <w:pPr>
        <w:pStyle w:val="Equation"/>
      </w:pPr>
      <m:oMath>
        <m:r>
          <w:rPr>
            <w:rFonts w:ascii="Cambria Math" w:hAnsi="Cambria Math"/>
            <w:lang w:val="en-GB"/>
          </w:rPr>
          <m:t>BVI=AUC</m:t>
        </m:r>
      </m:oMath>
      <w:r w:rsidRPr="00975079">
        <w:tab/>
        <w:t>(A.6)</w:t>
      </w:r>
    </w:p>
    <w:p w14:paraId="619F147A" w14:textId="515DEF8F" w:rsidR="00D96EF8" w:rsidRPr="00975079" w:rsidRDefault="00D96EF8" w:rsidP="00D96EF8">
      <w:pPr>
        <w:pStyle w:val="Equation"/>
      </w:pPr>
      <m:oMath>
        <m:r>
          <w:rPr>
            <w:rFonts w:ascii="Cambria Math" w:hAnsi="Cambria Math"/>
            <w:lang w:val="en-GB"/>
          </w:rPr>
          <m:t xml:space="preserve">BFI= </m:t>
        </m:r>
        <m:f>
          <m:fPr>
            <m:type m:val="lin"/>
            <m:ctrlPr>
              <w:rPr>
                <w:rFonts w:ascii="Cambria Math" w:hAnsi="Cambria Math"/>
                <w:i/>
                <w:lang w:val="en-GB"/>
              </w:rPr>
            </m:ctrlPr>
          </m:fPr>
          <m:num>
            <m:r>
              <w:rPr>
                <w:rFonts w:ascii="Cambria Math" w:hAnsi="Cambria Math"/>
                <w:lang w:val="en-GB"/>
              </w:rPr>
              <m:t>BVI</m:t>
            </m:r>
          </m:num>
          <m:den>
            <m:r>
              <w:rPr>
                <w:rFonts w:ascii="Cambria Math" w:hAnsi="Cambria Math"/>
                <w:lang w:val="en-GB"/>
              </w:rPr>
              <m:t>MTT</m:t>
            </m:r>
          </m:den>
        </m:f>
      </m:oMath>
      <w:r w:rsidRPr="00975079">
        <w:tab/>
        <w:t>(A.7)</w:t>
      </w:r>
    </w:p>
    <w:p w14:paraId="0CE72BCC" w14:textId="1341208E" w:rsidR="00074EAA" w:rsidRPr="00975079" w:rsidRDefault="00074EAA" w:rsidP="0079732D">
      <w:pPr>
        <w:jc w:val="both"/>
      </w:pPr>
    </w:p>
    <w:p w14:paraId="312C27D1" w14:textId="1D003349" w:rsidR="00992B19" w:rsidRPr="00975079" w:rsidRDefault="00F05629" w:rsidP="0079732D">
      <w:pPr>
        <w:jc w:val="both"/>
      </w:pPr>
      <w:r w:rsidRPr="00975079">
        <w:t>Interestingly, the formulas for the calculation of the macroparameters for SCR</w:t>
      </w:r>
      <w:r w:rsidR="0006074E" w:rsidRPr="00975079">
        <w:t xml:space="preserve"> model do not change, since these </w:t>
      </w:r>
      <w:r w:rsidRPr="00975079">
        <w:t>are calculated on the Gamma-variate course and the trapping component is excluded from their calculation.</w:t>
      </w:r>
    </w:p>
    <w:p w14:paraId="2BBC42D3" w14:textId="607CC4CC" w:rsidR="002909D6" w:rsidRPr="00975079" w:rsidRDefault="002909D6" w:rsidP="0079732D">
      <w:pPr>
        <w:jc w:val="both"/>
      </w:pPr>
    </w:p>
    <w:p w14:paraId="1BD5273D" w14:textId="77777777" w:rsidR="002909D6" w:rsidRPr="00975079" w:rsidRDefault="002909D6" w:rsidP="002909D6">
      <w:pPr>
        <w:pStyle w:val="Style1"/>
        <w:jc w:val="both"/>
      </w:pPr>
      <w:r w:rsidRPr="00975079">
        <w:t>Acknowledgment</w:t>
      </w:r>
    </w:p>
    <w:p w14:paraId="2D96A7D1" w14:textId="4E2BDD7F" w:rsidR="002909D6" w:rsidRPr="00975079" w:rsidRDefault="002909D6" w:rsidP="0079732D">
      <w:pPr>
        <w:jc w:val="both"/>
      </w:pPr>
      <w:r w:rsidRPr="00975079">
        <w:t>The work has been partially supported by University of Padova intramural research project BIRD160889/16.</w:t>
      </w:r>
    </w:p>
    <w:p w14:paraId="03DD2B48" w14:textId="77777777" w:rsidR="002909D6" w:rsidRPr="00975079" w:rsidRDefault="002909D6" w:rsidP="0079732D">
      <w:pPr>
        <w:jc w:val="both"/>
      </w:pPr>
    </w:p>
    <w:p w14:paraId="20716BEF" w14:textId="15E9B6F2" w:rsidR="00E97402" w:rsidRPr="00975079" w:rsidRDefault="00E97402" w:rsidP="0079732D">
      <w:pPr>
        <w:pStyle w:val="ReferenceHead"/>
        <w:jc w:val="both"/>
        <w:rPr>
          <w:lang w:val="it-IT"/>
        </w:rPr>
      </w:pPr>
      <w:r w:rsidRPr="00975079">
        <w:rPr>
          <w:lang w:val="it-IT"/>
        </w:rPr>
        <w:t>References</w:t>
      </w:r>
    </w:p>
    <w:p w14:paraId="0B96C088" w14:textId="18F6F3B9" w:rsidR="00E93668" w:rsidRPr="00975079" w:rsidRDefault="0068470B" w:rsidP="00E552DC">
      <w:pPr>
        <w:widowControl w:val="0"/>
        <w:autoSpaceDE w:val="0"/>
        <w:autoSpaceDN w:val="0"/>
        <w:adjustRightInd w:val="0"/>
        <w:ind w:left="284" w:hanging="284"/>
        <w:rPr>
          <w:noProof/>
          <w:sz w:val="16"/>
          <w:szCs w:val="24"/>
        </w:rPr>
      </w:pPr>
      <w:r w:rsidRPr="00975079">
        <w:rPr>
          <w:b/>
          <w:bCs/>
          <w:lang w:val="it-IT"/>
        </w:rPr>
        <w:t xml:space="preserve"> </w:t>
      </w:r>
      <w:r w:rsidR="0079732D" w:rsidRPr="00975079">
        <w:rPr>
          <w:b/>
          <w:bCs/>
        </w:rPr>
        <w:fldChar w:fldCharType="begin" w:fldLock="1"/>
      </w:r>
      <w:r w:rsidR="0079732D" w:rsidRPr="00975079">
        <w:rPr>
          <w:b/>
          <w:bCs/>
          <w:lang w:val="it-IT"/>
        </w:rPr>
        <w:instrText xml:space="preserve">ADDIN Mendeley Bibliography CSL_BIBLIOGRAPHY </w:instrText>
      </w:r>
      <w:r w:rsidR="0079732D" w:rsidRPr="00975079">
        <w:rPr>
          <w:b/>
          <w:bCs/>
        </w:rPr>
        <w:fldChar w:fldCharType="separate"/>
      </w:r>
      <w:r w:rsidR="00E93668" w:rsidRPr="00975079">
        <w:rPr>
          <w:noProof/>
          <w:sz w:val="16"/>
          <w:szCs w:val="24"/>
          <w:lang w:val="it-IT"/>
        </w:rPr>
        <w:t xml:space="preserve">1. </w:t>
      </w:r>
      <w:r w:rsidR="00E93668" w:rsidRPr="00975079">
        <w:rPr>
          <w:noProof/>
          <w:sz w:val="16"/>
          <w:szCs w:val="24"/>
          <w:lang w:val="it-IT"/>
        </w:rPr>
        <w:tab/>
        <w:t xml:space="preserve">Klauser A, Demharter J, De Marchi A, Sureda D, Barile A, Masciocchi C, et al. </w:t>
      </w:r>
      <w:r w:rsidR="00E93668" w:rsidRPr="00975079">
        <w:rPr>
          <w:noProof/>
          <w:sz w:val="16"/>
          <w:szCs w:val="24"/>
        </w:rPr>
        <w:t>Contrast enhanced gray-scale sonography in assessment of joint vascularity in rheumatoid arthritis: results from the IACUS study grou</w:t>
      </w:r>
      <w:r w:rsidR="00E552DC" w:rsidRPr="00975079">
        <w:rPr>
          <w:noProof/>
          <w:sz w:val="16"/>
          <w:szCs w:val="24"/>
        </w:rPr>
        <w:t>p. Eur Radiol</w:t>
      </w:r>
      <w:r w:rsidR="00E93668" w:rsidRPr="00975079">
        <w:rPr>
          <w:noProof/>
          <w:sz w:val="16"/>
          <w:szCs w:val="24"/>
        </w:rPr>
        <w:t xml:space="preserve">; 2005;15(12):2404–10. </w:t>
      </w:r>
    </w:p>
    <w:p w14:paraId="3164DFF9" w14:textId="18F6533D"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 </w:t>
      </w:r>
      <w:r w:rsidRPr="00975079">
        <w:rPr>
          <w:noProof/>
          <w:sz w:val="16"/>
          <w:szCs w:val="24"/>
        </w:rPr>
        <w:tab/>
        <w:t xml:space="preserve">Song IH, Althoff CE, Hermann KG, Scheel AK, Knetsch T, Schoenharting M, et al. Knee osteoarthritis. Efficacy of a new method of contrast-enhanced musculoskeletal ultrasonography in detection of synovitis in patients with knee osteoarthritis in comparison with magnetic resonance imaging. Ann Rheum Dis. 2008;67(1):19–25. </w:t>
      </w:r>
    </w:p>
    <w:p w14:paraId="05F120A3" w14:textId="77777777" w:rsidR="00E93668" w:rsidRPr="00975079" w:rsidRDefault="00E93668" w:rsidP="00E552DC">
      <w:pPr>
        <w:widowControl w:val="0"/>
        <w:autoSpaceDE w:val="0"/>
        <w:autoSpaceDN w:val="0"/>
        <w:adjustRightInd w:val="0"/>
        <w:ind w:left="284" w:hanging="284"/>
        <w:rPr>
          <w:noProof/>
          <w:sz w:val="16"/>
          <w:szCs w:val="24"/>
          <w:lang w:val="it-IT"/>
        </w:rPr>
      </w:pPr>
      <w:r w:rsidRPr="00975079">
        <w:rPr>
          <w:noProof/>
          <w:sz w:val="16"/>
          <w:szCs w:val="24"/>
        </w:rPr>
        <w:t xml:space="preserve">3. </w:t>
      </w:r>
      <w:r w:rsidRPr="00975079">
        <w:rPr>
          <w:noProof/>
          <w:sz w:val="16"/>
          <w:szCs w:val="24"/>
        </w:rPr>
        <w:tab/>
        <w:t xml:space="preserve">De Zordo T, Mlekusch SP, Feuchtner GM, Mur E, Schirmer M, Klauser AS. Value of contrast-enhanced ultrasound in rheumatoid arthritis. Eur J Radiol. </w:t>
      </w:r>
      <w:r w:rsidRPr="00975079">
        <w:rPr>
          <w:noProof/>
          <w:sz w:val="16"/>
          <w:szCs w:val="24"/>
          <w:lang w:val="it-IT"/>
        </w:rPr>
        <w:t xml:space="preserve">2007;64(2):222–30. </w:t>
      </w:r>
    </w:p>
    <w:p w14:paraId="0E7DC424" w14:textId="77777777" w:rsidR="00E93668" w:rsidRPr="00975079" w:rsidRDefault="00E93668" w:rsidP="00E552DC">
      <w:pPr>
        <w:widowControl w:val="0"/>
        <w:autoSpaceDE w:val="0"/>
        <w:autoSpaceDN w:val="0"/>
        <w:adjustRightInd w:val="0"/>
        <w:ind w:left="284" w:hanging="284"/>
        <w:rPr>
          <w:noProof/>
          <w:sz w:val="16"/>
          <w:szCs w:val="24"/>
          <w:lang w:val="it-IT"/>
        </w:rPr>
      </w:pPr>
      <w:r w:rsidRPr="00975079">
        <w:rPr>
          <w:noProof/>
          <w:sz w:val="16"/>
          <w:szCs w:val="24"/>
          <w:lang w:val="it-IT"/>
        </w:rPr>
        <w:t xml:space="preserve">4. </w:t>
      </w:r>
      <w:r w:rsidRPr="00975079">
        <w:rPr>
          <w:noProof/>
          <w:sz w:val="16"/>
          <w:szCs w:val="24"/>
          <w:lang w:val="it-IT"/>
        </w:rPr>
        <w:tab/>
        <w:t xml:space="preserve">Grisan E, Rizzo G, Coran A, Raffeiner B, Stramare RS. </w:t>
      </w:r>
      <w:r w:rsidRPr="00975079">
        <w:rPr>
          <w:noProof/>
          <w:sz w:val="16"/>
          <w:szCs w:val="24"/>
        </w:rPr>
        <w:t xml:space="preserve">Quantitative ultrasound for diagnosis and assessment of rheumatoid arthritis. </w:t>
      </w:r>
      <w:r w:rsidRPr="00975079">
        <w:rPr>
          <w:noProof/>
          <w:sz w:val="16"/>
          <w:szCs w:val="24"/>
          <w:lang w:val="it-IT"/>
        </w:rPr>
        <w:t xml:space="preserve">SPIE </w:t>
      </w:r>
      <w:r w:rsidRPr="00975079">
        <w:rPr>
          <w:noProof/>
          <w:sz w:val="16"/>
          <w:szCs w:val="24"/>
          <w:lang w:val="it-IT"/>
        </w:rPr>
        <w:lastRenderedPageBreak/>
        <w:t xml:space="preserve">Newsroom. 2015 Jul 6; </w:t>
      </w:r>
    </w:p>
    <w:p w14:paraId="09DA5207"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lang w:val="it-IT"/>
        </w:rPr>
        <w:t xml:space="preserve">5. </w:t>
      </w:r>
      <w:r w:rsidRPr="00975079">
        <w:rPr>
          <w:noProof/>
          <w:sz w:val="16"/>
          <w:szCs w:val="24"/>
          <w:lang w:val="it-IT"/>
        </w:rPr>
        <w:tab/>
        <w:t xml:space="preserve">Fiocco U, Stramare R, Coran A, Grisan E, Scagliori E, Caso F, et al. </w:t>
      </w:r>
      <w:r w:rsidRPr="00975079">
        <w:rPr>
          <w:noProof/>
          <w:sz w:val="16"/>
          <w:szCs w:val="24"/>
        </w:rPr>
        <w:t xml:space="preserve">Vascular perfusion kinetics by contrast-enhanced ultrasound are related to synovial microvascularity in the joints of psoriatic arthritis. Clin Rheumatol. 2015;34(11):1903–12. </w:t>
      </w:r>
    </w:p>
    <w:p w14:paraId="17898BD2"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6. </w:t>
      </w:r>
      <w:r w:rsidRPr="00975079">
        <w:rPr>
          <w:noProof/>
          <w:sz w:val="16"/>
          <w:szCs w:val="24"/>
        </w:rPr>
        <w:tab/>
        <w:t xml:space="preserve">Diez-Roux G, Banfi S, Sultan M, Geffers L, Anand S, Rozado D, et al. A high-resolution anatomical atlas of the transcriptome in the mouse embryo. PLoS Biol. 2011;9(1):e1000582. </w:t>
      </w:r>
    </w:p>
    <w:p w14:paraId="12C5B063" w14:textId="63CA7B0F"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7. </w:t>
      </w:r>
      <w:r w:rsidRPr="00975079">
        <w:rPr>
          <w:noProof/>
          <w:sz w:val="16"/>
          <w:szCs w:val="24"/>
        </w:rPr>
        <w:tab/>
        <w:t>Mouterde G, Aegerter P, Correas J-M, Breban M, D’Agostino M-A. Value of contrast-enhanced ultrasonography for the detection and quantification of enthesitis vascularization in patients with spondyl</w:t>
      </w:r>
      <w:r w:rsidR="00E552DC" w:rsidRPr="00975079">
        <w:rPr>
          <w:noProof/>
          <w:sz w:val="16"/>
          <w:szCs w:val="24"/>
        </w:rPr>
        <w:t>oarthritis. Arthritis Care Res</w:t>
      </w:r>
      <w:r w:rsidRPr="00975079">
        <w:rPr>
          <w:noProof/>
          <w:sz w:val="16"/>
          <w:szCs w:val="24"/>
        </w:rPr>
        <w:t xml:space="preserve">. 2014;66(1):131–8. </w:t>
      </w:r>
    </w:p>
    <w:p w14:paraId="450C892D"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8. </w:t>
      </w:r>
      <w:r w:rsidRPr="00975079">
        <w:rPr>
          <w:noProof/>
          <w:sz w:val="16"/>
          <w:szCs w:val="24"/>
        </w:rPr>
        <w:tab/>
        <w:t xml:space="preserve">Rizzo G, Raffeiner B, Coran A, Ciprian L, Fiocco U, Botsios C, et al. Pixel-based approach to assess contrast-enhanced ultrasound kinetics parameters for differential diagnosis of rheumatoid arthritis. J Med Imaging. 2015;2(3):34503. </w:t>
      </w:r>
    </w:p>
    <w:p w14:paraId="0CF75A91" w14:textId="3E0B2B8A"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9. </w:t>
      </w:r>
      <w:r w:rsidRPr="00975079">
        <w:rPr>
          <w:noProof/>
          <w:sz w:val="16"/>
          <w:szCs w:val="24"/>
        </w:rPr>
        <w:tab/>
        <w:t xml:space="preserve">Strouthos C, Lampaskis M, Sboros V, McNeilly A, Averkiou M. Indicator dilution models for the quantification of microvascular blood flow with bolus administration of ultrasound contrast agents. IEEE Trans Ultrason Ferroelectr Freq Control. 2010;57(6):1296–310. </w:t>
      </w:r>
    </w:p>
    <w:p w14:paraId="085A30A4" w14:textId="65D5D32D"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10. </w:t>
      </w:r>
      <w:r w:rsidRPr="00975079">
        <w:rPr>
          <w:noProof/>
          <w:sz w:val="16"/>
          <w:szCs w:val="24"/>
        </w:rPr>
        <w:tab/>
        <w:t xml:space="preserve">Klauser AS, Franz M, Bellmann Weiler R, Gruber J, Hartig F, Mur E, et al. Contrast-Enhanced Ultrasonography for the Detection of Joint Vascularity in Arthritis – Subjective Grading Versus Computer-Aided Objective Quantification. Ultraschall Med. 2011;32(S 02):E31–7. </w:t>
      </w:r>
    </w:p>
    <w:p w14:paraId="0708AD64"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11. </w:t>
      </w:r>
      <w:r w:rsidRPr="00975079">
        <w:rPr>
          <w:noProof/>
          <w:sz w:val="16"/>
          <w:szCs w:val="24"/>
        </w:rPr>
        <w:tab/>
        <w:t xml:space="preserve">Platzgummer H, Schueller G, Grisar J, Weber M, Schueller-Weidekamm C. Quantification of synovitis in rheumatoid arthritis: do we really need quantitative measurement of contrast-enhanced ultrasound? Eur J Radiol. 2009;71(2):237–41. </w:t>
      </w:r>
    </w:p>
    <w:p w14:paraId="72F09670" w14:textId="4AF88944"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12. </w:t>
      </w:r>
      <w:r w:rsidRPr="00975079">
        <w:rPr>
          <w:noProof/>
          <w:sz w:val="16"/>
          <w:szCs w:val="24"/>
        </w:rPr>
        <w:tab/>
        <w:t>Greis C. Ultrasound contrast agents as markers of vascularity and microcirculation. C</w:t>
      </w:r>
      <w:r w:rsidR="00E552DC" w:rsidRPr="00975079">
        <w:rPr>
          <w:noProof/>
          <w:sz w:val="16"/>
          <w:szCs w:val="24"/>
        </w:rPr>
        <w:t>lin Hemorheol Microcirc</w:t>
      </w:r>
      <w:r w:rsidRPr="00975079">
        <w:rPr>
          <w:noProof/>
          <w:sz w:val="16"/>
          <w:szCs w:val="24"/>
        </w:rPr>
        <w:t xml:space="preserve">; 2009;43(1-2):1–9. </w:t>
      </w:r>
    </w:p>
    <w:p w14:paraId="12C840F9"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13. </w:t>
      </w:r>
      <w:r w:rsidRPr="00975079">
        <w:rPr>
          <w:noProof/>
          <w:sz w:val="16"/>
          <w:szCs w:val="24"/>
        </w:rPr>
        <w:tab/>
        <w:t xml:space="preserve">Fearon U, Griosios K, Fraser A, Reece R, Emery P, Jones PF, et al. Angiopoietins, growth factors, and vascular morphology in early arthritis. J Rheumatol. 2003;30(2):260–8. </w:t>
      </w:r>
    </w:p>
    <w:p w14:paraId="277154B8"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14. </w:t>
      </w:r>
      <w:r w:rsidRPr="00975079">
        <w:rPr>
          <w:noProof/>
          <w:sz w:val="16"/>
          <w:szCs w:val="24"/>
        </w:rPr>
        <w:tab/>
        <w:t xml:space="preserve">Kennedy A, Ng CT, Biniecka M, Saber T, Taylor C, O’Sullivan J, et al. Angiogenesis and blood vessel stability in inflammatory arthritis. Arthritis Rheum. 2010;62(3):711–21. </w:t>
      </w:r>
    </w:p>
    <w:p w14:paraId="41CBDC87"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15. </w:t>
      </w:r>
      <w:r w:rsidRPr="00975079">
        <w:rPr>
          <w:noProof/>
          <w:sz w:val="16"/>
          <w:szCs w:val="24"/>
        </w:rPr>
        <w:tab/>
        <w:t xml:space="preserve">Johnson G, Wetzel SG, Cha S, Babb J, Tofts PS. Measuring blood volume and vascular transfer constant from dynamic, T 2*-weighted contrast-enhanced MRI. Magn Reson Med. 2004;51(5):961–8. </w:t>
      </w:r>
    </w:p>
    <w:p w14:paraId="44D7FE09"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16. </w:t>
      </w:r>
      <w:r w:rsidRPr="00975079">
        <w:rPr>
          <w:noProof/>
          <w:sz w:val="16"/>
          <w:szCs w:val="24"/>
        </w:rPr>
        <w:tab/>
        <w:t xml:space="preserve">Patil V, Johnson G. An improved model for describing the contrast bolus in perfusion MRI. Med Phys. 2011;38(12):6380–3. </w:t>
      </w:r>
    </w:p>
    <w:p w14:paraId="2D3974B0"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17. </w:t>
      </w:r>
      <w:r w:rsidRPr="00975079">
        <w:rPr>
          <w:noProof/>
          <w:sz w:val="16"/>
          <w:szCs w:val="24"/>
        </w:rPr>
        <w:tab/>
        <w:t xml:space="preserve">Attias H. A Variational Bayesian Framework for Graphical Models. In Advances in Neural Information Processing Systems 12. 2000. p. 209–15. </w:t>
      </w:r>
    </w:p>
    <w:p w14:paraId="103E607A"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18. </w:t>
      </w:r>
      <w:r w:rsidRPr="00975079">
        <w:rPr>
          <w:noProof/>
          <w:sz w:val="16"/>
          <w:szCs w:val="24"/>
        </w:rPr>
        <w:tab/>
        <w:t xml:space="preserve">Chappell M a, Groves  a R, Whitcher B, Woolrich MW. Variational Bayesian Inference for a Nonlinear Forward Model. IEEE Trans Signal Process. 2009;57(1):223–36. </w:t>
      </w:r>
    </w:p>
    <w:p w14:paraId="4407E84F" w14:textId="0CB3B533"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19. </w:t>
      </w:r>
      <w:r w:rsidRPr="00975079">
        <w:rPr>
          <w:noProof/>
          <w:sz w:val="16"/>
          <w:szCs w:val="24"/>
        </w:rPr>
        <w:tab/>
        <w:t xml:space="preserve">Rizzo G, Turkheimer FE, Keihaninejad S, Bose SK, Hammers A, Bertoldo A. Multi-Scale hierarchical generation of PET parametric maps: Application and testing on a [11C] DPN study. Neuroimage. 2012;59(3):2485–93. </w:t>
      </w:r>
    </w:p>
    <w:p w14:paraId="7E67FD2E" w14:textId="22AEC206"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20. </w:t>
      </w:r>
      <w:r w:rsidRPr="00975079">
        <w:rPr>
          <w:noProof/>
          <w:sz w:val="16"/>
          <w:szCs w:val="24"/>
        </w:rPr>
        <w:tab/>
        <w:t xml:space="preserve">Mackay D. Probable networks and plausible predictions — a review of practical Bayesian methods for supervised neural networks. Netw Comput Neural Syst. 1995;6(3):469–505. </w:t>
      </w:r>
    </w:p>
    <w:p w14:paraId="7668CFC9"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21. </w:t>
      </w:r>
      <w:r w:rsidRPr="00975079">
        <w:rPr>
          <w:noProof/>
          <w:sz w:val="16"/>
          <w:szCs w:val="24"/>
        </w:rPr>
        <w:tab/>
        <w:t xml:space="preserve">Tipping ME. Sparse Bayesian Learning and the Relevance Vector Machine. J Mach Learn Res. 2001;1:211–45. </w:t>
      </w:r>
    </w:p>
    <w:p w14:paraId="2DF83873" w14:textId="22B856D8" w:rsidR="00E93668" w:rsidRPr="00975079" w:rsidRDefault="00E93668" w:rsidP="00E552DC">
      <w:pPr>
        <w:widowControl w:val="0"/>
        <w:autoSpaceDE w:val="0"/>
        <w:autoSpaceDN w:val="0"/>
        <w:adjustRightInd w:val="0"/>
        <w:ind w:left="284" w:hanging="284"/>
        <w:rPr>
          <w:noProof/>
          <w:sz w:val="16"/>
          <w:szCs w:val="24"/>
          <w:lang w:val="it-IT"/>
        </w:rPr>
      </w:pPr>
      <w:r w:rsidRPr="00975079">
        <w:rPr>
          <w:noProof/>
          <w:sz w:val="16"/>
          <w:szCs w:val="24"/>
        </w:rPr>
        <w:t xml:space="preserve">22. </w:t>
      </w:r>
      <w:r w:rsidRPr="00975079">
        <w:rPr>
          <w:noProof/>
          <w:sz w:val="16"/>
          <w:szCs w:val="24"/>
        </w:rPr>
        <w:tab/>
        <w:t xml:space="preserve">Ferrari M, Onuoha SC, Pitzalis C. Going with the flow: harnessing the power of the vasculature for targeted therapy in rheumatoid arthritis. </w:t>
      </w:r>
      <w:r w:rsidRPr="00975079">
        <w:rPr>
          <w:noProof/>
          <w:sz w:val="16"/>
          <w:szCs w:val="24"/>
          <w:lang w:val="it-IT"/>
        </w:rPr>
        <w:t xml:space="preserve">Drug Discov Today. 2016;21(1):172–9. </w:t>
      </w:r>
    </w:p>
    <w:p w14:paraId="269A52F2"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lang w:val="it-IT"/>
        </w:rPr>
        <w:t xml:space="preserve">23. </w:t>
      </w:r>
      <w:r w:rsidRPr="00975079">
        <w:rPr>
          <w:noProof/>
          <w:sz w:val="16"/>
          <w:szCs w:val="24"/>
          <w:lang w:val="it-IT"/>
        </w:rPr>
        <w:tab/>
        <w:t xml:space="preserve">Veronese E, Stramare R, Campion A, Raffeiner B, Beltrame V, Scagliori E, et al. </w:t>
      </w:r>
      <w:r w:rsidRPr="00975079">
        <w:rPr>
          <w:noProof/>
          <w:sz w:val="16"/>
          <w:szCs w:val="24"/>
        </w:rPr>
        <w:t xml:space="preserve">Improved detection of synovial boundaries in ultrasound examination by using a cascade of active-contours. Med Eng Phys. 2013;35(2):188–94. </w:t>
      </w:r>
    </w:p>
    <w:p w14:paraId="096CC61D" w14:textId="3668BD10"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24. </w:t>
      </w:r>
      <w:r w:rsidRPr="00975079">
        <w:rPr>
          <w:noProof/>
          <w:sz w:val="16"/>
          <w:szCs w:val="24"/>
        </w:rPr>
        <w:tab/>
        <w:t xml:space="preserve">Arditi M, Frinking PJA, Xiang Zhou, Rognin NG. A new formalism for the quantification of tissue perfusion by the destruction-replenishment method in contrast ultrasound imaging. IEEE Trans Ultrason Ferroelectr Freq Control. 2006;53(6):1118–29. </w:t>
      </w:r>
    </w:p>
    <w:p w14:paraId="2CF902DB" w14:textId="1423ACB4"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25. </w:t>
      </w:r>
      <w:r w:rsidRPr="00975079">
        <w:rPr>
          <w:noProof/>
          <w:sz w:val="16"/>
          <w:szCs w:val="24"/>
        </w:rPr>
        <w:tab/>
        <w:t xml:space="preserve">Rognin NG, Frinking P, Costa M, Arditi M. In-vivo perfusion quantification by contrast ultrasound: Validation of the use of linearized video data vs. raw RF data. </w:t>
      </w:r>
      <w:r w:rsidR="00E552DC" w:rsidRPr="00975079">
        <w:rPr>
          <w:noProof/>
          <w:sz w:val="16"/>
          <w:szCs w:val="24"/>
        </w:rPr>
        <w:t>2008 IEEE Ultrasonics Symposium</w:t>
      </w:r>
      <w:r w:rsidRPr="00975079">
        <w:rPr>
          <w:noProof/>
          <w:sz w:val="16"/>
          <w:szCs w:val="24"/>
        </w:rPr>
        <w:t xml:space="preserve">; 2008. p. 1690–3. </w:t>
      </w:r>
    </w:p>
    <w:p w14:paraId="67EF4780" w14:textId="77777777" w:rsidR="00E93668" w:rsidRPr="00975079" w:rsidRDefault="00E93668" w:rsidP="00E552DC">
      <w:pPr>
        <w:widowControl w:val="0"/>
        <w:autoSpaceDE w:val="0"/>
        <w:autoSpaceDN w:val="0"/>
        <w:adjustRightInd w:val="0"/>
        <w:ind w:left="284" w:hanging="284"/>
        <w:rPr>
          <w:noProof/>
          <w:sz w:val="16"/>
          <w:szCs w:val="24"/>
          <w:lang w:val="it-IT"/>
        </w:rPr>
      </w:pPr>
      <w:r w:rsidRPr="00975079">
        <w:rPr>
          <w:noProof/>
          <w:sz w:val="16"/>
          <w:szCs w:val="24"/>
        </w:rPr>
        <w:t xml:space="preserve">26. </w:t>
      </w:r>
      <w:r w:rsidRPr="00975079">
        <w:rPr>
          <w:noProof/>
          <w:sz w:val="16"/>
          <w:szCs w:val="24"/>
        </w:rPr>
        <w:tab/>
        <w:t xml:space="preserve">Tang M-X, Mulvana H, Gauthier T, Lim AKP, Cosgrove DO, Eckersley RJ, et al. Quantitative contrast-enhanced ultrasound imaging: a review of sources of variability. </w:t>
      </w:r>
      <w:r w:rsidRPr="00975079">
        <w:rPr>
          <w:noProof/>
          <w:sz w:val="16"/>
          <w:szCs w:val="24"/>
          <w:lang w:val="it-IT"/>
        </w:rPr>
        <w:t xml:space="preserve">Interface Focus. 2011;1(4):520–39. </w:t>
      </w:r>
    </w:p>
    <w:p w14:paraId="6196DF53"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lang w:val="it-IT"/>
        </w:rPr>
        <w:t xml:space="preserve">27. </w:t>
      </w:r>
      <w:r w:rsidRPr="00975079">
        <w:rPr>
          <w:noProof/>
          <w:sz w:val="16"/>
          <w:szCs w:val="24"/>
          <w:lang w:val="it-IT"/>
        </w:rPr>
        <w:tab/>
        <w:t xml:space="preserve">Stramare R, Raffeiner B, Ciprian L, Scagliori E, Coran A, Perissinotto E, et al. </w:t>
      </w:r>
      <w:r w:rsidRPr="00975079">
        <w:rPr>
          <w:noProof/>
          <w:sz w:val="16"/>
          <w:szCs w:val="24"/>
        </w:rPr>
        <w:t xml:space="preserve">Evaluation of finger joint synovial vascularity in patients with </w:t>
      </w:r>
      <w:r w:rsidRPr="00975079">
        <w:rPr>
          <w:noProof/>
          <w:sz w:val="16"/>
          <w:szCs w:val="24"/>
        </w:rPr>
        <w:t xml:space="preserve">rheumatoid arthritis using contrast-enhanced ultrasound with water immersion and a stabilized probe. J Clin Ultrasound. 2012;40(3):147–54. </w:t>
      </w:r>
    </w:p>
    <w:p w14:paraId="74026D95"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28. </w:t>
      </w:r>
      <w:r w:rsidRPr="00975079">
        <w:rPr>
          <w:noProof/>
          <w:sz w:val="16"/>
          <w:szCs w:val="24"/>
        </w:rPr>
        <w:tab/>
        <w:t xml:space="preserve">Cover TM, Thomas J a. Elements of Information Theory. New York, USA: John Wiley &amp; Sons, Inc.; 1991. </w:t>
      </w:r>
    </w:p>
    <w:p w14:paraId="1C32E5B1"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29. </w:t>
      </w:r>
      <w:r w:rsidRPr="00975079">
        <w:rPr>
          <w:noProof/>
          <w:sz w:val="16"/>
          <w:szCs w:val="24"/>
        </w:rPr>
        <w:tab/>
        <w:t xml:space="preserve">Beal MJ. Variational algorithms for approximate bayesian inference. PhD Thesis. 2003;(May):1–281. </w:t>
      </w:r>
    </w:p>
    <w:p w14:paraId="67A274D1"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30. </w:t>
      </w:r>
      <w:r w:rsidRPr="00975079">
        <w:rPr>
          <w:noProof/>
          <w:sz w:val="16"/>
          <w:szCs w:val="24"/>
        </w:rPr>
        <w:tab/>
        <w:t xml:space="preserve">MacQueen J. Some methods for classification and analysis of multivariate observations. Proceedings of the Fifth Berkeley Symposium on Mathematical Statistics and Probability, Volume 1: Statistics. Berkeley, Calif.: University of California Press; 1967. p. 281–97. </w:t>
      </w:r>
    </w:p>
    <w:p w14:paraId="5E6854A2" w14:textId="17733DF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31. </w:t>
      </w:r>
      <w:r w:rsidRPr="00975079">
        <w:rPr>
          <w:noProof/>
          <w:sz w:val="16"/>
          <w:szCs w:val="24"/>
        </w:rPr>
        <w:tab/>
        <w:t>Rizzo G, Raffeiner B, Coran A, Stramare R, Grisan E. Data-Driven Learning to Detect Characteristic Kinetics in Ultrasound Images of Arthritis. In: Linguraru MG, Oyarzun Laura C, Shekhar R, Wesarg S, González Ballester MÁ, Drechsler K, et al., editors. Clinical Image-Based Procedures Translatio</w:t>
      </w:r>
      <w:r w:rsidR="00E552DC" w:rsidRPr="00975079">
        <w:rPr>
          <w:noProof/>
          <w:sz w:val="16"/>
          <w:szCs w:val="24"/>
        </w:rPr>
        <w:t>nal Research in Medical Imaging</w:t>
      </w:r>
      <w:r w:rsidRPr="00975079">
        <w:rPr>
          <w:noProof/>
          <w:sz w:val="16"/>
          <w:szCs w:val="24"/>
        </w:rPr>
        <w:t xml:space="preserve">; 2014. p. 17–24. </w:t>
      </w:r>
    </w:p>
    <w:p w14:paraId="6383BB78"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32. </w:t>
      </w:r>
      <w:r w:rsidRPr="00975079">
        <w:rPr>
          <w:noProof/>
          <w:sz w:val="16"/>
          <w:szCs w:val="24"/>
        </w:rPr>
        <w:tab/>
        <w:t xml:space="preserve">Rizzo G, Turkheimer FE, Bertoldo  a. Multi-scale hierarchical approach for parametric mapping: assessment on multi-compartmental models. Neuroimage. 2013;67:344–53. </w:t>
      </w:r>
    </w:p>
    <w:p w14:paraId="4FBBC4A8"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33. </w:t>
      </w:r>
      <w:r w:rsidRPr="00975079">
        <w:rPr>
          <w:noProof/>
          <w:sz w:val="16"/>
          <w:szCs w:val="24"/>
        </w:rPr>
        <w:tab/>
        <w:t xml:space="preserve">Rizzo G, Tonietto M, Zanoni S, Chappell MA, Castellaro M, Bertoldo A. Use of a Variational Bayesian inference approach for the quantification of brain PET data at the voxel level. Mol Imaging Biol. 2015;18(Suppl 1):S602–3. </w:t>
      </w:r>
    </w:p>
    <w:p w14:paraId="7174479B"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34. </w:t>
      </w:r>
      <w:r w:rsidRPr="00975079">
        <w:rPr>
          <w:noProof/>
          <w:sz w:val="16"/>
          <w:szCs w:val="24"/>
        </w:rPr>
        <w:tab/>
        <w:t xml:space="preserve">Penny WD. Comparing Dynamic Causal Models using AIC, BIC and Free Energy. Neuroimage. 2012;59(1):319–30. </w:t>
      </w:r>
    </w:p>
    <w:p w14:paraId="14EBF8B3"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35. </w:t>
      </w:r>
      <w:r w:rsidRPr="00975079">
        <w:rPr>
          <w:noProof/>
          <w:sz w:val="16"/>
          <w:szCs w:val="24"/>
        </w:rPr>
        <w:tab/>
        <w:t xml:space="preserve">Kass RE, Raftery AE. Bayes Factors. J Am Stat Assoc. 1995 Jun;90(430):773–95. </w:t>
      </w:r>
    </w:p>
    <w:p w14:paraId="3BB0BA61"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36. </w:t>
      </w:r>
      <w:r w:rsidRPr="00975079">
        <w:rPr>
          <w:noProof/>
          <w:sz w:val="16"/>
          <w:szCs w:val="24"/>
        </w:rPr>
        <w:tab/>
        <w:t xml:space="preserve">Hirotugu A. On a decision procedure for system identification. Eng approach to Comput Control. 1971; </w:t>
      </w:r>
    </w:p>
    <w:p w14:paraId="05EADC6E"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37. </w:t>
      </w:r>
      <w:r w:rsidRPr="00975079">
        <w:rPr>
          <w:noProof/>
          <w:sz w:val="16"/>
          <w:szCs w:val="24"/>
        </w:rPr>
        <w:tab/>
        <w:t xml:space="preserve">Schwarz G. Estimating the Dimension of a Model. Ann Stat. 1978 Mar;6(2):461–4. </w:t>
      </w:r>
    </w:p>
    <w:p w14:paraId="1E171C7D"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38. </w:t>
      </w:r>
      <w:r w:rsidRPr="00975079">
        <w:rPr>
          <w:noProof/>
          <w:sz w:val="16"/>
          <w:szCs w:val="24"/>
        </w:rPr>
        <w:tab/>
        <w:t xml:space="preserve">Ostergaard L, Weisskoff RM, Chesler DA, Gyldensted C, Rosen BR. High resolution measurement of cerebral blood flow using intravascular tracer bolus passages. Part I: Mathematical approach and statistical analysis. Magn Reson Med. 1996;36(5):715–25. </w:t>
      </w:r>
    </w:p>
    <w:p w14:paraId="77ACA78C"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39. </w:t>
      </w:r>
      <w:r w:rsidRPr="00975079">
        <w:rPr>
          <w:noProof/>
          <w:sz w:val="16"/>
          <w:szCs w:val="24"/>
        </w:rPr>
        <w:tab/>
        <w:t xml:space="preserve">Grisan E, Raffeiner B, Coran A, Rizzo G, Ciprian L, Stramare R. A comparison of region-based and pixel-based CEUS kinetics parameters in the assessment of arthritis. SPIE Medical Imaging. International Society for Optics and Photonics; 2014. p. 90400F – 90400F – 6. </w:t>
      </w:r>
    </w:p>
    <w:p w14:paraId="35A49248" w14:textId="77777777" w:rsidR="00E93668" w:rsidRPr="00975079" w:rsidRDefault="00E93668" w:rsidP="00E552DC">
      <w:pPr>
        <w:widowControl w:val="0"/>
        <w:autoSpaceDE w:val="0"/>
        <w:autoSpaceDN w:val="0"/>
        <w:adjustRightInd w:val="0"/>
        <w:ind w:left="284" w:hanging="284"/>
        <w:rPr>
          <w:noProof/>
          <w:sz w:val="16"/>
          <w:szCs w:val="24"/>
          <w:lang w:val="it-IT"/>
        </w:rPr>
      </w:pPr>
      <w:r w:rsidRPr="00975079">
        <w:rPr>
          <w:noProof/>
          <w:sz w:val="16"/>
          <w:szCs w:val="24"/>
        </w:rPr>
        <w:t xml:space="preserve">40. </w:t>
      </w:r>
      <w:r w:rsidRPr="00975079">
        <w:rPr>
          <w:noProof/>
          <w:sz w:val="16"/>
          <w:szCs w:val="24"/>
        </w:rPr>
        <w:tab/>
        <w:t xml:space="preserve">Grisan E, Raffeiner B, Coran A, Rizzo G, Ciprian L, Stramare R. Dynamic automated synovial imaging (DASI) for differential diagnosis of rheumatoid arthritis. </w:t>
      </w:r>
      <w:r w:rsidRPr="00975079">
        <w:rPr>
          <w:noProof/>
          <w:sz w:val="16"/>
          <w:szCs w:val="24"/>
          <w:lang w:val="it-IT"/>
        </w:rPr>
        <w:t xml:space="preserve">SPIE Medical Imaging 2014. San Diego (CA, USA): SPIE Proceedings; 2014. p. 903514–6. </w:t>
      </w:r>
    </w:p>
    <w:p w14:paraId="058CA7B5" w14:textId="1A7ED57E"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41. </w:t>
      </w:r>
      <w:r w:rsidRPr="00975079">
        <w:rPr>
          <w:noProof/>
          <w:sz w:val="16"/>
          <w:szCs w:val="24"/>
        </w:rPr>
        <w:tab/>
        <w:t>Levick JR. Hypoxia and acidosis in chronic inflammatory arthritis; relation to vascular supply and dynamic</w:t>
      </w:r>
      <w:r w:rsidR="00E552DC" w:rsidRPr="00975079">
        <w:rPr>
          <w:noProof/>
          <w:sz w:val="16"/>
          <w:szCs w:val="24"/>
        </w:rPr>
        <w:t xml:space="preserve"> effusion pressure. J Rheumatol</w:t>
      </w:r>
      <w:r w:rsidRPr="00975079">
        <w:rPr>
          <w:noProof/>
          <w:sz w:val="16"/>
          <w:szCs w:val="24"/>
        </w:rPr>
        <w:t xml:space="preserve">; 1990;17(5):579–82. </w:t>
      </w:r>
    </w:p>
    <w:p w14:paraId="000A6C2D" w14:textId="35C093C6"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42. </w:t>
      </w:r>
      <w:r w:rsidRPr="00975079">
        <w:rPr>
          <w:noProof/>
          <w:sz w:val="16"/>
          <w:szCs w:val="24"/>
        </w:rPr>
        <w:tab/>
        <w:t>Stevens CR, Blake DR, Merry P, Revell PA, Levick JR. A comparative study by morphometry of the microvasculature in normal and rheum</w:t>
      </w:r>
      <w:r w:rsidR="00E552DC" w:rsidRPr="00975079">
        <w:rPr>
          <w:noProof/>
          <w:sz w:val="16"/>
          <w:szCs w:val="24"/>
        </w:rPr>
        <w:t>atoid synovium. Arthritis Rheum</w:t>
      </w:r>
      <w:r w:rsidRPr="00975079">
        <w:rPr>
          <w:noProof/>
          <w:sz w:val="16"/>
          <w:szCs w:val="24"/>
        </w:rPr>
        <w:t xml:space="preserve">; 1991;34(12):1508–13. </w:t>
      </w:r>
    </w:p>
    <w:p w14:paraId="2AE4AE46" w14:textId="4506B699"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43. </w:t>
      </w:r>
      <w:r w:rsidRPr="00975079">
        <w:rPr>
          <w:noProof/>
          <w:sz w:val="16"/>
          <w:szCs w:val="24"/>
        </w:rPr>
        <w:tab/>
        <w:t>Jain RK. Determinants of tumor bl</w:t>
      </w:r>
      <w:r w:rsidR="00986A54" w:rsidRPr="00975079">
        <w:rPr>
          <w:noProof/>
          <w:sz w:val="16"/>
          <w:szCs w:val="24"/>
        </w:rPr>
        <w:t>ood flow: a review. Cancer Res.</w:t>
      </w:r>
      <w:r w:rsidRPr="00975079">
        <w:rPr>
          <w:noProof/>
          <w:sz w:val="16"/>
          <w:szCs w:val="24"/>
        </w:rPr>
        <w:t xml:space="preserve"> 1988;48(10):2641–58. </w:t>
      </w:r>
    </w:p>
    <w:p w14:paraId="21FE888D" w14:textId="77777777" w:rsidR="00E93668" w:rsidRPr="00975079" w:rsidRDefault="00E93668" w:rsidP="00E552DC">
      <w:pPr>
        <w:widowControl w:val="0"/>
        <w:autoSpaceDE w:val="0"/>
        <w:autoSpaceDN w:val="0"/>
        <w:adjustRightInd w:val="0"/>
        <w:ind w:left="284" w:hanging="284"/>
        <w:rPr>
          <w:noProof/>
          <w:sz w:val="16"/>
          <w:szCs w:val="24"/>
        </w:rPr>
      </w:pPr>
      <w:r w:rsidRPr="00975079">
        <w:rPr>
          <w:noProof/>
          <w:sz w:val="16"/>
          <w:szCs w:val="24"/>
        </w:rPr>
        <w:t xml:space="preserve">44. </w:t>
      </w:r>
      <w:r w:rsidRPr="00975079">
        <w:rPr>
          <w:noProof/>
          <w:sz w:val="16"/>
          <w:szCs w:val="24"/>
        </w:rPr>
        <w:tab/>
        <w:t xml:space="preserve">Myers DB, Palmer DG. Capsular compliance and pressure-volume relationships in normal and arthritic knees. J Bone Joint Surg Br. 1972;54(4):710–6. </w:t>
      </w:r>
    </w:p>
    <w:p w14:paraId="3CC95786" w14:textId="290A2092" w:rsidR="00E93668" w:rsidRPr="00975079" w:rsidRDefault="00E93668" w:rsidP="00E552DC">
      <w:pPr>
        <w:widowControl w:val="0"/>
        <w:autoSpaceDE w:val="0"/>
        <w:autoSpaceDN w:val="0"/>
        <w:adjustRightInd w:val="0"/>
        <w:ind w:left="284" w:hanging="284"/>
        <w:rPr>
          <w:noProof/>
          <w:sz w:val="16"/>
        </w:rPr>
      </w:pPr>
      <w:r w:rsidRPr="00975079">
        <w:rPr>
          <w:noProof/>
          <w:sz w:val="16"/>
          <w:szCs w:val="24"/>
        </w:rPr>
        <w:t xml:space="preserve">45. </w:t>
      </w:r>
      <w:r w:rsidRPr="00975079">
        <w:rPr>
          <w:noProof/>
          <w:sz w:val="16"/>
          <w:szCs w:val="24"/>
        </w:rPr>
        <w:tab/>
        <w:t>Lindstrom J, Branemark P-I. Capillary circulation in the joint capsule of the rabbit’s knee: A vital microscopic stud</w:t>
      </w:r>
      <w:r w:rsidR="00E552DC" w:rsidRPr="00975079">
        <w:rPr>
          <w:noProof/>
          <w:sz w:val="16"/>
          <w:szCs w:val="24"/>
        </w:rPr>
        <w:t>y. Arthritis Rheum; 1962</w:t>
      </w:r>
      <w:r w:rsidRPr="00975079">
        <w:rPr>
          <w:noProof/>
          <w:sz w:val="16"/>
          <w:szCs w:val="24"/>
        </w:rPr>
        <w:t xml:space="preserve">;5(3):226–36. </w:t>
      </w:r>
    </w:p>
    <w:p w14:paraId="6FDFFB34" w14:textId="2BC3BB76" w:rsidR="008F486F" w:rsidRPr="00975079" w:rsidRDefault="0079732D" w:rsidP="00E552DC">
      <w:pPr>
        <w:pStyle w:val="FigureCaption"/>
        <w:ind w:left="284" w:hanging="284"/>
        <w:rPr>
          <w:b/>
          <w:bCs/>
        </w:rPr>
      </w:pPr>
      <w:r w:rsidRPr="00975079">
        <w:rPr>
          <w:b/>
          <w:bCs/>
        </w:rPr>
        <w:fldChar w:fldCharType="end"/>
      </w:r>
      <w:bookmarkEnd w:id="0"/>
    </w:p>
    <w:sectPr w:rsidR="008F486F" w:rsidRPr="00975079" w:rsidSect="00CB33F7">
      <w:footerReference w:type="default" r:id="rId16"/>
      <w:type w:val="nextColumn"/>
      <w:pgSz w:w="12240" w:h="15840" w:code="1"/>
      <w:pgMar w:top="1009" w:right="936" w:bottom="1009" w:left="936" w:header="431" w:footer="431" w:gutter="0"/>
      <w:cols w:num="2"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785D24" w14:textId="77777777" w:rsidR="00A44CC0" w:rsidRDefault="00A44CC0">
      <w:r>
        <w:separator/>
      </w:r>
    </w:p>
  </w:endnote>
  <w:endnote w:type="continuationSeparator" w:id="0">
    <w:p w14:paraId="25F9FCF9" w14:textId="77777777" w:rsidR="00A44CC0" w:rsidRDefault="00A44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6523484"/>
      <w:docPartObj>
        <w:docPartGallery w:val="Page Numbers (Bottom of Page)"/>
        <w:docPartUnique/>
      </w:docPartObj>
    </w:sdtPr>
    <w:sdtEndPr/>
    <w:sdtContent>
      <w:p w14:paraId="78F8E5ED" w14:textId="3AFBDD09" w:rsidR="00545A51" w:rsidRDefault="00545A51">
        <w:pPr>
          <w:pStyle w:val="Pidipagina"/>
          <w:jc w:val="center"/>
        </w:pPr>
        <w:r>
          <w:fldChar w:fldCharType="begin"/>
        </w:r>
        <w:r>
          <w:instrText>PAGE   \* MERGEFORMAT</w:instrText>
        </w:r>
        <w:r>
          <w:fldChar w:fldCharType="separate"/>
        </w:r>
        <w:r w:rsidR="00975079" w:rsidRPr="00975079">
          <w:rPr>
            <w:noProof/>
            <w:lang w:val="it-IT"/>
          </w:rPr>
          <w:t>2</w:t>
        </w:r>
        <w:r>
          <w:fldChar w:fldCharType="end"/>
        </w:r>
      </w:p>
    </w:sdtContent>
  </w:sdt>
  <w:p w14:paraId="545BB088" w14:textId="77777777" w:rsidR="00545A51" w:rsidRDefault="00545A51">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017BAE" w14:textId="77777777" w:rsidR="00A44CC0" w:rsidRDefault="00A44CC0"/>
  </w:footnote>
  <w:footnote w:type="continuationSeparator" w:id="0">
    <w:p w14:paraId="6DA7BAF1" w14:textId="77777777" w:rsidR="00A44CC0" w:rsidRDefault="00A44CC0">
      <w:r>
        <w:continuationSeparator/>
      </w:r>
    </w:p>
  </w:footnote>
  <w:footnote w:id="1">
    <w:p w14:paraId="657BF6F0" w14:textId="707BD021" w:rsidR="00545A51" w:rsidRDefault="00545A51">
      <w:pPr>
        <w:pStyle w:val="Testonotaapidipagina"/>
      </w:pPr>
      <w:r w:rsidRPr="00E205F0">
        <w:rPr>
          <w:rStyle w:val="Rimandonotaapidipagina"/>
          <w:vertAlign w:val="baseline"/>
        </w:rPr>
        <w:t>P</w:t>
      </w:r>
      <w:r>
        <w:t xml:space="preserve">aper submitted for review on </w:t>
      </w:r>
      <w:r w:rsidR="002909D6">
        <w:t>23</w:t>
      </w:r>
      <w:r w:rsidR="002909D6">
        <w:rPr>
          <w:color w:val="000000" w:themeColor="text1"/>
          <w:vertAlign w:val="superscript"/>
        </w:rPr>
        <w:t>rd</w:t>
      </w:r>
      <w:r>
        <w:rPr>
          <w:color w:val="000000" w:themeColor="text1"/>
          <w:vertAlign w:val="superscript"/>
        </w:rPr>
        <w:t xml:space="preserve"> </w:t>
      </w:r>
      <w:r>
        <w:rPr>
          <w:color w:val="000000" w:themeColor="text1"/>
        </w:rPr>
        <w:t>November</w:t>
      </w:r>
      <w:r w:rsidRPr="00C1733B">
        <w:rPr>
          <w:color w:val="000000" w:themeColor="text1"/>
        </w:rPr>
        <w:t xml:space="preserve">, </w:t>
      </w:r>
      <w:r>
        <w:t>2016</w:t>
      </w:r>
    </w:p>
    <w:p w14:paraId="2D850B37" w14:textId="381D804C" w:rsidR="00545A51" w:rsidRDefault="00545A51">
      <w:pPr>
        <w:pStyle w:val="Testonotaapidipagina"/>
      </w:pPr>
      <w:r>
        <w:t xml:space="preserve">Gaia Rizzo is with the </w:t>
      </w:r>
      <w:r w:rsidRPr="006611E9">
        <w:t>Department of Information Engineering, University of Padova, Padova, Italy</w:t>
      </w:r>
      <w:r>
        <w:t xml:space="preserve"> (e-mail: </w:t>
      </w:r>
      <w:hyperlink r:id="rId1" w:history="1">
        <w:r w:rsidRPr="001579C1">
          <w:rPr>
            <w:rStyle w:val="Collegamentoipertestuale"/>
          </w:rPr>
          <w:t>gaia.rizzo@gmail.com</w:t>
        </w:r>
      </w:hyperlink>
      <w:r>
        <w:t xml:space="preserve">). </w:t>
      </w:r>
    </w:p>
    <w:p w14:paraId="640C0210" w14:textId="6CE2B416" w:rsidR="00545A51" w:rsidRDefault="00545A51" w:rsidP="006611E9">
      <w:pPr>
        <w:pStyle w:val="Testonotaapidipagina"/>
      </w:pPr>
      <w:r w:rsidRPr="006611E9">
        <w:rPr>
          <w:lang w:val="en-GB"/>
        </w:rPr>
        <w:t>Matteo Tonietto</w:t>
      </w:r>
      <w:r>
        <w:t xml:space="preserve"> is with the </w:t>
      </w:r>
      <w:r w:rsidRPr="006611E9">
        <w:t>Department of Information Engineering, University of Padova, Padova, Italy</w:t>
      </w:r>
      <w:r>
        <w:t xml:space="preserve"> (</w:t>
      </w:r>
      <w:hyperlink r:id="rId2" w:history="1">
        <w:r w:rsidRPr="001579C1">
          <w:rPr>
            <w:rStyle w:val="Collegamentoipertestuale"/>
          </w:rPr>
          <w:t>matteo.tonietto@hotmail.com</w:t>
        </w:r>
      </w:hyperlink>
      <w:r>
        <w:t>).</w:t>
      </w:r>
    </w:p>
    <w:p w14:paraId="3BB80BC9" w14:textId="44254AC6" w:rsidR="00545A51" w:rsidRDefault="00545A51" w:rsidP="006611E9">
      <w:pPr>
        <w:pStyle w:val="Testonotaapidipagina"/>
      </w:pPr>
      <w:r>
        <w:t xml:space="preserve">Marco Castellaro is with the </w:t>
      </w:r>
      <w:r w:rsidRPr="006611E9">
        <w:t>Department of Information Engineering, University of Padova, Padova, Italy</w:t>
      </w:r>
      <w:r>
        <w:t xml:space="preserve"> (e-mail: </w:t>
      </w:r>
      <w:hyperlink r:id="rId3" w:history="1">
        <w:r w:rsidRPr="001579C1">
          <w:rPr>
            <w:rStyle w:val="Collegamentoipertestuale"/>
          </w:rPr>
          <w:t>marco.castellaro@gmail.com</w:t>
        </w:r>
      </w:hyperlink>
      <w:r>
        <w:t>).</w:t>
      </w:r>
    </w:p>
    <w:p w14:paraId="2D38ADA6" w14:textId="19BE03F8" w:rsidR="00545A51" w:rsidRDefault="00545A51" w:rsidP="006611E9">
      <w:pPr>
        <w:pStyle w:val="Testonotaapidipagina"/>
      </w:pPr>
      <w:r w:rsidRPr="006611E9">
        <w:rPr>
          <w:lang w:val="en-GB"/>
        </w:rPr>
        <w:t>Bernd Raffeiner</w:t>
      </w:r>
      <w:r>
        <w:t xml:space="preserve"> is with the General Hospital of Bolzano</w:t>
      </w:r>
      <w:r w:rsidRPr="006611E9">
        <w:t xml:space="preserve">, Rheumatology Unit, </w:t>
      </w:r>
      <w:r>
        <w:t>Bolzano</w:t>
      </w:r>
      <w:r w:rsidRPr="006611E9">
        <w:t>.</w:t>
      </w:r>
      <w:r>
        <w:t xml:space="preserve"> (e-mail: </w:t>
      </w:r>
      <w:hyperlink r:id="rId4" w:history="1">
        <w:r w:rsidRPr="001579C1">
          <w:rPr>
            <w:rStyle w:val="Collegamentoipertestuale"/>
          </w:rPr>
          <w:t>berndraffeiner@yahoo.com</w:t>
        </w:r>
      </w:hyperlink>
      <w:r w:rsidRPr="006611E9">
        <w:t>)</w:t>
      </w:r>
      <w:r>
        <w:t>.</w:t>
      </w:r>
    </w:p>
    <w:p w14:paraId="2CBECA01" w14:textId="0B5E8546" w:rsidR="00545A51" w:rsidRDefault="00545A51" w:rsidP="00612C6F">
      <w:pPr>
        <w:pStyle w:val="Testonotaapidipagina"/>
      </w:pPr>
      <w:r>
        <w:rPr>
          <w:lang w:val="en-GB"/>
        </w:rPr>
        <w:t>Alessandro Coran</w:t>
      </w:r>
      <w:r>
        <w:t xml:space="preserve"> is with the Radiology</w:t>
      </w:r>
      <w:r w:rsidRPr="006611E9">
        <w:t xml:space="preserve"> Unit, </w:t>
      </w:r>
      <w:r>
        <w:t>Istituto Oncologico Veneto IRCCS, Padova</w:t>
      </w:r>
      <w:r w:rsidRPr="006611E9">
        <w:t>, Italy.</w:t>
      </w:r>
      <w:r>
        <w:t xml:space="preserve"> (e-mail: </w:t>
      </w:r>
      <w:hyperlink r:id="rId5" w:history="1">
        <w:r w:rsidRPr="00D02204">
          <w:rPr>
            <w:rStyle w:val="Collegamentoipertestuale"/>
          </w:rPr>
          <w:t>alecoran@gmail.com</w:t>
        </w:r>
      </w:hyperlink>
      <w:r>
        <w:t>).</w:t>
      </w:r>
    </w:p>
    <w:p w14:paraId="0FF7C5D0" w14:textId="546E47A8" w:rsidR="00545A51" w:rsidRDefault="00545A51" w:rsidP="006611E9">
      <w:pPr>
        <w:pStyle w:val="Testonotaapidipagina"/>
      </w:pPr>
      <w:r>
        <w:rPr>
          <w:lang w:val="en-GB"/>
        </w:rPr>
        <w:t>Ugo Fiocco</w:t>
      </w:r>
      <w:r>
        <w:t xml:space="preserve"> is with the </w:t>
      </w:r>
      <w:r w:rsidRPr="006611E9">
        <w:t xml:space="preserve">Department of Medicine, </w:t>
      </w:r>
      <w:r>
        <w:t>University of Padova, Padova</w:t>
      </w:r>
      <w:r w:rsidRPr="006611E9">
        <w:t>, Italy.</w:t>
      </w:r>
      <w:r>
        <w:t xml:space="preserve"> (e-mail: </w:t>
      </w:r>
      <w:hyperlink r:id="rId6" w:history="1">
        <w:r w:rsidRPr="001579C1">
          <w:rPr>
            <w:rStyle w:val="Collegamentoipertestuale"/>
          </w:rPr>
          <w:t>ugo.fiocco@unipd.it</w:t>
        </w:r>
      </w:hyperlink>
      <w:r w:rsidRPr="006611E9">
        <w:t>)</w:t>
      </w:r>
      <w:r>
        <w:t>.</w:t>
      </w:r>
    </w:p>
    <w:p w14:paraId="30803C14" w14:textId="4DFF65DC" w:rsidR="00545A51" w:rsidRDefault="00545A51" w:rsidP="006611E9">
      <w:pPr>
        <w:pStyle w:val="Testonotaapidipagina"/>
      </w:pPr>
      <w:r>
        <w:rPr>
          <w:lang w:val="en-GB"/>
        </w:rPr>
        <w:t>Roberto Stramare</w:t>
      </w:r>
      <w:r>
        <w:t xml:space="preserve"> is with the </w:t>
      </w:r>
      <w:r w:rsidRPr="006611E9">
        <w:t xml:space="preserve">Department of Medicine, </w:t>
      </w:r>
      <w:r>
        <w:t>University of Padova, Padova</w:t>
      </w:r>
      <w:r w:rsidRPr="006611E9">
        <w:t>, Italy.</w:t>
      </w:r>
      <w:r>
        <w:t xml:space="preserve"> (e-mail: </w:t>
      </w:r>
      <w:hyperlink r:id="rId7" w:history="1">
        <w:r w:rsidRPr="001579C1">
          <w:rPr>
            <w:rStyle w:val="Collegamentoipertestuale"/>
          </w:rPr>
          <w:t>roberto.stramare@unipd.it</w:t>
        </w:r>
      </w:hyperlink>
      <w:r w:rsidRPr="006611E9">
        <w:t>)</w:t>
      </w:r>
      <w:r>
        <w:t>.</w:t>
      </w:r>
    </w:p>
    <w:p w14:paraId="75BF3500" w14:textId="0BE64BCC" w:rsidR="00545A51" w:rsidRDefault="00545A51" w:rsidP="006611E9">
      <w:pPr>
        <w:pStyle w:val="Testonotaapidipagina"/>
      </w:pPr>
      <w:r>
        <w:t xml:space="preserve">Enrico Grisan is with the </w:t>
      </w:r>
      <w:r w:rsidRPr="006611E9">
        <w:t>Department of Information Engineering, University of Padova, Padova, Italy</w:t>
      </w:r>
      <w:r>
        <w:t xml:space="preserve"> (e-mail: </w:t>
      </w:r>
      <w:hyperlink r:id="rId8" w:history="1">
        <w:r w:rsidRPr="001579C1">
          <w:rPr>
            <w:rStyle w:val="Collegamentoipertestuale"/>
          </w:rPr>
          <w:t>enrico.grisan@unipd.it</w:t>
        </w:r>
      </w:hyperlink>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DC0075BC"/>
    <w:lvl w:ilvl="0">
      <w:start w:val="1"/>
      <w:numFmt w:val="upperRoman"/>
      <w:pStyle w:val="Titolo1"/>
      <w:lvlText w:val="%1."/>
      <w:legacy w:legacy="1" w:legacySpace="144" w:legacyIndent="144"/>
      <w:lvlJc w:val="left"/>
    </w:lvl>
    <w:lvl w:ilvl="1">
      <w:start w:val="1"/>
      <w:numFmt w:val="upperLetter"/>
      <w:pStyle w:val="Titolo2"/>
      <w:lvlText w:val="%2."/>
      <w:legacy w:legacy="1" w:legacySpace="144" w:legacyIndent="144"/>
      <w:lvlJc w:val="left"/>
      <w:rPr>
        <w:b w:val="0"/>
        <w:i/>
      </w:rPr>
    </w:lvl>
    <w:lvl w:ilvl="2">
      <w:start w:val="1"/>
      <w:numFmt w:val="decimal"/>
      <w:pStyle w:val="Titolo3"/>
      <w:lvlText w:val="%3)"/>
      <w:legacy w:legacy="1" w:legacySpace="144" w:legacyIndent="144"/>
      <w:lvlJc w:val="left"/>
      <w:rPr>
        <w:i/>
      </w:rPr>
    </w:lvl>
    <w:lvl w:ilvl="3">
      <w:start w:val="1"/>
      <w:numFmt w:val="lowerLetter"/>
      <w:pStyle w:val="Titolo4"/>
      <w:lvlText w:val="%4)"/>
      <w:legacy w:legacy="1" w:legacySpace="0" w:legacyIndent="720"/>
      <w:lvlJc w:val="left"/>
      <w:pPr>
        <w:ind w:left="1152" w:hanging="720"/>
      </w:pPr>
    </w:lvl>
    <w:lvl w:ilvl="4">
      <w:start w:val="1"/>
      <w:numFmt w:val="decimal"/>
      <w:pStyle w:val="Titolo5"/>
      <w:lvlText w:val="(%5)"/>
      <w:legacy w:legacy="1" w:legacySpace="0" w:legacyIndent="720"/>
      <w:lvlJc w:val="left"/>
      <w:pPr>
        <w:ind w:left="1872" w:hanging="720"/>
      </w:pPr>
    </w:lvl>
    <w:lvl w:ilvl="5">
      <w:start w:val="1"/>
      <w:numFmt w:val="lowerLetter"/>
      <w:pStyle w:val="Titolo6"/>
      <w:lvlText w:val="(%6)"/>
      <w:legacy w:legacy="1" w:legacySpace="0" w:legacyIndent="720"/>
      <w:lvlJc w:val="left"/>
      <w:pPr>
        <w:ind w:left="2592" w:hanging="720"/>
      </w:pPr>
    </w:lvl>
    <w:lvl w:ilvl="6">
      <w:start w:val="1"/>
      <w:numFmt w:val="lowerRoman"/>
      <w:pStyle w:val="Titolo7"/>
      <w:lvlText w:val="(%7)"/>
      <w:legacy w:legacy="1" w:legacySpace="0" w:legacyIndent="720"/>
      <w:lvlJc w:val="left"/>
      <w:pPr>
        <w:ind w:left="3312" w:hanging="720"/>
      </w:pPr>
    </w:lvl>
    <w:lvl w:ilvl="7">
      <w:start w:val="1"/>
      <w:numFmt w:val="lowerLetter"/>
      <w:pStyle w:val="Titolo8"/>
      <w:lvlText w:val="(%8)"/>
      <w:legacy w:legacy="1" w:legacySpace="0" w:legacyIndent="720"/>
      <w:lvlJc w:val="left"/>
      <w:pPr>
        <w:ind w:left="4032" w:hanging="720"/>
      </w:pPr>
    </w:lvl>
    <w:lvl w:ilvl="8">
      <w:start w:val="1"/>
      <w:numFmt w:val="lowerRoman"/>
      <w:pStyle w:val="Titolo9"/>
      <w:lvlText w:val="(%9)"/>
      <w:legacy w:legacy="1" w:legacySpace="0" w:legacyIndent="720"/>
      <w:lvlJc w:val="left"/>
      <w:pPr>
        <w:ind w:left="4752" w:hanging="720"/>
      </w:pPr>
    </w:lvl>
  </w:abstractNum>
  <w:abstractNum w:abstractNumId="12"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4"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5"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6"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17"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877D64"/>
    <w:multiLevelType w:val="singleLevel"/>
    <w:tmpl w:val="4B80C018"/>
    <w:lvl w:ilvl="0">
      <w:start w:val="1"/>
      <w:numFmt w:val="decimal"/>
      <w:pStyle w:val="References"/>
      <w:lvlText w:val="[%1]"/>
      <w:lvlJc w:val="left"/>
      <w:pPr>
        <w:tabs>
          <w:tab w:val="num" w:pos="360"/>
        </w:tabs>
        <w:ind w:left="360" w:hanging="360"/>
      </w:pPr>
      <w:rPr>
        <w:i w:val="0"/>
      </w:rPr>
    </w:lvl>
  </w:abstractNum>
  <w:abstractNum w:abstractNumId="19"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0"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2"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4"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5"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6"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6"/>
  </w:num>
  <w:num w:numId="3">
    <w:abstractNumId w:val="16"/>
    <w:lvlOverride w:ilvl="0">
      <w:lvl w:ilvl="0">
        <w:start w:val="1"/>
        <w:numFmt w:val="decimal"/>
        <w:lvlText w:val="%1."/>
        <w:legacy w:legacy="1" w:legacySpace="0" w:legacyIndent="360"/>
        <w:lvlJc w:val="left"/>
        <w:pPr>
          <w:ind w:left="360" w:hanging="360"/>
        </w:pPr>
      </w:lvl>
    </w:lvlOverride>
  </w:num>
  <w:num w:numId="4">
    <w:abstractNumId w:val="16"/>
    <w:lvlOverride w:ilvl="0">
      <w:lvl w:ilvl="0">
        <w:start w:val="1"/>
        <w:numFmt w:val="decimal"/>
        <w:lvlText w:val="%1."/>
        <w:legacy w:legacy="1" w:legacySpace="0" w:legacyIndent="360"/>
        <w:lvlJc w:val="left"/>
        <w:pPr>
          <w:ind w:left="360" w:hanging="360"/>
        </w:pPr>
      </w:lvl>
    </w:lvlOverride>
  </w:num>
  <w:num w:numId="5">
    <w:abstractNumId w:val="16"/>
    <w:lvlOverride w:ilvl="0">
      <w:lvl w:ilvl="0">
        <w:start w:val="1"/>
        <w:numFmt w:val="decimal"/>
        <w:lvlText w:val="%1."/>
        <w:legacy w:legacy="1" w:legacySpace="0" w:legacyIndent="360"/>
        <w:lvlJc w:val="left"/>
        <w:pPr>
          <w:ind w:left="360" w:hanging="360"/>
        </w:pPr>
      </w:lvl>
    </w:lvlOverride>
  </w:num>
  <w:num w:numId="6">
    <w:abstractNumId w:val="21"/>
  </w:num>
  <w:num w:numId="7">
    <w:abstractNumId w:val="21"/>
    <w:lvlOverride w:ilvl="0">
      <w:lvl w:ilvl="0">
        <w:start w:val="1"/>
        <w:numFmt w:val="decimal"/>
        <w:lvlText w:val="%1."/>
        <w:legacy w:legacy="1" w:legacySpace="0" w:legacyIndent="360"/>
        <w:lvlJc w:val="left"/>
        <w:pPr>
          <w:ind w:left="360" w:hanging="360"/>
        </w:pPr>
      </w:lvl>
    </w:lvlOverride>
  </w:num>
  <w:num w:numId="8">
    <w:abstractNumId w:val="21"/>
    <w:lvlOverride w:ilvl="0">
      <w:lvl w:ilvl="0">
        <w:start w:val="1"/>
        <w:numFmt w:val="decimal"/>
        <w:lvlText w:val="%1."/>
        <w:legacy w:legacy="1" w:legacySpace="0" w:legacyIndent="360"/>
        <w:lvlJc w:val="left"/>
        <w:pPr>
          <w:ind w:left="360" w:hanging="360"/>
        </w:pPr>
      </w:lvl>
    </w:lvlOverride>
  </w:num>
  <w:num w:numId="9">
    <w:abstractNumId w:val="21"/>
    <w:lvlOverride w:ilvl="0">
      <w:lvl w:ilvl="0">
        <w:start w:val="1"/>
        <w:numFmt w:val="decimal"/>
        <w:lvlText w:val="%1."/>
        <w:legacy w:legacy="1" w:legacySpace="0" w:legacyIndent="360"/>
        <w:lvlJc w:val="left"/>
        <w:pPr>
          <w:ind w:left="360" w:hanging="360"/>
        </w:pPr>
      </w:lvl>
    </w:lvlOverride>
  </w:num>
  <w:num w:numId="10">
    <w:abstractNumId w:val="21"/>
    <w:lvlOverride w:ilvl="0">
      <w:lvl w:ilvl="0">
        <w:start w:val="1"/>
        <w:numFmt w:val="decimal"/>
        <w:lvlText w:val="%1."/>
        <w:legacy w:legacy="1" w:legacySpace="0" w:legacyIndent="360"/>
        <w:lvlJc w:val="left"/>
        <w:pPr>
          <w:ind w:left="360" w:hanging="360"/>
        </w:pPr>
      </w:lvl>
    </w:lvlOverride>
  </w:num>
  <w:num w:numId="11">
    <w:abstractNumId w:val="21"/>
    <w:lvlOverride w:ilvl="0">
      <w:lvl w:ilvl="0">
        <w:start w:val="1"/>
        <w:numFmt w:val="decimal"/>
        <w:lvlText w:val="%1."/>
        <w:legacy w:legacy="1" w:legacySpace="0" w:legacyIndent="360"/>
        <w:lvlJc w:val="left"/>
        <w:pPr>
          <w:ind w:left="360" w:hanging="360"/>
        </w:pPr>
      </w:lvl>
    </w:lvlOverride>
  </w:num>
  <w:num w:numId="12">
    <w:abstractNumId w:val="18"/>
  </w:num>
  <w:num w:numId="13">
    <w:abstractNumId w:val="13"/>
  </w:num>
  <w:num w:numId="14">
    <w:abstractNumId w:val="24"/>
  </w:num>
  <w:num w:numId="15">
    <w:abstractNumId w:val="23"/>
  </w:num>
  <w:num w:numId="16">
    <w:abstractNumId w:val="30"/>
  </w:num>
  <w:num w:numId="17">
    <w:abstractNumId w:val="15"/>
  </w:num>
  <w:num w:numId="18">
    <w:abstractNumId w:val="14"/>
  </w:num>
  <w:num w:numId="19">
    <w:abstractNumId w:val="25"/>
  </w:num>
  <w:num w:numId="20">
    <w:abstractNumId w:val="19"/>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28"/>
  </w:num>
  <w:num w:numId="24">
    <w:abstractNumId w:val="22"/>
  </w:num>
  <w:num w:numId="25">
    <w:abstractNumId w:val="27"/>
  </w:num>
  <w:num w:numId="26">
    <w:abstractNumId w:val="12"/>
  </w:num>
  <w:num w:numId="27">
    <w:abstractNumId w:val="26"/>
  </w:num>
  <w:num w:numId="28">
    <w:abstractNumId w:val="17"/>
  </w:num>
  <w:num w:numId="29">
    <w:abstractNumId w:val="20"/>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202"/>
  <w:hyphenationZone w:val="283"/>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35B"/>
    <w:rsid w:val="00007C55"/>
    <w:rsid w:val="00012757"/>
    <w:rsid w:val="00014AA3"/>
    <w:rsid w:val="0003614B"/>
    <w:rsid w:val="0004132B"/>
    <w:rsid w:val="00042E13"/>
    <w:rsid w:val="000518FA"/>
    <w:rsid w:val="00052289"/>
    <w:rsid w:val="00056A28"/>
    <w:rsid w:val="0006074E"/>
    <w:rsid w:val="000641A7"/>
    <w:rsid w:val="00073A36"/>
    <w:rsid w:val="00074EAA"/>
    <w:rsid w:val="000770C6"/>
    <w:rsid w:val="000814CD"/>
    <w:rsid w:val="00085F8E"/>
    <w:rsid w:val="000A10AB"/>
    <w:rsid w:val="000A168B"/>
    <w:rsid w:val="000B077A"/>
    <w:rsid w:val="000B565F"/>
    <w:rsid w:val="000C4EBF"/>
    <w:rsid w:val="000D2BDE"/>
    <w:rsid w:val="000D5E95"/>
    <w:rsid w:val="000D7361"/>
    <w:rsid w:val="000D7C50"/>
    <w:rsid w:val="000E4B6A"/>
    <w:rsid w:val="00102324"/>
    <w:rsid w:val="0010420F"/>
    <w:rsid w:val="00104BB0"/>
    <w:rsid w:val="0010794E"/>
    <w:rsid w:val="00110A21"/>
    <w:rsid w:val="00111196"/>
    <w:rsid w:val="00114BBB"/>
    <w:rsid w:val="0012269F"/>
    <w:rsid w:val="0012550D"/>
    <w:rsid w:val="0013354F"/>
    <w:rsid w:val="001405C2"/>
    <w:rsid w:val="00143F2E"/>
    <w:rsid w:val="00144E72"/>
    <w:rsid w:val="0015220A"/>
    <w:rsid w:val="00153371"/>
    <w:rsid w:val="0015593C"/>
    <w:rsid w:val="00156942"/>
    <w:rsid w:val="00160483"/>
    <w:rsid w:val="001608B6"/>
    <w:rsid w:val="00163D1A"/>
    <w:rsid w:val="00167B86"/>
    <w:rsid w:val="001768FF"/>
    <w:rsid w:val="00182678"/>
    <w:rsid w:val="001831A8"/>
    <w:rsid w:val="001A60B1"/>
    <w:rsid w:val="001A6F4F"/>
    <w:rsid w:val="001B36B1"/>
    <w:rsid w:val="001C4642"/>
    <w:rsid w:val="001E1A1F"/>
    <w:rsid w:val="001E20A6"/>
    <w:rsid w:val="001E7B7A"/>
    <w:rsid w:val="001F0605"/>
    <w:rsid w:val="001F08DE"/>
    <w:rsid w:val="001F1694"/>
    <w:rsid w:val="001F26E3"/>
    <w:rsid w:val="001F4C5C"/>
    <w:rsid w:val="002019F4"/>
    <w:rsid w:val="00202B97"/>
    <w:rsid w:val="00204478"/>
    <w:rsid w:val="00214E2E"/>
    <w:rsid w:val="00216141"/>
    <w:rsid w:val="00217186"/>
    <w:rsid w:val="00221A06"/>
    <w:rsid w:val="00226826"/>
    <w:rsid w:val="00230320"/>
    <w:rsid w:val="002310EA"/>
    <w:rsid w:val="00231D40"/>
    <w:rsid w:val="002434A1"/>
    <w:rsid w:val="0024586F"/>
    <w:rsid w:val="00253C2B"/>
    <w:rsid w:val="00256A3F"/>
    <w:rsid w:val="00256A9F"/>
    <w:rsid w:val="00261145"/>
    <w:rsid w:val="00263943"/>
    <w:rsid w:val="00267B35"/>
    <w:rsid w:val="002732C9"/>
    <w:rsid w:val="00281396"/>
    <w:rsid w:val="0028327B"/>
    <w:rsid w:val="0028717F"/>
    <w:rsid w:val="002909D6"/>
    <w:rsid w:val="00294DB1"/>
    <w:rsid w:val="00297736"/>
    <w:rsid w:val="002A0064"/>
    <w:rsid w:val="002A6B67"/>
    <w:rsid w:val="002C5356"/>
    <w:rsid w:val="002C6647"/>
    <w:rsid w:val="002D4787"/>
    <w:rsid w:val="002E13A1"/>
    <w:rsid w:val="002E5357"/>
    <w:rsid w:val="002F06AE"/>
    <w:rsid w:val="002F2348"/>
    <w:rsid w:val="002F557B"/>
    <w:rsid w:val="002F7910"/>
    <w:rsid w:val="00302A72"/>
    <w:rsid w:val="00303B1F"/>
    <w:rsid w:val="00304880"/>
    <w:rsid w:val="00311386"/>
    <w:rsid w:val="00311E0C"/>
    <w:rsid w:val="00312FDA"/>
    <w:rsid w:val="0031336A"/>
    <w:rsid w:val="00330512"/>
    <w:rsid w:val="00333655"/>
    <w:rsid w:val="00342469"/>
    <w:rsid w:val="003427CE"/>
    <w:rsid w:val="00347F82"/>
    <w:rsid w:val="00350E78"/>
    <w:rsid w:val="00352704"/>
    <w:rsid w:val="003571EA"/>
    <w:rsid w:val="0036013C"/>
    <w:rsid w:val="00360269"/>
    <w:rsid w:val="003654CE"/>
    <w:rsid w:val="0037551B"/>
    <w:rsid w:val="0038363C"/>
    <w:rsid w:val="003900CF"/>
    <w:rsid w:val="00392DBA"/>
    <w:rsid w:val="00396D8A"/>
    <w:rsid w:val="003A3371"/>
    <w:rsid w:val="003C3322"/>
    <w:rsid w:val="003C68C2"/>
    <w:rsid w:val="003D4CAE"/>
    <w:rsid w:val="003D75C1"/>
    <w:rsid w:val="003F26BD"/>
    <w:rsid w:val="003F52AD"/>
    <w:rsid w:val="003F5F79"/>
    <w:rsid w:val="0040122F"/>
    <w:rsid w:val="00410D22"/>
    <w:rsid w:val="00426352"/>
    <w:rsid w:val="0043144F"/>
    <w:rsid w:val="00431BFA"/>
    <w:rsid w:val="004353CF"/>
    <w:rsid w:val="00444BE6"/>
    <w:rsid w:val="00445B6C"/>
    <w:rsid w:val="00455623"/>
    <w:rsid w:val="004631BC"/>
    <w:rsid w:val="00463D87"/>
    <w:rsid w:val="0046684B"/>
    <w:rsid w:val="00466892"/>
    <w:rsid w:val="00474C94"/>
    <w:rsid w:val="0047677E"/>
    <w:rsid w:val="00484761"/>
    <w:rsid w:val="00484DD5"/>
    <w:rsid w:val="00485C7D"/>
    <w:rsid w:val="00486573"/>
    <w:rsid w:val="004A414C"/>
    <w:rsid w:val="004C1E16"/>
    <w:rsid w:val="004C2543"/>
    <w:rsid w:val="004C3006"/>
    <w:rsid w:val="004C3D75"/>
    <w:rsid w:val="004C645D"/>
    <w:rsid w:val="004D15CA"/>
    <w:rsid w:val="004D6BF0"/>
    <w:rsid w:val="004E03A8"/>
    <w:rsid w:val="004E3E4C"/>
    <w:rsid w:val="004F23A0"/>
    <w:rsid w:val="004F5452"/>
    <w:rsid w:val="005003E3"/>
    <w:rsid w:val="005052CD"/>
    <w:rsid w:val="005139AA"/>
    <w:rsid w:val="00514B60"/>
    <w:rsid w:val="00527CE9"/>
    <w:rsid w:val="00530663"/>
    <w:rsid w:val="00545A51"/>
    <w:rsid w:val="00550A26"/>
    <w:rsid w:val="00550BF5"/>
    <w:rsid w:val="005618C5"/>
    <w:rsid w:val="00566665"/>
    <w:rsid w:val="00567A70"/>
    <w:rsid w:val="00584DCE"/>
    <w:rsid w:val="00586365"/>
    <w:rsid w:val="005911B7"/>
    <w:rsid w:val="00597CCF"/>
    <w:rsid w:val="005A2A15"/>
    <w:rsid w:val="005B6572"/>
    <w:rsid w:val="005C0F9F"/>
    <w:rsid w:val="005D1B15"/>
    <w:rsid w:val="005D2824"/>
    <w:rsid w:val="005D4F1A"/>
    <w:rsid w:val="005D72BB"/>
    <w:rsid w:val="005E50E5"/>
    <w:rsid w:val="005E692F"/>
    <w:rsid w:val="005E69DF"/>
    <w:rsid w:val="005F535A"/>
    <w:rsid w:val="006042E9"/>
    <w:rsid w:val="006051B4"/>
    <w:rsid w:val="00612C6F"/>
    <w:rsid w:val="00617218"/>
    <w:rsid w:val="0062114B"/>
    <w:rsid w:val="0062272D"/>
    <w:rsid w:val="00622E3D"/>
    <w:rsid w:val="00623698"/>
    <w:rsid w:val="00623D54"/>
    <w:rsid w:val="00625E96"/>
    <w:rsid w:val="00626655"/>
    <w:rsid w:val="00632644"/>
    <w:rsid w:val="00640B54"/>
    <w:rsid w:val="00642106"/>
    <w:rsid w:val="00646B91"/>
    <w:rsid w:val="00647C09"/>
    <w:rsid w:val="00651F2C"/>
    <w:rsid w:val="0065204A"/>
    <w:rsid w:val="006541C6"/>
    <w:rsid w:val="006611E9"/>
    <w:rsid w:val="00666823"/>
    <w:rsid w:val="0068470B"/>
    <w:rsid w:val="00687EF5"/>
    <w:rsid w:val="00690144"/>
    <w:rsid w:val="00691AF7"/>
    <w:rsid w:val="00693D5D"/>
    <w:rsid w:val="006B01AC"/>
    <w:rsid w:val="006B71D3"/>
    <w:rsid w:val="006B7F03"/>
    <w:rsid w:val="006C7E61"/>
    <w:rsid w:val="006D23A0"/>
    <w:rsid w:val="006F329E"/>
    <w:rsid w:val="00712CA0"/>
    <w:rsid w:val="00717864"/>
    <w:rsid w:val="00725B45"/>
    <w:rsid w:val="00733A02"/>
    <w:rsid w:val="00735128"/>
    <w:rsid w:val="007414A7"/>
    <w:rsid w:val="00742A01"/>
    <w:rsid w:val="00777CD8"/>
    <w:rsid w:val="00785413"/>
    <w:rsid w:val="0079062B"/>
    <w:rsid w:val="0079732D"/>
    <w:rsid w:val="007A0083"/>
    <w:rsid w:val="007A5223"/>
    <w:rsid w:val="007C4336"/>
    <w:rsid w:val="007D23FF"/>
    <w:rsid w:val="007E7FBF"/>
    <w:rsid w:val="007F1091"/>
    <w:rsid w:val="007F7AA6"/>
    <w:rsid w:val="008061E4"/>
    <w:rsid w:val="00815726"/>
    <w:rsid w:val="0082128A"/>
    <w:rsid w:val="00821408"/>
    <w:rsid w:val="00823624"/>
    <w:rsid w:val="00835E0E"/>
    <w:rsid w:val="00837E47"/>
    <w:rsid w:val="00846335"/>
    <w:rsid w:val="00850AA8"/>
    <w:rsid w:val="008518FE"/>
    <w:rsid w:val="0085659C"/>
    <w:rsid w:val="00865342"/>
    <w:rsid w:val="00866042"/>
    <w:rsid w:val="0087056B"/>
    <w:rsid w:val="00872026"/>
    <w:rsid w:val="00872C04"/>
    <w:rsid w:val="0087792E"/>
    <w:rsid w:val="00883EAF"/>
    <w:rsid w:val="00885258"/>
    <w:rsid w:val="008A30C3"/>
    <w:rsid w:val="008A3C23"/>
    <w:rsid w:val="008B4580"/>
    <w:rsid w:val="008C2125"/>
    <w:rsid w:val="008C2183"/>
    <w:rsid w:val="008C49CC"/>
    <w:rsid w:val="008C5311"/>
    <w:rsid w:val="008D69E9"/>
    <w:rsid w:val="008E0645"/>
    <w:rsid w:val="008E0CA5"/>
    <w:rsid w:val="008F147B"/>
    <w:rsid w:val="008F3390"/>
    <w:rsid w:val="008F486F"/>
    <w:rsid w:val="008F594A"/>
    <w:rsid w:val="008F65A3"/>
    <w:rsid w:val="008F7DB2"/>
    <w:rsid w:val="0090420D"/>
    <w:rsid w:val="0090480B"/>
    <w:rsid w:val="00904C7E"/>
    <w:rsid w:val="0091035B"/>
    <w:rsid w:val="00922A1E"/>
    <w:rsid w:val="00932E1E"/>
    <w:rsid w:val="009337AD"/>
    <w:rsid w:val="00937057"/>
    <w:rsid w:val="00941A0B"/>
    <w:rsid w:val="00947878"/>
    <w:rsid w:val="00952787"/>
    <w:rsid w:val="00961BD2"/>
    <w:rsid w:val="00966EDD"/>
    <w:rsid w:val="00975079"/>
    <w:rsid w:val="00986A54"/>
    <w:rsid w:val="00992B19"/>
    <w:rsid w:val="00993C72"/>
    <w:rsid w:val="009A1F6E"/>
    <w:rsid w:val="009A1FAB"/>
    <w:rsid w:val="009A3760"/>
    <w:rsid w:val="009C248D"/>
    <w:rsid w:val="009C3FBF"/>
    <w:rsid w:val="009C7D17"/>
    <w:rsid w:val="009E461C"/>
    <w:rsid w:val="009E484E"/>
    <w:rsid w:val="009F40FB"/>
    <w:rsid w:val="009F64F6"/>
    <w:rsid w:val="00A00C16"/>
    <w:rsid w:val="00A0770A"/>
    <w:rsid w:val="00A16ED0"/>
    <w:rsid w:val="00A22FCB"/>
    <w:rsid w:val="00A2491F"/>
    <w:rsid w:val="00A25820"/>
    <w:rsid w:val="00A43471"/>
    <w:rsid w:val="00A44CC0"/>
    <w:rsid w:val="00A472F1"/>
    <w:rsid w:val="00A47453"/>
    <w:rsid w:val="00A50613"/>
    <w:rsid w:val="00A5237D"/>
    <w:rsid w:val="00A554A3"/>
    <w:rsid w:val="00A555EB"/>
    <w:rsid w:val="00A56825"/>
    <w:rsid w:val="00A66EF3"/>
    <w:rsid w:val="00A708AC"/>
    <w:rsid w:val="00A758EA"/>
    <w:rsid w:val="00A77D42"/>
    <w:rsid w:val="00A95C50"/>
    <w:rsid w:val="00AB79A6"/>
    <w:rsid w:val="00AC4850"/>
    <w:rsid w:val="00AE7F4F"/>
    <w:rsid w:val="00AF16E1"/>
    <w:rsid w:val="00AF307E"/>
    <w:rsid w:val="00AF61C4"/>
    <w:rsid w:val="00B03AE6"/>
    <w:rsid w:val="00B107DE"/>
    <w:rsid w:val="00B11FAE"/>
    <w:rsid w:val="00B325EC"/>
    <w:rsid w:val="00B33DA1"/>
    <w:rsid w:val="00B36573"/>
    <w:rsid w:val="00B47B59"/>
    <w:rsid w:val="00B47BDE"/>
    <w:rsid w:val="00B53D16"/>
    <w:rsid w:val="00B53F81"/>
    <w:rsid w:val="00B56C2B"/>
    <w:rsid w:val="00B576C8"/>
    <w:rsid w:val="00B6184E"/>
    <w:rsid w:val="00B65BD3"/>
    <w:rsid w:val="00B70469"/>
    <w:rsid w:val="00B72DD8"/>
    <w:rsid w:val="00B72E09"/>
    <w:rsid w:val="00B81CA8"/>
    <w:rsid w:val="00B907C2"/>
    <w:rsid w:val="00BB7312"/>
    <w:rsid w:val="00BE211D"/>
    <w:rsid w:val="00BE7DDB"/>
    <w:rsid w:val="00BF0C69"/>
    <w:rsid w:val="00BF4F80"/>
    <w:rsid w:val="00BF59AC"/>
    <w:rsid w:val="00BF629B"/>
    <w:rsid w:val="00BF655C"/>
    <w:rsid w:val="00BF76A9"/>
    <w:rsid w:val="00C075EF"/>
    <w:rsid w:val="00C11E83"/>
    <w:rsid w:val="00C12617"/>
    <w:rsid w:val="00C1733B"/>
    <w:rsid w:val="00C2378A"/>
    <w:rsid w:val="00C23BF0"/>
    <w:rsid w:val="00C31039"/>
    <w:rsid w:val="00C32A8F"/>
    <w:rsid w:val="00C378A1"/>
    <w:rsid w:val="00C44DE4"/>
    <w:rsid w:val="00C5402D"/>
    <w:rsid w:val="00C60C42"/>
    <w:rsid w:val="00C621D6"/>
    <w:rsid w:val="00C75942"/>
    <w:rsid w:val="00C75DA2"/>
    <w:rsid w:val="00C82D86"/>
    <w:rsid w:val="00C85DFE"/>
    <w:rsid w:val="00CA0BAF"/>
    <w:rsid w:val="00CA5A67"/>
    <w:rsid w:val="00CA5C0B"/>
    <w:rsid w:val="00CB33F7"/>
    <w:rsid w:val="00CB4B8D"/>
    <w:rsid w:val="00CC0DDA"/>
    <w:rsid w:val="00CC610C"/>
    <w:rsid w:val="00CC7EE5"/>
    <w:rsid w:val="00CD684F"/>
    <w:rsid w:val="00CE7334"/>
    <w:rsid w:val="00D031D5"/>
    <w:rsid w:val="00D06623"/>
    <w:rsid w:val="00D0746D"/>
    <w:rsid w:val="00D14C6B"/>
    <w:rsid w:val="00D26B97"/>
    <w:rsid w:val="00D40CA2"/>
    <w:rsid w:val="00D4583D"/>
    <w:rsid w:val="00D5109B"/>
    <w:rsid w:val="00D5536F"/>
    <w:rsid w:val="00D56935"/>
    <w:rsid w:val="00D62618"/>
    <w:rsid w:val="00D71BC1"/>
    <w:rsid w:val="00D758C6"/>
    <w:rsid w:val="00D82C18"/>
    <w:rsid w:val="00D830DD"/>
    <w:rsid w:val="00D90C10"/>
    <w:rsid w:val="00D92E96"/>
    <w:rsid w:val="00D96EF8"/>
    <w:rsid w:val="00D97390"/>
    <w:rsid w:val="00DA258C"/>
    <w:rsid w:val="00DB15D8"/>
    <w:rsid w:val="00DB63D7"/>
    <w:rsid w:val="00DC06FE"/>
    <w:rsid w:val="00DC2750"/>
    <w:rsid w:val="00DD3A36"/>
    <w:rsid w:val="00DE07FA"/>
    <w:rsid w:val="00DE4776"/>
    <w:rsid w:val="00DF2DDE"/>
    <w:rsid w:val="00DF513B"/>
    <w:rsid w:val="00E01667"/>
    <w:rsid w:val="00E205F0"/>
    <w:rsid w:val="00E36209"/>
    <w:rsid w:val="00E37684"/>
    <w:rsid w:val="00E420BB"/>
    <w:rsid w:val="00E45C41"/>
    <w:rsid w:val="00E502AF"/>
    <w:rsid w:val="00E50DF6"/>
    <w:rsid w:val="00E552DC"/>
    <w:rsid w:val="00E57F5E"/>
    <w:rsid w:val="00E62E1D"/>
    <w:rsid w:val="00E64580"/>
    <w:rsid w:val="00E67710"/>
    <w:rsid w:val="00E7459B"/>
    <w:rsid w:val="00E762BC"/>
    <w:rsid w:val="00E8537D"/>
    <w:rsid w:val="00E86FE1"/>
    <w:rsid w:val="00E93668"/>
    <w:rsid w:val="00E965C5"/>
    <w:rsid w:val="00E96A3A"/>
    <w:rsid w:val="00E97402"/>
    <w:rsid w:val="00E97B99"/>
    <w:rsid w:val="00EA4247"/>
    <w:rsid w:val="00EA46C5"/>
    <w:rsid w:val="00EB015E"/>
    <w:rsid w:val="00EB2A5D"/>
    <w:rsid w:val="00EB2E9D"/>
    <w:rsid w:val="00EB4275"/>
    <w:rsid w:val="00EC047B"/>
    <w:rsid w:val="00EC27B9"/>
    <w:rsid w:val="00EC3E94"/>
    <w:rsid w:val="00EC5F37"/>
    <w:rsid w:val="00ED31E7"/>
    <w:rsid w:val="00EE28C0"/>
    <w:rsid w:val="00EE6FFC"/>
    <w:rsid w:val="00EF10AC"/>
    <w:rsid w:val="00EF4701"/>
    <w:rsid w:val="00EF564E"/>
    <w:rsid w:val="00F05629"/>
    <w:rsid w:val="00F16B81"/>
    <w:rsid w:val="00F22198"/>
    <w:rsid w:val="00F23FC9"/>
    <w:rsid w:val="00F32AAE"/>
    <w:rsid w:val="00F33D49"/>
    <w:rsid w:val="00F33FE9"/>
    <w:rsid w:val="00F3481E"/>
    <w:rsid w:val="00F53CA2"/>
    <w:rsid w:val="00F577F6"/>
    <w:rsid w:val="00F65266"/>
    <w:rsid w:val="00F751E1"/>
    <w:rsid w:val="00F900AD"/>
    <w:rsid w:val="00FA48EC"/>
    <w:rsid w:val="00FA6F70"/>
    <w:rsid w:val="00FB5532"/>
    <w:rsid w:val="00FD2E33"/>
    <w:rsid w:val="00FD347F"/>
    <w:rsid w:val="00FD55BF"/>
    <w:rsid w:val="00FD6CBE"/>
    <w:rsid w:val="00FF16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8A1890"/>
  <w15:docId w15:val="{2C3A1E45-30FB-4993-8FE5-BD12C61AD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paragraph" w:styleId="Titolo1">
    <w:name w:val="heading 1"/>
    <w:basedOn w:val="Normale"/>
    <w:next w:val="Normale"/>
    <w:link w:val="Titolo1Carattere"/>
    <w:uiPriority w:val="9"/>
    <w:qFormat/>
    <w:pPr>
      <w:keepNext/>
      <w:numPr>
        <w:numId w:val="1"/>
      </w:numPr>
      <w:spacing w:before="240" w:after="80"/>
      <w:jc w:val="center"/>
      <w:outlineLvl w:val="0"/>
    </w:pPr>
    <w:rPr>
      <w:smallCaps/>
      <w:kern w:val="28"/>
    </w:rPr>
  </w:style>
  <w:style w:type="paragraph" w:styleId="Titolo2">
    <w:name w:val="heading 2"/>
    <w:basedOn w:val="Normale"/>
    <w:next w:val="Normale"/>
    <w:link w:val="Titolo2Carattere"/>
    <w:uiPriority w:val="9"/>
    <w:qFormat/>
    <w:pPr>
      <w:keepNext/>
      <w:numPr>
        <w:ilvl w:val="1"/>
        <w:numId w:val="1"/>
      </w:numPr>
      <w:spacing w:before="120" w:after="60"/>
      <w:outlineLvl w:val="1"/>
    </w:pPr>
    <w:rPr>
      <w:i/>
      <w:iCs/>
    </w:rPr>
  </w:style>
  <w:style w:type="paragraph" w:styleId="Titolo3">
    <w:name w:val="heading 3"/>
    <w:basedOn w:val="Normale"/>
    <w:next w:val="Normale"/>
    <w:uiPriority w:val="9"/>
    <w:qFormat/>
    <w:pPr>
      <w:keepNext/>
      <w:numPr>
        <w:ilvl w:val="2"/>
        <w:numId w:val="1"/>
      </w:numPr>
      <w:outlineLvl w:val="2"/>
    </w:pPr>
    <w:rPr>
      <w:i/>
      <w:iCs/>
    </w:rPr>
  </w:style>
  <w:style w:type="paragraph" w:styleId="Titolo4">
    <w:name w:val="heading 4"/>
    <w:basedOn w:val="Normale"/>
    <w:next w:val="Normale"/>
    <w:uiPriority w:val="9"/>
    <w:qFormat/>
    <w:pPr>
      <w:keepNext/>
      <w:numPr>
        <w:ilvl w:val="3"/>
        <w:numId w:val="1"/>
      </w:numPr>
      <w:spacing w:before="240" w:after="60"/>
      <w:outlineLvl w:val="3"/>
    </w:pPr>
    <w:rPr>
      <w:i/>
      <w:iCs/>
      <w:sz w:val="18"/>
      <w:szCs w:val="18"/>
    </w:rPr>
  </w:style>
  <w:style w:type="paragraph" w:styleId="Titolo5">
    <w:name w:val="heading 5"/>
    <w:basedOn w:val="Normale"/>
    <w:next w:val="Normale"/>
    <w:uiPriority w:val="9"/>
    <w:qFormat/>
    <w:pPr>
      <w:numPr>
        <w:ilvl w:val="4"/>
        <w:numId w:val="1"/>
      </w:numPr>
      <w:spacing w:before="240" w:after="60"/>
      <w:outlineLvl w:val="4"/>
    </w:pPr>
    <w:rPr>
      <w:sz w:val="18"/>
      <w:szCs w:val="18"/>
    </w:rPr>
  </w:style>
  <w:style w:type="paragraph" w:styleId="Titolo6">
    <w:name w:val="heading 6"/>
    <w:basedOn w:val="Normale"/>
    <w:next w:val="Normale"/>
    <w:uiPriority w:val="9"/>
    <w:qFormat/>
    <w:pPr>
      <w:numPr>
        <w:ilvl w:val="5"/>
        <w:numId w:val="1"/>
      </w:numPr>
      <w:spacing w:before="240" w:after="60"/>
      <w:outlineLvl w:val="5"/>
    </w:pPr>
    <w:rPr>
      <w:i/>
      <w:iCs/>
      <w:sz w:val="16"/>
      <w:szCs w:val="16"/>
    </w:rPr>
  </w:style>
  <w:style w:type="paragraph" w:styleId="Titolo7">
    <w:name w:val="heading 7"/>
    <w:basedOn w:val="Normale"/>
    <w:next w:val="Normale"/>
    <w:uiPriority w:val="9"/>
    <w:qFormat/>
    <w:pPr>
      <w:numPr>
        <w:ilvl w:val="6"/>
        <w:numId w:val="1"/>
      </w:numPr>
      <w:spacing w:before="240" w:after="60"/>
      <w:outlineLvl w:val="6"/>
    </w:pPr>
    <w:rPr>
      <w:sz w:val="16"/>
      <w:szCs w:val="16"/>
    </w:rPr>
  </w:style>
  <w:style w:type="paragraph" w:styleId="Titolo8">
    <w:name w:val="heading 8"/>
    <w:basedOn w:val="Normale"/>
    <w:next w:val="Normale"/>
    <w:uiPriority w:val="9"/>
    <w:qFormat/>
    <w:pPr>
      <w:numPr>
        <w:ilvl w:val="7"/>
        <w:numId w:val="1"/>
      </w:numPr>
      <w:spacing w:before="240" w:after="60"/>
      <w:outlineLvl w:val="7"/>
    </w:pPr>
    <w:rPr>
      <w:i/>
      <w:iCs/>
      <w:sz w:val="16"/>
      <w:szCs w:val="16"/>
    </w:rPr>
  </w:style>
  <w:style w:type="paragraph" w:styleId="Titolo9">
    <w:name w:val="heading 9"/>
    <w:basedOn w:val="Normale"/>
    <w:next w:val="Normale"/>
    <w:uiPriority w:val="9"/>
    <w:qFormat/>
    <w:pPr>
      <w:numPr>
        <w:ilvl w:val="8"/>
        <w:numId w:val="1"/>
      </w:numPr>
      <w:spacing w:before="240" w:after="60"/>
      <w:outlineLvl w:val="8"/>
    </w:pPr>
    <w:rPr>
      <w:sz w:val="16"/>
      <w:szCs w:val="1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Abstract">
    <w:name w:val="Abstract"/>
    <w:basedOn w:val="Normale"/>
    <w:next w:val="Normale"/>
    <w:pPr>
      <w:spacing w:before="20"/>
      <w:ind w:firstLine="202"/>
      <w:jc w:val="both"/>
    </w:pPr>
    <w:rPr>
      <w:b/>
      <w:bCs/>
      <w:sz w:val="18"/>
      <w:szCs w:val="18"/>
    </w:rPr>
  </w:style>
  <w:style w:type="paragraph" w:customStyle="1" w:styleId="Authors">
    <w:name w:val="Authors"/>
    <w:basedOn w:val="Normale"/>
    <w:next w:val="Normale"/>
    <w:pPr>
      <w:framePr w:w="9072" w:hSpace="187" w:vSpace="187" w:wrap="notBeside" w:vAnchor="text" w:hAnchor="page" w:xAlign="center" w:y="1"/>
      <w:spacing w:after="320"/>
      <w:jc w:val="center"/>
    </w:pPr>
    <w:rPr>
      <w:sz w:val="22"/>
      <w:szCs w:val="22"/>
    </w:rPr>
  </w:style>
  <w:style w:type="character" w:customStyle="1" w:styleId="MemberType">
    <w:name w:val="MemberType"/>
    <w:basedOn w:val="Carpredefinitoparagrafo"/>
    <w:rPr>
      <w:rFonts w:ascii="Times New Roman" w:hAnsi="Times New Roman" w:cs="Times New Roman"/>
      <w:i/>
      <w:iCs/>
      <w:sz w:val="22"/>
      <w:szCs w:val="22"/>
    </w:rPr>
  </w:style>
  <w:style w:type="paragraph" w:styleId="Titolo">
    <w:name w:val="Title"/>
    <w:basedOn w:val="Normale"/>
    <w:next w:val="Normale"/>
    <w:qFormat/>
    <w:pPr>
      <w:framePr w:w="9360" w:hSpace="187" w:vSpace="187" w:wrap="notBeside" w:vAnchor="text" w:hAnchor="page" w:xAlign="center" w:y="1"/>
      <w:jc w:val="center"/>
    </w:pPr>
    <w:rPr>
      <w:kern w:val="28"/>
      <w:sz w:val="48"/>
      <w:szCs w:val="48"/>
    </w:rPr>
  </w:style>
  <w:style w:type="paragraph" w:styleId="Testonotaapidipagina">
    <w:name w:val="footnote text"/>
    <w:basedOn w:val="Normale"/>
    <w:link w:val="TestonotaapidipaginaCarattere"/>
    <w:semiHidden/>
    <w:pPr>
      <w:ind w:firstLine="202"/>
      <w:jc w:val="both"/>
    </w:pPr>
    <w:rPr>
      <w:sz w:val="16"/>
      <w:szCs w:val="16"/>
    </w:rPr>
  </w:style>
  <w:style w:type="paragraph" w:customStyle="1" w:styleId="References">
    <w:name w:val="References"/>
    <w:basedOn w:val="Normale"/>
    <w:pPr>
      <w:numPr>
        <w:numId w:val="12"/>
      </w:numPr>
      <w:jc w:val="both"/>
    </w:pPr>
    <w:rPr>
      <w:sz w:val="16"/>
      <w:szCs w:val="16"/>
    </w:rPr>
  </w:style>
  <w:style w:type="paragraph" w:customStyle="1" w:styleId="IndexTerms">
    <w:name w:val="IndexTerms"/>
    <w:basedOn w:val="Normale"/>
    <w:next w:val="Normale"/>
    <w:pPr>
      <w:ind w:firstLine="202"/>
      <w:jc w:val="both"/>
    </w:pPr>
    <w:rPr>
      <w:b/>
      <w:bCs/>
      <w:sz w:val="18"/>
      <w:szCs w:val="18"/>
    </w:rPr>
  </w:style>
  <w:style w:type="character" w:styleId="Rimandonotaapidipagina">
    <w:name w:val="footnote reference"/>
    <w:basedOn w:val="Carpredefinitoparagrafo"/>
    <w:semiHidden/>
    <w:rPr>
      <w:vertAlign w:val="superscript"/>
    </w:rPr>
  </w:style>
  <w:style w:type="paragraph" w:styleId="Pidipagina">
    <w:name w:val="footer"/>
    <w:basedOn w:val="Normale"/>
    <w:link w:val="PidipaginaCarattere"/>
    <w:uiPriority w:val="99"/>
    <w:pPr>
      <w:tabs>
        <w:tab w:val="center" w:pos="4320"/>
        <w:tab w:val="right" w:pos="8640"/>
      </w:tabs>
    </w:pPr>
  </w:style>
  <w:style w:type="paragraph" w:customStyle="1" w:styleId="Text">
    <w:name w:val="Text"/>
    <w:basedOn w:val="Normale"/>
    <w:pPr>
      <w:widowControl w:val="0"/>
      <w:spacing w:line="252" w:lineRule="auto"/>
      <w:ind w:firstLine="202"/>
      <w:jc w:val="both"/>
    </w:pPr>
  </w:style>
  <w:style w:type="paragraph" w:customStyle="1" w:styleId="FigureCaption">
    <w:name w:val="Figure Caption"/>
    <w:basedOn w:val="Normale"/>
    <w:pPr>
      <w:jc w:val="both"/>
    </w:pPr>
    <w:rPr>
      <w:sz w:val="16"/>
      <w:szCs w:val="16"/>
    </w:rPr>
  </w:style>
  <w:style w:type="paragraph" w:customStyle="1" w:styleId="TableTitle">
    <w:name w:val="Table Title"/>
    <w:basedOn w:val="Normale"/>
    <w:pPr>
      <w:jc w:val="center"/>
    </w:pPr>
    <w:rPr>
      <w:smallCaps/>
      <w:sz w:val="16"/>
      <w:szCs w:val="16"/>
    </w:rPr>
  </w:style>
  <w:style w:type="paragraph" w:customStyle="1" w:styleId="ReferenceHead">
    <w:name w:val="Reference Head"/>
    <w:basedOn w:val="Titolo1"/>
    <w:link w:val="ReferenceHeadChar"/>
    <w:pPr>
      <w:numPr>
        <w:numId w:val="0"/>
      </w:numPr>
    </w:pPr>
  </w:style>
  <w:style w:type="paragraph" w:styleId="Intestazione">
    <w:name w:val="header"/>
    <w:basedOn w:val="Normale"/>
    <w:pPr>
      <w:tabs>
        <w:tab w:val="center" w:pos="4320"/>
        <w:tab w:val="right" w:pos="8640"/>
      </w:tabs>
    </w:pPr>
  </w:style>
  <w:style w:type="paragraph" w:customStyle="1" w:styleId="Equation">
    <w:name w:val="Equation"/>
    <w:basedOn w:val="Normale"/>
    <w:next w:val="Normale"/>
    <w:pPr>
      <w:widowControl w:val="0"/>
      <w:tabs>
        <w:tab w:val="right" w:pos="5040"/>
      </w:tabs>
      <w:spacing w:line="252" w:lineRule="auto"/>
      <w:jc w:val="both"/>
    </w:pPr>
  </w:style>
  <w:style w:type="character" w:styleId="Collegamentoipertestuale">
    <w:name w:val="Hyperlink"/>
    <w:basedOn w:val="Carpredefinitoparagrafo"/>
    <w:rPr>
      <w:color w:val="0000FF"/>
      <w:u w:val="single"/>
    </w:rPr>
  </w:style>
  <w:style w:type="character" w:styleId="Collegamentovisitato">
    <w:name w:val="FollowedHyperlink"/>
    <w:basedOn w:val="Carpredefinitoparagrafo"/>
    <w:rPr>
      <w:color w:val="800080"/>
      <w:u w:val="single"/>
    </w:rPr>
  </w:style>
  <w:style w:type="paragraph" w:styleId="Rientrocorpodeltesto">
    <w:name w:val="Body Text Indent"/>
    <w:basedOn w:val="Normale"/>
    <w:link w:val="RientrocorpodeltestoCarattere"/>
    <w:pPr>
      <w:ind w:left="630" w:hanging="630"/>
    </w:pPr>
    <w:rPr>
      <w:szCs w:val="24"/>
    </w:rPr>
  </w:style>
  <w:style w:type="paragraph" w:styleId="Mappadocumento">
    <w:name w:val="Document Map"/>
    <w:basedOn w:val="Normale"/>
    <w:semiHidden/>
    <w:rsid w:val="00DC5FC7"/>
    <w:pPr>
      <w:shd w:val="clear" w:color="auto" w:fill="000080"/>
    </w:pPr>
    <w:rPr>
      <w:rFonts w:ascii="Tahoma" w:hAnsi="Tahoma" w:cs="Tahoma"/>
    </w:rPr>
  </w:style>
  <w:style w:type="paragraph" w:customStyle="1" w:styleId="Pa0">
    <w:name w:val="Pa0"/>
    <w:basedOn w:val="Normale"/>
    <w:next w:val="Normale"/>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Testofumetto">
    <w:name w:val="Balloon Text"/>
    <w:basedOn w:val="Normale"/>
    <w:link w:val="TestofumettoCarattere"/>
    <w:rsid w:val="00F33D49"/>
    <w:rPr>
      <w:rFonts w:ascii="Tahoma" w:hAnsi="Tahoma" w:cs="Tahoma"/>
      <w:sz w:val="16"/>
      <w:szCs w:val="16"/>
    </w:rPr>
  </w:style>
  <w:style w:type="character" w:customStyle="1" w:styleId="TestofumettoCarattere">
    <w:name w:val="Testo fumetto Carattere"/>
    <w:basedOn w:val="Carpredefinitoparagrafo"/>
    <w:link w:val="Testofumetto"/>
    <w:rsid w:val="00F33D49"/>
    <w:rPr>
      <w:rFonts w:ascii="Tahoma" w:hAnsi="Tahoma" w:cs="Tahoma"/>
      <w:sz w:val="16"/>
      <w:szCs w:val="16"/>
    </w:rPr>
  </w:style>
  <w:style w:type="character" w:styleId="Testosegnaposto">
    <w:name w:val="Placeholder Text"/>
    <w:basedOn w:val="Carpredefinitoparagrafo"/>
    <w:uiPriority w:val="99"/>
    <w:semiHidden/>
    <w:rsid w:val="009A1F6E"/>
    <w:rPr>
      <w:color w:val="808080"/>
    </w:rPr>
  </w:style>
  <w:style w:type="paragraph" w:customStyle="1" w:styleId="ParagraphStyle1">
    <w:name w:val="Paragraph Style 1"/>
    <w:basedOn w:val="Normale"/>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 w:val="22"/>
      <w:szCs w:val="22"/>
      <w:lang w:eastAsia="ja-JP"/>
    </w:rPr>
  </w:style>
  <w:style w:type="character" w:customStyle="1" w:styleId="BodyText1">
    <w:name w:val="Body Text1"/>
    <w:basedOn w:val="Carpredefinitoparagrafo"/>
    <w:uiPriority w:val="99"/>
    <w:rsid w:val="00C82D86"/>
    <w:rPr>
      <w:rFonts w:ascii="Verdana" w:hAnsi="Verdana" w:cs="Verdana"/>
      <w:color w:val="000000"/>
      <w:sz w:val="22"/>
      <w:szCs w:val="22"/>
    </w:rPr>
  </w:style>
  <w:style w:type="character" w:customStyle="1" w:styleId="bodytype">
    <w:name w:val="body type"/>
    <w:basedOn w:val="Carpredefinitoparagrafo"/>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Titolo1Carattere">
    <w:name w:val="Titolo 1 Carattere"/>
    <w:basedOn w:val="Carpredefinitoparagrafo"/>
    <w:link w:val="Titolo1"/>
    <w:uiPriority w:val="9"/>
    <w:rsid w:val="003F52AD"/>
    <w:rPr>
      <w:smallCaps/>
      <w:kern w:val="28"/>
    </w:rPr>
  </w:style>
  <w:style w:type="character" w:customStyle="1" w:styleId="ReferenceHeadChar">
    <w:name w:val="Reference Head Char"/>
    <w:basedOn w:val="Titolo1Carattere"/>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Revisione">
    <w:name w:val="Revision"/>
    <w:hidden/>
    <w:uiPriority w:val="99"/>
    <w:semiHidden/>
    <w:rsid w:val="001B36B1"/>
  </w:style>
  <w:style w:type="character" w:customStyle="1" w:styleId="BodyText2">
    <w:name w:val="Body Text2"/>
    <w:basedOn w:val="Carpredefinitoparagrafo"/>
    <w:uiPriority w:val="99"/>
    <w:rsid w:val="001B36B1"/>
    <w:rPr>
      <w:rFonts w:ascii="Verdana" w:hAnsi="Verdana" w:cs="Verdana"/>
      <w:color w:val="000000"/>
      <w:sz w:val="22"/>
      <w:szCs w:val="22"/>
    </w:rPr>
  </w:style>
  <w:style w:type="character" w:customStyle="1" w:styleId="Titolo2Carattere">
    <w:name w:val="Titolo 2 Carattere"/>
    <w:basedOn w:val="Carpredefinitoparagrafo"/>
    <w:link w:val="Titolo2"/>
    <w:uiPriority w:val="9"/>
    <w:rsid w:val="001B36B1"/>
    <w:rPr>
      <w:i/>
      <w:iCs/>
    </w:rPr>
  </w:style>
  <w:style w:type="paragraph" w:customStyle="1" w:styleId="TextL-MAG">
    <w:name w:val="Text L-MAG"/>
    <w:basedOn w:val="Normale"/>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Carpredefinitoparagrafo"/>
    <w:link w:val="TextL-MAG"/>
    <w:rsid w:val="009C7D17"/>
    <w:rPr>
      <w:rFonts w:ascii="Arial" w:eastAsia="MS Mincho" w:hAnsi="Arial"/>
      <w:sz w:val="18"/>
      <w:szCs w:val="22"/>
      <w:lang w:eastAsia="ja-JP"/>
    </w:rPr>
  </w:style>
  <w:style w:type="character" w:customStyle="1" w:styleId="PidipaginaCarattere">
    <w:name w:val="Piè di pagina Carattere"/>
    <w:basedOn w:val="Carpredefinitoparagrafo"/>
    <w:link w:val="Pidipagina"/>
    <w:uiPriority w:val="99"/>
    <w:rsid w:val="00D90C10"/>
  </w:style>
  <w:style w:type="character" w:customStyle="1" w:styleId="TestonotaapidipaginaCarattere">
    <w:name w:val="Testo nota a piè di pagina Carattere"/>
    <w:basedOn w:val="Carpredefinitoparagrafo"/>
    <w:link w:val="Testonotaapidipagina"/>
    <w:semiHidden/>
    <w:rsid w:val="00C075EF"/>
    <w:rPr>
      <w:sz w:val="16"/>
      <w:szCs w:val="16"/>
    </w:rPr>
  </w:style>
  <w:style w:type="character" w:customStyle="1" w:styleId="RientrocorpodeltestoCarattere">
    <w:name w:val="Rientro corpo del testo Carattere"/>
    <w:basedOn w:val="Carpredefinitoparagrafo"/>
    <w:link w:val="Rientrocorpodeltesto"/>
    <w:rsid w:val="003F26BD"/>
    <w:rPr>
      <w:szCs w:val="24"/>
    </w:rPr>
  </w:style>
  <w:style w:type="character" w:styleId="Rimandocommento">
    <w:name w:val="annotation reference"/>
    <w:basedOn w:val="Carpredefinitoparagrafo"/>
    <w:semiHidden/>
    <w:unhideWhenUsed/>
    <w:rsid w:val="00872C04"/>
    <w:rPr>
      <w:sz w:val="16"/>
      <w:szCs w:val="16"/>
    </w:rPr>
  </w:style>
  <w:style w:type="paragraph" w:styleId="Testocommento">
    <w:name w:val="annotation text"/>
    <w:basedOn w:val="Normale"/>
    <w:link w:val="TestocommentoCarattere"/>
    <w:semiHidden/>
    <w:unhideWhenUsed/>
    <w:rsid w:val="00872C04"/>
  </w:style>
  <w:style w:type="character" w:customStyle="1" w:styleId="TestocommentoCarattere">
    <w:name w:val="Testo commento Carattere"/>
    <w:basedOn w:val="Carpredefinitoparagrafo"/>
    <w:link w:val="Testocommento"/>
    <w:semiHidden/>
    <w:rsid w:val="00872C04"/>
  </w:style>
  <w:style w:type="paragraph" w:styleId="Soggettocommento">
    <w:name w:val="annotation subject"/>
    <w:basedOn w:val="Testocommento"/>
    <w:next w:val="Testocommento"/>
    <w:link w:val="SoggettocommentoCarattere"/>
    <w:semiHidden/>
    <w:unhideWhenUsed/>
    <w:rsid w:val="00872C04"/>
    <w:rPr>
      <w:b/>
      <w:bCs/>
    </w:rPr>
  </w:style>
  <w:style w:type="character" w:customStyle="1" w:styleId="SoggettocommentoCarattere">
    <w:name w:val="Soggetto commento Carattere"/>
    <w:basedOn w:val="TestocommentoCarattere"/>
    <w:link w:val="Soggettocommento"/>
    <w:semiHidden/>
    <w:rsid w:val="00872C04"/>
    <w:rPr>
      <w:b/>
      <w:bCs/>
    </w:rPr>
  </w:style>
  <w:style w:type="character" w:styleId="Rimandonotadichiusura">
    <w:name w:val="endnote reference"/>
    <w:basedOn w:val="Carpredefinitoparagrafo"/>
    <w:semiHidden/>
    <w:unhideWhenUsed/>
    <w:rsid w:val="00E8537D"/>
    <w:rPr>
      <w:vertAlign w:val="superscript"/>
    </w:rPr>
  </w:style>
  <w:style w:type="character" w:styleId="Numeroriga">
    <w:name w:val="line number"/>
    <w:basedOn w:val="Carpredefinitoparagrafo"/>
    <w:semiHidden/>
    <w:unhideWhenUsed/>
    <w:rsid w:val="00E376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0642">
      <w:bodyDiv w:val="1"/>
      <w:marLeft w:val="0"/>
      <w:marRight w:val="0"/>
      <w:marTop w:val="0"/>
      <w:marBottom w:val="0"/>
      <w:divBdr>
        <w:top w:val="none" w:sz="0" w:space="0" w:color="auto"/>
        <w:left w:val="none" w:sz="0" w:space="0" w:color="auto"/>
        <w:bottom w:val="none" w:sz="0" w:space="0" w:color="auto"/>
        <w:right w:val="none" w:sz="0" w:space="0" w:color="auto"/>
      </w:divBdr>
    </w:div>
    <w:div w:id="712508008">
      <w:bodyDiv w:val="1"/>
      <w:marLeft w:val="0"/>
      <w:marRight w:val="0"/>
      <w:marTop w:val="0"/>
      <w:marBottom w:val="0"/>
      <w:divBdr>
        <w:top w:val="none" w:sz="0" w:space="0" w:color="auto"/>
        <w:left w:val="none" w:sz="0" w:space="0" w:color="auto"/>
        <w:bottom w:val="none" w:sz="0" w:space="0" w:color="auto"/>
        <w:right w:val="none" w:sz="0" w:space="0" w:color="auto"/>
      </w:divBdr>
      <w:divsChild>
        <w:div w:id="170218403">
          <w:marLeft w:val="0"/>
          <w:marRight w:val="0"/>
          <w:marTop w:val="0"/>
          <w:marBottom w:val="0"/>
          <w:divBdr>
            <w:top w:val="none" w:sz="0" w:space="0" w:color="auto"/>
            <w:left w:val="none" w:sz="0" w:space="0" w:color="auto"/>
            <w:bottom w:val="none" w:sz="0" w:space="0" w:color="auto"/>
            <w:right w:val="none" w:sz="0" w:space="0" w:color="auto"/>
          </w:divBdr>
        </w:div>
        <w:div w:id="583805449">
          <w:marLeft w:val="0"/>
          <w:marRight w:val="0"/>
          <w:marTop w:val="0"/>
          <w:marBottom w:val="0"/>
          <w:divBdr>
            <w:top w:val="none" w:sz="0" w:space="0" w:color="auto"/>
            <w:left w:val="none" w:sz="0" w:space="0" w:color="auto"/>
            <w:bottom w:val="none" w:sz="0" w:space="0" w:color="auto"/>
            <w:right w:val="none" w:sz="0" w:space="0" w:color="auto"/>
          </w:divBdr>
        </w:div>
        <w:div w:id="940837182">
          <w:marLeft w:val="0"/>
          <w:marRight w:val="0"/>
          <w:marTop w:val="0"/>
          <w:marBottom w:val="0"/>
          <w:divBdr>
            <w:top w:val="none" w:sz="0" w:space="0" w:color="auto"/>
            <w:left w:val="none" w:sz="0" w:space="0" w:color="auto"/>
            <w:bottom w:val="none" w:sz="0" w:space="0" w:color="auto"/>
            <w:right w:val="none" w:sz="0" w:space="0" w:color="auto"/>
          </w:divBdr>
        </w:div>
        <w:div w:id="237133204">
          <w:marLeft w:val="0"/>
          <w:marRight w:val="0"/>
          <w:marTop w:val="0"/>
          <w:marBottom w:val="0"/>
          <w:divBdr>
            <w:top w:val="none" w:sz="0" w:space="0" w:color="auto"/>
            <w:left w:val="none" w:sz="0" w:space="0" w:color="auto"/>
            <w:bottom w:val="none" w:sz="0" w:space="0" w:color="auto"/>
            <w:right w:val="none" w:sz="0" w:space="0" w:color="auto"/>
          </w:divBdr>
        </w:div>
        <w:div w:id="171530390">
          <w:marLeft w:val="0"/>
          <w:marRight w:val="0"/>
          <w:marTop w:val="0"/>
          <w:marBottom w:val="0"/>
          <w:divBdr>
            <w:top w:val="none" w:sz="0" w:space="0" w:color="auto"/>
            <w:left w:val="none" w:sz="0" w:space="0" w:color="auto"/>
            <w:bottom w:val="none" w:sz="0" w:space="0" w:color="auto"/>
            <w:right w:val="none" w:sz="0" w:space="0" w:color="auto"/>
          </w:divBdr>
        </w:div>
        <w:div w:id="269438330">
          <w:marLeft w:val="0"/>
          <w:marRight w:val="0"/>
          <w:marTop w:val="0"/>
          <w:marBottom w:val="0"/>
          <w:divBdr>
            <w:top w:val="none" w:sz="0" w:space="0" w:color="auto"/>
            <w:left w:val="none" w:sz="0" w:space="0" w:color="auto"/>
            <w:bottom w:val="none" w:sz="0" w:space="0" w:color="auto"/>
            <w:right w:val="none" w:sz="0" w:space="0" w:color="auto"/>
          </w:divBdr>
        </w:div>
        <w:div w:id="1628974514">
          <w:marLeft w:val="0"/>
          <w:marRight w:val="0"/>
          <w:marTop w:val="0"/>
          <w:marBottom w:val="0"/>
          <w:divBdr>
            <w:top w:val="none" w:sz="0" w:space="0" w:color="auto"/>
            <w:left w:val="none" w:sz="0" w:space="0" w:color="auto"/>
            <w:bottom w:val="none" w:sz="0" w:space="0" w:color="auto"/>
            <w:right w:val="none" w:sz="0" w:space="0" w:color="auto"/>
          </w:divBdr>
        </w:div>
        <w:div w:id="238948966">
          <w:marLeft w:val="0"/>
          <w:marRight w:val="0"/>
          <w:marTop w:val="0"/>
          <w:marBottom w:val="0"/>
          <w:divBdr>
            <w:top w:val="none" w:sz="0" w:space="0" w:color="auto"/>
            <w:left w:val="none" w:sz="0" w:space="0" w:color="auto"/>
            <w:bottom w:val="none" w:sz="0" w:space="0" w:color="auto"/>
            <w:right w:val="none" w:sz="0" w:space="0" w:color="auto"/>
          </w:divBdr>
        </w:div>
        <w:div w:id="1810434545">
          <w:marLeft w:val="0"/>
          <w:marRight w:val="0"/>
          <w:marTop w:val="0"/>
          <w:marBottom w:val="0"/>
          <w:divBdr>
            <w:top w:val="none" w:sz="0" w:space="0" w:color="auto"/>
            <w:left w:val="none" w:sz="0" w:space="0" w:color="auto"/>
            <w:bottom w:val="none" w:sz="0" w:space="0" w:color="auto"/>
            <w:right w:val="none" w:sz="0" w:space="0" w:color="auto"/>
          </w:divBdr>
        </w:div>
        <w:div w:id="1992325756">
          <w:marLeft w:val="0"/>
          <w:marRight w:val="0"/>
          <w:marTop w:val="0"/>
          <w:marBottom w:val="0"/>
          <w:divBdr>
            <w:top w:val="none" w:sz="0" w:space="0" w:color="auto"/>
            <w:left w:val="none" w:sz="0" w:space="0" w:color="auto"/>
            <w:bottom w:val="none" w:sz="0" w:space="0" w:color="auto"/>
            <w:right w:val="none" w:sz="0" w:space="0" w:color="auto"/>
          </w:divBdr>
        </w:div>
        <w:div w:id="5650706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30.t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tif"/><Relationship Id="rId5" Type="http://schemas.openxmlformats.org/officeDocument/2006/relationships/webSettings" Target="webSettings.xml"/><Relationship Id="rId15" Type="http://schemas.openxmlformats.org/officeDocument/2006/relationships/image" Target="media/image40.tif"/><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image" Target="media/image10.tif"/><Relationship Id="rId14" Type="http://schemas.openxmlformats.org/officeDocument/2006/relationships/image" Target="media/image4.tif"/></Relationships>
</file>

<file path=word/_rels/footnotes.xml.rels><?xml version="1.0" encoding="UTF-8" standalone="yes"?>
<Relationships xmlns="http://schemas.openxmlformats.org/package/2006/relationships"><Relationship Id="rId8" Type="http://schemas.openxmlformats.org/officeDocument/2006/relationships/hyperlink" Target="mailto:enrico.grisan@unipd.it" TargetMode="External"/><Relationship Id="rId3" Type="http://schemas.openxmlformats.org/officeDocument/2006/relationships/hyperlink" Target="mailto:marco.castellaro@gmail.com" TargetMode="External"/><Relationship Id="rId7" Type="http://schemas.openxmlformats.org/officeDocument/2006/relationships/hyperlink" Target="mailto:roberto.stramare@unipd.it" TargetMode="External"/><Relationship Id="rId2" Type="http://schemas.openxmlformats.org/officeDocument/2006/relationships/hyperlink" Target="mailto:matteo.tonietto@hotmail.com" TargetMode="External"/><Relationship Id="rId1" Type="http://schemas.openxmlformats.org/officeDocument/2006/relationships/hyperlink" Target="mailto:gaia.rizzo@gmail.com" TargetMode="External"/><Relationship Id="rId6" Type="http://schemas.openxmlformats.org/officeDocument/2006/relationships/hyperlink" Target="mailto:ugo.fiocco@unipd.it" TargetMode="External"/><Relationship Id="rId5" Type="http://schemas.openxmlformats.org/officeDocument/2006/relationships/hyperlink" Target="mailto:alecoran@gmail.com" TargetMode="External"/><Relationship Id="rId4" Type="http://schemas.openxmlformats.org/officeDocument/2006/relationships/hyperlink" Target="mailto:berndraffeiner@yaho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11E2F-374C-49C6-9811-81722A8C0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32899</Words>
  <Characters>187525</Characters>
  <Application>Microsoft Office Word</Application>
  <DocSecurity>0</DocSecurity>
  <Lines>1562</Lines>
  <Paragraphs>439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vt:lpstr>
      <vt:lpstr></vt:lpstr>
    </vt:vector>
  </TitlesOfParts>
  <Company>IEEE</Company>
  <LinksUpToDate>false</LinksUpToDate>
  <CharactersWithSpaces>219985</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lastModifiedBy>Enrico</cp:lastModifiedBy>
  <cp:revision>2</cp:revision>
  <cp:lastPrinted>2016-10-04T11:22:00Z</cp:lastPrinted>
  <dcterms:created xsi:type="dcterms:W3CDTF">2016-11-23T17:28:00Z</dcterms:created>
  <dcterms:modified xsi:type="dcterms:W3CDTF">2016-11-23T17:28:00Z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gaia.rizzo@gmail.com@www.mendeley.com</vt:lpwstr>
  </property>
  <property fmtid="{D5CDD505-2E9C-101B-9397-08002B2CF9AE}" pid="4" name="Mendeley Citation Style_1">
    <vt:lpwstr>http://www.zotero.org/styles/vancouver_squarebrackets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http://www.zotero.org/styles/neuroimage</vt:lpwstr>
  </property>
  <property fmtid="{D5CDD505-2E9C-101B-9397-08002B2CF9AE}" pid="20" name="Mendeley Recent Style Name 7_1">
    <vt:lpwstr>NeuroImage</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http://www.zotero.org/styles/vancouver_squarebrackets</vt:lpwstr>
  </property>
  <property fmtid="{D5CDD505-2E9C-101B-9397-08002B2CF9AE}" pid="24" name="Mendeley Recent Style Name 9_1">
    <vt:lpwstr>Vancouver (square brackets)</vt:lpwstr>
  </property>
</Properties>
</file>